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C4BB9">
      <w:pPr>
        <w:rPr>
          <w:rFonts w:hint="default"/>
          <w:lang w:val="en-US" w:eastAsia="zh-CN"/>
        </w:rPr>
      </w:pPr>
    </w:p>
    <w:p w14:paraId="177EF0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/>
        <w:jc w:val="center"/>
        <w:textAlignment w:val="auto"/>
        <w:rPr>
          <w:rFonts w:ascii="Times New Roman" w:hAnsi="Times New Roman" w:eastAsia="方正小标宋_GBK" w:cs="Times New Roman"/>
          <w:b/>
          <w:bCs/>
          <w:color w:val="auto"/>
          <w:kern w:val="0"/>
          <w:sz w:val="44"/>
          <w:szCs w:val="44"/>
        </w:rPr>
      </w:pPr>
      <w:bookmarkStart w:id="0" w:name="OLE_LINK1"/>
      <w:r>
        <w:rPr>
          <w:rFonts w:ascii="Times New Roman" w:hAnsi="Times New Roman" w:eastAsia="方正小标宋_GBK" w:cs="Times New Roman"/>
          <w:b/>
          <w:bCs/>
          <w:color w:val="auto"/>
          <w:kern w:val="0"/>
          <w:sz w:val="44"/>
          <w:szCs w:val="44"/>
        </w:rPr>
        <w:t>攀枝花市支持人工智能产业高质量发展</w:t>
      </w:r>
    </w:p>
    <w:p w14:paraId="35F0B7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="0"/>
        <w:jc w:val="center"/>
        <w:textAlignment w:val="auto"/>
        <w:rPr>
          <w:rFonts w:ascii="Times New Roman" w:hAnsi="Times New Roman" w:eastAsia="方正小标宋_GBK" w:cs="Times New Roman"/>
          <w:b/>
          <w:bCs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eastAsia="zh-CN"/>
        </w:rPr>
        <w:t>十条措施（试行）</w:t>
      </w:r>
      <w:bookmarkEnd w:id="0"/>
    </w:p>
    <w:p w14:paraId="592ADB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center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（征求意见稿）</w:t>
      </w:r>
    </w:p>
    <w:p w14:paraId="413205B2">
      <w:pPr>
        <w:pStyle w:val="7"/>
        <w:rPr>
          <w:rFonts w:hint="eastAsia"/>
          <w:lang w:eastAsia="zh-CN"/>
        </w:rPr>
      </w:pPr>
    </w:p>
    <w:p w14:paraId="70DDE685">
      <w:pPr>
        <w:pStyle w:val="2"/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为大力推进人工智能产业建圈强链，加快构建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bidi="ar-SA"/>
        </w:rPr>
        <w:t>我市人工智能产业生态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体系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bidi="ar-SA"/>
        </w:rPr>
        <w:t>，推动人工智能产业高质量发展，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结合我市实际，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bidi="ar-SA"/>
        </w:rPr>
        <w:t>制定如下政策。</w:t>
      </w:r>
    </w:p>
    <w:p w14:paraId="418BC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1.给予绿电供给支持。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开展“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绿电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+算力”融合发展，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采用绿电直连等方式，推动算力项目提升绿色电力消费占比，根据算力项目建设规模和时序进度，分批分期配置新能源资源，鼓励配建储能设施，按直供新能源配置规模的2倍给予算电融合项目运营企业（仅限一个投资主体）额外新能源配置规模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bidi="ar-SA"/>
        </w:rPr>
        <w:t>（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责任单位：市发展改革委，市经济和信息化局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各县（区）人民政府、国家钒钛高新区管委会）</w:t>
      </w:r>
    </w:p>
    <w:p w14:paraId="634C9479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.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支持建设万卡集群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重点招引基础电信运营商、头部模型大厂在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攀枝花市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布局建设万卡级以上智算集群，综合应用财政、金融、绿色电力等政策工具支持大型、超大型算力设施项目落地。支持存量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数据中心开展节能降碳改造，优先支持申报国家“两新”专项，省级预算内基本建设投资按照项目核定总投资的15%给予支持，单个项目支持额度不超过100万元。（责任单位：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市发展改革委（市数据局）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市经济和信息化局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）</w:t>
      </w:r>
    </w:p>
    <w:p w14:paraId="603FA8B4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3.提升算力</w:t>
      </w:r>
      <w:r>
        <w:rPr>
          <w:rFonts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公共服务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效能</w:t>
      </w:r>
      <w:r>
        <w:rPr>
          <w:rFonts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降低算力使用成本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-SA"/>
        </w:rPr>
        <w:t>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  <w:lang w:bidi="ar-SA"/>
        </w:rPr>
        <w:t>对符合条件的算力购买企业，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 w:bidi="ar-SA"/>
        </w:rPr>
        <w:t>以发放“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  <w:lang w:bidi="ar-SA"/>
        </w:rPr>
        <w:t>创新券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 w:bidi="ar-SA"/>
        </w:rPr>
        <w:t>”的方式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highlight w:val="none"/>
          <w:lang w:bidi="ar-SA"/>
        </w:rPr>
        <w:t>给予补助。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建立“算力券”，对企业购买国产算力费用给予支持，一般企业支持比例不超过20%，成立3年内的初创企业可提高至30%、人工智能一人公司（OPC）可提高至40%，每家单位每年支持最高不超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10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万元。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（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责任单位：市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发展改革委、市科技局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，市财政局、各县（区）人民政府、国家钒钛高新区管委会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）</w:t>
      </w:r>
    </w:p>
    <w:p w14:paraId="6311A8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4.支持数据资源开发利用。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鼓励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企事业单位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牵头建设符合国家相关标准要求的高质量数据集，对获得国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家级或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级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资金支持的高质量数据集、人工智能语料库、数据标注公共服务平台、数据集管理服务平台、数据训练场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5类项目，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经认定给予单个项目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最高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 w:bidi="ar-SA"/>
        </w:rPr>
        <w:t>不超过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bidi="ar-SA"/>
        </w:rPr>
        <w:t>50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万元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支持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  <w:lang w:eastAsia="zh-CN" w:bidi="ar-SA"/>
        </w:rPr>
        <w:t>（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责任单位：市发展改革委（市数据局）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市经济和信息化局、市科技局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、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市财政局、各县（区）人民政府、国家钒钛高新区管委会</w:t>
      </w:r>
      <w:r>
        <w:rPr>
          <w:rFonts w:ascii="Times New Roman" w:hAnsi="Times New Roman" w:eastAsia="方正仿宋_GBK" w:cs="Times New Roman"/>
          <w:sz w:val="32"/>
          <w:szCs w:val="32"/>
          <w:lang w:eastAsia="zh-CN" w:bidi="ar-SA"/>
        </w:rPr>
        <w:t>）</w:t>
      </w:r>
    </w:p>
    <w:p w14:paraId="682364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/>
          <w:bCs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5.支持人工智能一人公司（OPC）创新发展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shd w:val="clear" w:color="auto" w:fill="FFFFFF"/>
          <w:lang w:val="en-US" w:eastAsia="zh-CN"/>
        </w:rPr>
        <w:t>加快建设人工智能OPC社区，推广“政务服务+专业服务”融合模式，推动场景开放对接、加强金融产品供给，持续壮大企业群体</w:t>
      </w:r>
      <w:r>
        <w:rPr>
          <w:rFonts w:ascii="Times New Roman" w:hAnsi="Times New Roman" w:eastAsia="方正仿宋_GBK" w:cs="Times New Roman"/>
          <w:sz w:val="32"/>
          <w:szCs w:val="32"/>
          <w:highlight w:val="none"/>
          <w:shd w:val="clear" w:color="auto" w:fill="FFFFFF"/>
        </w:rPr>
        <w:t>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（责任单位：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市科技局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市经济和信息化局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市人力资源社会保障局、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市市场监管局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）</w:t>
      </w:r>
    </w:p>
    <w:p w14:paraId="1924D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6.降低大模型应用成本。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对通过国、省人工智能登记备案的大模型，依据该模型技术评测（或相应评估）情况以及模型评测相关费用等情况，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以发放“模型券”的方式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给予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牵头单位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最高50万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元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支持。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（责任单位：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市发展改革委（市数据局）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市经济和信息化局、市科技局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市财政局、各县（区）人民政府、国家钒钛高新区管委会）</w:t>
      </w:r>
    </w:p>
    <w:p w14:paraId="301E6F7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7.完善算力应用补贴机制。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设立“词元券”（Token券）补贴大模型标准化应用程序接口（API）调用、智能体运行、生成式AI服务等词元消耗，择优给予实际使用额最高20%、最高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10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万元支持；对人工智能OPC支持比例可扩大到40%。鼓励有条件的地方结合当地产业特色出台配套政策，形成“省级引导、地方叠加”的政策合力。（责任单位：市发展改革委，市科技局、市财政局）</w:t>
      </w:r>
    </w:p>
    <w:p w14:paraId="373F66B5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shd w:val="clear"/>
          <w:lang w:val="en-US" w:eastAsia="zh-CN" w:bidi="ar-SA"/>
        </w:rPr>
        <w:t>8.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shd w:val="clear"/>
          <w:lang w:val="en-US" w:eastAsia="zh-CN" w:bidi="ar-SA"/>
        </w:rPr>
        <w:t>支持招大引强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shd w:val="clear"/>
          <w:lang w:val="en-US" w:eastAsia="zh-CN" w:bidi="ar-SA"/>
        </w:rPr>
        <w:t>育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shd w:val="clear"/>
          <w:lang w:val="en-US" w:eastAsia="zh-CN" w:bidi="ar-SA"/>
        </w:rPr>
        <w:t>优。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对新引进的人工智能头部企业在攀落地“生产线+研发团队+企业总部、区域总部、功能性总部”，且企业为有效国家高新技术企业或科技型中小企业的，如其研发投入增量不低于300万元，则根据企业最近一个会计年度研发投入增量分档给予资金支持：研发投入增量为300万元（含）至1000万元（不含）的，给予不超过20万元补助；1000万元（含）至5000万元（不含）的，给予不超过50万元补助；5000万元（含）至1亿元（不含）的，给予不超过100万元补助；1亿元（含）以上的，给予不超过300万元补助。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（责任单位：市科技局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市发展改革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委（市数据局）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市经济和信息化局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市财政局、各县（区）人民政府、国家钒钛高新区管委会）</w:t>
      </w:r>
    </w:p>
    <w:p w14:paraId="3D75B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  <w:lang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9.支持科技创新和示范应用。</w:t>
      </w:r>
      <w:r>
        <w:rPr>
          <w:rFonts w:hint="eastAsia" w:ascii="Times New Roman" w:hAnsi="Times New Roman" w:eastAsia="方正仿宋_GBK" w:cs="Times New Roman"/>
          <w:sz w:val="28"/>
          <w:szCs w:val="28"/>
          <w:vertAlign w:val="baseline"/>
          <w:lang w:val="en-US" w:eastAsia="zh-CN"/>
        </w:rPr>
        <w:t>“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以‘揭榜挂帅’、定向委托，‘赛马制’等方式组织开展人工智能领域关键核心技术攻关，为符合条件的企事业单位、科研院所、社会团体提供高效便捷科技创新服务，以‘线上科创通+线下科创岛’为依托，为项目提供金融技术服务平台，积极申报省级资金支持，全力推进人工智能重大科技、重点产业链攻关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。对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在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lang w:bidi="ar-SA"/>
        </w:rPr>
        <w:t>资源利用、工业制造、医疗康养、特色农业、文化旅游、政务服务、防灾减灾等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重点领域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新纳入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省级及以上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人工智能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标志性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应用场景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，每个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场景建设单位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给予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 w:bidi="ar-SA"/>
        </w:rPr>
        <w:t>10万元支持。</w:t>
      </w:r>
      <w:r>
        <w:rPr>
          <w:rFonts w:ascii="Times New Roman" w:hAnsi="Times New Roman" w:eastAsia="方正仿宋_GBK" w:cs="Times New Roman"/>
          <w:sz w:val="32"/>
          <w:szCs w:val="32"/>
          <w:lang w:eastAsia="zh-CN" w:bidi="ar-SA"/>
        </w:rPr>
        <w:t>（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责任单位：市科技局，市财政局、各县（区）人民政府、国家钒钛高新区管委会</w:t>
      </w:r>
      <w:r>
        <w:rPr>
          <w:rFonts w:ascii="Times New Roman" w:hAnsi="Times New Roman" w:eastAsia="方正仿宋_GBK" w:cs="Times New Roman"/>
          <w:sz w:val="32"/>
          <w:szCs w:val="32"/>
          <w:lang w:eastAsia="zh-CN" w:bidi="ar-SA"/>
        </w:rPr>
        <w:t>）</w:t>
      </w:r>
    </w:p>
    <w:p w14:paraId="052C526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lang w:val="en-US" w:eastAsia="zh-CN" w:bidi="ar-SA"/>
        </w:rPr>
        <w:t>10.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加大产品推介力度。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支持人工智能企业参与天府人工智能产业生态大会、产品发布大会和应用场景对接大会等省内会展活动；</w:t>
      </w:r>
      <w:bookmarkStart w:id="1" w:name="OLE_LINK2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鼓励人工智能企业参与世界人工智能大会、世界机器人大会、中国计算机大会等国内外知名行业会展活动，大力推广核心产品、链接上下游资源，不断提升影响力。</w:t>
      </w:r>
      <w:bookmarkEnd w:id="1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（责任单位：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市科技局，市发展改革委（市数据局）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 w:bidi="ar-SA"/>
        </w:rPr>
        <w:t>、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市经济和信息化局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、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各县（区）人民政府、国家钒钛高新区管委会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-SA"/>
        </w:rPr>
        <w:t>）</w:t>
      </w:r>
    </w:p>
    <w:p w14:paraId="2811BAB7">
      <w:pPr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本措施自印发之日起施行，有效期2年，在政策实施期间如可同时享受本地区其他同类奖补时，遵循“就高不重复”原则。执行本措施过程中，如遇到国家、省重大政策变动，有关措施作相应调整。所涉奖补资金，根据现行财政管理体制，市与三区及国家钒钛高新区按照 35:65 的比例承担，米易县、盐边县自行承担”。</w:t>
      </w:r>
    </w:p>
    <w:p w14:paraId="1AA8C56B"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panose1 w:val="02000000000000000000"/>
    <w:charset w:val="86"/>
    <w:family w:val="script"/>
    <w:pitch w:val="default"/>
    <w:sig w:usb0="A00002BF" w:usb1="3ACF7CFA" w:usb2="00080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019350DD"/>
    <w:rsid w:val="01F91D13"/>
    <w:rsid w:val="022C04F8"/>
    <w:rsid w:val="06EA248E"/>
    <w:rsid w:val="070210B6"/>
    <w:rsid w:val="0EFD1335"/>
    <w:rsid w:val="10B675FC"/>
    <w:rsid w:val="119B1792"/>
    <w:rsid w:val="16867E3F"/>
    <w:rsid w:val="17974695"/>
    <w:rsid w:val="19E26565"/>
    <w:rsid w:val="1C5D5A83"/>
    <w:rsid w:val="1C8E7C18"/>
    <w:rsid w:val="1D5B2E1C"/>
    <w:rsid w:val="1F6B6915"/>
    <w:rsid w:val="23BF8F66"/>
    <w:rsid w:val="29D10C13"/>
    <w:rsid w:val="2D115651"/>
    <w:rsid w:val="2D96AB4F"/>
    <w:rsid w:val="2DDB511E"/>
    <w:rsid w:val="2FE93B36"/>
    <w:rsid w:val="30571591"/>
    <w:rsid w:val="326370C2"/>
    <w:rsid w:val="35C73672"/>
    <w:rsid w:val="36DDAE03"/>
    <w:rsid w:val="383F1FB1"/>
    <w:rsid w:val="3DB8596E"/>
    <w:rsid w:val="3EA84C9B"/>
    <w:rsid w:val="3F5B24DA"/>
    <w:rsid w:val="3FBCA41F"/>
    <w:rsid w:val="43E17924"/>
    <w:rsid w:val="47052E2F"/>
    <w:rsid w:val="473D2970"/>
    <w:rsid w:val="4B5C8B7F"/>
    <w:rsid w:val="4CBA3672"/>
    <w:rsid w:val="4D2519F9"/>
    <w:rsid w:val="4EA8CB7F"/>
    <w:rsid w:val="4FB5C56A"/>
    <w:rsid w:val="4FB6B0A6"/>
    <w:rsid w:val="4FD611BD"/>
    <w:rsid w:val="58342899"/>
    <w:rsid w:val="59FDBC69"/>
    <w:rsid w:val="5BFBAC12"/>
    <w:rsid w:val="5D25BB8F"/>
    <w:rsid w:val="5E6F2833"/>
    <w:rsid w:val="5F530DC3"/>
    <w:rsid w:val="5FA968EE"/>
    <w:rsid w:val="5FD6635E"/>
    <w:rsid w:val="5FDFC3B1"/>
    <w:rsid w:val="61BD9467"/>
    <w:rsid w:val="620727DC"/>
    <w:rsid w:val="637B4171"/>
    <w:rsid w:val="63F41EFF"/>
    <w:rsid w:val="650065D0"/>
    <w:rsid w:val="66CF1511"/>
    <w:rsid w:val="66EFAB33"/>
    <w:rsid w:val="67D98DE0"/>
    <w:rsid w:val="67FFBBB4"/>
    <w:rsid w:val="6ABC2CB4"/>
    <w:rsid w:val="6B7C1225"/>
    <w:rsid w:val="6FFE040F"/>
    <w:rsid w:val="733FA76E"/>
    <w:rsid w:val="73BF467B"/>
    <w:rsid w:val="74E27B37"/>
    <w:rsid w:val="757059DB"/>
    <w:rsid w:val="75DD3495"/>
    <w:rsid w:val="76D14979"/>
    <w:rsid w:val="771D2BC5"/>
    <w:rsid w:val="777398EF"/>
    <w:rsid w:val="77FAA0E4"/>
    <w:rsid w:val="77FF7571"/>
    <w:rsid w:val="7BBA8CCD"/>
    <w:rsid w:val="7BBF7EAA"/>
    <w:rsid w:val="7BE9A841"/>
    <w:rsid w:val="7CE6664D"/>
    <w:rsid w:val="7D3E06CE"/>
    <w:rsid w:val="7D6C0E0B"/>
    <w:rsid w:val="7DA82BE9"/>
    <w:rsid w:val="7DFBBA4B"/>
    <w:rsid w:val="7DFFE868"/>
    <w:rsid w:val="7E3B65D9"/>
    <w:rsid w:val="7EF27039"/>
    <w:rsid w:val="7EF782E2"/>
    <w:rsid w:val="7EFEA263"/>
    <w:rsid w:val="7F6DBC10"/>
    <w:rsid w:val="7FCF7C66"/>
    <w:rsid w:val="7FDF6B66"/>
    <w:rsid w:val="7FFC3FA8"/>
    <w:rsid w:val="7FFF446F"/>
    <w:rsid w:val="8FBFB2FC"/>
    <w:rsid w:val="8FFEE705"/>
    <w:rsid w:val="976D748F"/>
    <w:rsid w:val="9A0F768A"/>
    <w:rsid w:val="9CF34C4B"/>
    <w:rsid w:val="9E23DB06"/>
    <w:rsid w:val="9E8F9400"/>
    <w:rsid w:val="9F7F7189"/>
    <w:rsid w:val="A4FF6405"/>
    <w:rsid w:val="B5A96291"/>
    <w:rsid w:val="B77F0B5D"/>
    <w:rsid w:val="B9ECBBAC"/>
    <w:rsid w:val="BDBFD1AE"/>
    <w:rsid w:val="BDFE0EC6"/>
    <w:rsid w:val="BECD94B5"/>
    <w:rsid w:val="BFD772B9"/>
    <w:rsid w:val="BFF2D7CF"/>
    <w:rsid w:val="CFDF6EC2"/>
    <w:rsid w:val="D7CD623B"/>
    <w:rsid w:val="D7ED6352"/>
    <w:rsid w:val="D7EF617A"/>
    <w:rsid w:val="DBFF81DC"/>
    <w:rsid w:val="DDEDF617"/>
    <w:rsid w:val="DEED0356"/>
    <w:rsid w:val="DF75975F"/>
    <w:rsid w:val="DFDF7A2A"/>
    <w:rsid w:val="DFEFCA3E"/>
    <w:rsid w:val="DFF2C2FB"/>
    <w:rsid w:val="E36ACCFB"/>
    <w:rsid w:val="EB7B38B5"/>
    <w:rsid w:val="EBFF2C2B"/>
    <w:rsid w:val="EF7FBB22"/>
    <w:rsid w:val="EFDF5512"/>
    <w:rsid w:val="F0DEE685"/>
    <w:rsid w:val="F3BDFC93"/>
    <w:rsid w:val="F3EFF629"/>
    <w:rsid w:val="F5FF3758"/>
    <w:rsid w:val="F7EFCE0B"/>
    <w:rsid w:val="F7FC6554"/>
    <w:rsid w:val="FB3A0A2B"/>
    <w:rsid w:val="FCA2A11A"/>
    <w:rsid w:val="FDFFF1C1"/>
    <w:rsid w:val="FEDF5245"/>
    <w:rsid w:val="FF4B7358"/>
    <w:rsid w:val="FF77F6F8"/>
    <w:rsid w:val="FF7F7A51"/>
    <w:rsid w:val="FFBF628A"/>
    <w:rsid w:val="FFD71AF2"/>
    <w:rsid w:val="FFDF1513"/>
    <w:rsid w:val="FFDF8EAA"/>
    <w:rsid w:val="FFFDACF4"/>
    <w:rsid w:val="FFFF4023"/>
    <w:rsid w:val="FFFFE8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方正兰亭黑_GBK" w:hAnsi="方正兰亭黑_GBK" w:eastAsia="黑体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570"/>
      <w:jc w:val="both"/>
    </w:pPr>
    <w:rPr>
      <w:rFonts w:ascii="宋体"/>
      <w:kern w:val="2"/>
      <w:sz w:val="28"/>
      <w:lang w:val="en-US" w:eastAsia="zh-CN"/>
    </w:rPr>
  </w:style>
  <w:style w:type="paragraph" w:customStyle="1" w:styleId="3">
    <w:name w:val="正文文字 6"/>
    <w:next w:val="1"/>
    <w:qFormat/>
    <w:uiPriority w:val="0"/>
    <w:pPr>
      <w:widowControl w:val="0"/>
      <w:ind w:left="240"/>
      <w:jc w:val="both"/>
    </w:pPr>
    <w:rPr>
      <w:rFonts w:ascii="宋体" w:hAnsi="方正兰亭黑_GBK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7">
    <w:name w:val="table of authorities"/>
    <w:basedOn w:val="1"/>
    <w:next w:val="1"/>
    <w:qFormat/>
    <w:uiPriority w:val="0"/>
    <w:pPr>
      <w:ind w:left="200" w:leftChars="200"/>
    </w:pPr>
  </w:style>
  <w:style w:type="paragraph" w:styleId="8">
    <w:name w:val="annotation text"/>
    <w:basedOn w:val="1"/>
    <w:qFormat/>
    <w:uiPriority w:val="0"/>
    <w:pPr>
      <w:widowControl w:val="0"/>
      <w:jc w:val="left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5</Pages>
  <Words>0</Words>
  <Characters>1536</Characters>
  <Lines>0</Lines>
  <Paragraphs>25</Paragraphs>
  <TotalTime>4</TotalTime>
  <ScaleCrop>false</ScaleCrop>
  <LinksUpToDate>false</LinksUpToDate>
  <CharactersWithSpaces>2049</CharactersWithSpaces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2025-10-11T01:09:00Z</dcterms:created>
  <dc:creator>asus</dc:creator>
  <cp:lastModifiedBy>杨锡涛</cp:lastModifiedBy>
  <cp:lastPrinted>2026-05-14T17:58:00Z</cp:lastPrinted>
  <dcterms:modified xsi:type="dcterms:W3CDTF">2026-10-09T09:56:34Z</dcterms:modified>
  <dc:title>攀枝花市支持人工智能产业高质量发展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235BF65765B84CD9847A5FD1C03616B9</vt:lpwstr>
  </property>
</Properties>
</file>