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E44AC">
      <w:pPr>
        <w:spacing w:line="560" w:lineRule="exact"/>
        <w:jc w:val="center"/>
        <w:outlineLvl w:val="0"/>
        <w:rPr>
          <w:rFonts w:ascii="方正小标宋_GBK" w:eastAsia="方正小标宋_GBK"/>
          <w:b/>
          <w:bCs/>
          <w:sz w:val="44"/>
          <w:szCs w:val="44"/>
        </w:rPr>
      </w:pPr>
      <w:bookmarkStart w:id="1" w:name="_GoBack"/>
      <w:bookmarkEnd w:id="1"/>
      <w:bookmarkStart w:id="0" w:name="_Hlk136613650"/>
      <w:r>
        <w:rPr>
          <w:rFonts w:hint="eastAsia" w:ascii="方正小标宋_GBK" w:eastAsia="方正小标宋_GBK"/>
          <w:b/>
          <w:bCs/>
          <w:sz w:val="44"/>
          <w:szCs w:val="44"/>
          <w:lang w:eastAsia="zh-CN"/>
        </w:rPr>
        <w:t>盐边县</w:t>
      </w:r>
      <w:r>
        <w:rPr>
          <w:rFonts w:hint="eastAsia" w:ascii="方正小标宋_GBK" w:eastAsia="方正小标宋_GBK"/>
          <w:b/>
          <w:bCs/>
          <w:sz w:val="44"/>
          <w:szCs w:val="44"/>
          <w:lang w:val="en-US" w:eastAsia="zh-CN"/>
        </w:rPr>
        <w:t>温泉彝族乡热水塘</w:t>
      </w:r>
      <w:r>
        <w:rPr>
          <w:rFonts w:hint="eastAsia" w:ascii="方正小标宋_GBK" w:eastAsia="方正小标宋_GBK"/>
          <w:b/>
          <w:bCs/>
          <w:sz w:val="44"/>
          <w:szCs w:val="44"/>
          <w:lang w:eastAsia="zh-CN"/>
        </w:rPr>
        <w:t>村国土空间规划</w:t>
      </w:r>
      <w:r>
        <w:rPr>
          <w:rFonts w:hint="eastAsia" w:ascii="方正小标宋_GBK" w:eastAsia="方正小标宋_GBK"/>
          <w:b/>
          <w:bCs/>
          <w:sz w:val="44"/>
          <w:szCs w:val="44"/>
        </w:rPr>
        <w:t>（202</w:t>
      </w:r>
      <w:r>
        <w:rPr>
          <w:rFonts w:hint="eastAsia" w:ascii="方正小标宋_GBK" w:eastAsia="方正小标宋_GBK"/>
          <w:b/>
          <w:bCs/>
          <w:sz w:val="44"/>
          <w:szCs w:val="44"/>
          <w:lang w:val="en-US" w:eastAsia="zh-CN"/>
        </w:rPr>
        <w:t>5</w:t>
      </w:r>
      <w:r>
        <w:rPr>
          <w:rFonts w:hint="eastAsia" w:ascii="方正小标宋_GBK" w:eastAsia="方正小标宋_GBK"/>
          <w:b/>
          <w:bCs/>
          <w:sz w:val="44"/>
          <w:szCs w:val="44"/>
          <w:lang w:eastAsia="zh-CN"/>
        </w:rPr>
        <w:t>—</w:t>
      </w:r>
      <w:r>
        <w:rPr>
          <w:rFonts w:hint="eastAsia" w:ascii="方正小标宋_GBK" w:eastAsia="方正小标宋_GBK"/>
          <w:b/>
          <w:bCs/>
          <w:sz w:val="44"/>
          <w:szCs w:val="44"/>
        </w:rPr>
        <w:t>2035年）规划简介</w:t>
      </w:r>
    </w:p>
    <w:p w14:paraId="0EA84ABA">
      <w:pPr>
        <w:spacing w:line="560" w:lineRule="exact"/>
        <w:jc w:val="center"/>
        <w:rPr>
          <w:rFonts w:ascii="方正小标宋_GBK" w:eastAsia="方正小标宋_GBK"/>
          <w:b/>
          <w:bCs/>
          <w:sz w:val="44"/>
          <w:szCs w:val="44"/>
        </w:rPr>
      </w:pPr>
    </w:p>
    <w:bookmarkEnd w:id="0"/>
    <w:p w14:paraId="57BB1E10">
      <w:pPr>
        <w:numPr>
          <w:ilvl w:val="0"/>
          <w:numId w:val="1"/>
        </w:numPr>
        <w:spacing w:line="280" w:lineRule="exact"/>
        <w:ind w:firstLine="640"/>
        <w:outlineLvl w:val="0"/>
        <w:rPr>
          <w:rFonts w:eastAsia="黑体"/>
          <w:bCs/>
          <w:sz w:val="22"/>
          <w:szCs w:val="22"/>
        </w:rPr>
        <w:sectPr>
          <w:headerReference r:id="rId3" w:type="default"/>
          <w:footerReference r:id="rId4" w:type="default"/>
          <w:type w:val="continuous"/>
          <w:pgSz w:w="23811" w:h="16838" w:orient="landscape"/>
          <w:pgMar w:top="1134" w:right="1134" w:bottom="1134" w:left="1134" w:header="851" w:footer="992" w:gutter="0"/>
          <w:cols w:space="425" w:num="1"/>
          <w:docGrid w:type="lines" w:linePitch="312" w:charSpace="0"/>
        </w:sectPr>
      </w:pPr>
    </w:p>
    <w:p w14:paraId="19BCACFF">
      <w:pPr>
        <w:numPr>
          <w:ilvl w:val="0"/>
          <w:numId w:val="1"/>
        </w:numPr>
        <w:spacing w:before="62" w:beforeLines="20" w:after="62" w:afterLines="20" w:line="264" w:lineRule="auto"/>
        <w:ind w:firstLine="640"/>
        <w:outlineLvl w:val="0"/>
        <w:rPr>
          <w:rFonts w:eastAsia="黑体"/>
          <w:bCs/>
          <w:sz w:val="22"/>
          <w:szCs w:val="22"/>
        </w:rPr>
      </w:pPr>
      <w:r>
        <w:rPr>
          <w:rFonts w:eastAsia="黑体"/>
          <w:bCs/>
          <w:sz w:val="22"/>
          <w:szCs w:val="22"/>
        </w:rPr>
        <w:t>规划位置及范围</w:t>
      </w:r>
    </w:p>
    <w:p w14:paraId="67BB04EB">
      <w:pPr>
        <w:spacing w:before="62" w:beforeLines="20" w:after="62" w:afterLines="20" w:line="264" w:lineRule="auto"/>
        <w:ind w:firstLine="440" w:firstLineChars="200"/>
        <w:rPr>
          <w:rFonts w:hint="eastAsia" w:eastAsia="仿宋_GB2312"/>
          <w:sz w:val="22"/>
          <w:szCs w:val="22"/>
          <w:lang w:eastAsia="zh-CN"/>
        </w:rPr>
      </w:pPr>
      <w:r>
        <w:rPr>
          <w:rFonts w:hint="eastAsia" w:eastAsia="仿宋_GB2312"/>
          <w:sz w:val="22"/>
          <w:szCs w:val="22"/>
        </w:rPr>
        <w:t>热水塘村位于温泉彝族乡中部，是乡人民政府驻地及热水塘村级片区中心村。该村西接野麻地村，南邻那片村，北与道角村、格萨拉支六河村相接，东与永兴箐河村、苍蒲村相邻。村域与攀枝花市区、盐边县城的直线距离均约68公里，与四川盐边格萨拉地质公园直线距离约18公里。县道X047（箐温路）贯穿集镇并向东延伸至永兴箐河村与省道S221相连。</w:t>
      </w:r>
      <w:r>
        <w:rPr>
          <w:rFonts w:hint="eastAsia" w:eastAsia="仿宋_GB2312"/>
          <w:sz w:val="22"/>
          <w:szCs w:val="22"/>
          <w:lang w:eastAsia="zh-CN"/>
        </w:rPr>
        <w:t>本次规划范围为盐边县</w:t>
      </w:r>
      <w:r>
        <w:rPr>
          <w:rFonts w:hint="eastAsia" w:eastAsia="仿宋_GB2312"/>
          <w:sz w:val="22"/>
          <w:szCs w:val="22"/>
          <w:lang w:val="en-US" w:eastAsia="zh-CN"/>
        </w:rPr>
        <w:t>温泉彝族乡热水塘</w:t>
      </w:r>
      <w:r>
        <w:rPr>
          <w:rFonts w:hint="eastAsia" w:eastAsia="仿宋_GB2312"/>
          <w:sz w:val="22"/>
          <w:szCs w:val="22"/>
          <w:lang w:eastAsia="zh-CN"/>
        </w:rPr>
        <w:t>村，</w:t>
      </w:r>
      <w:r>
        <w:rPr>
          <w:rFonts w:hint="eastAsia" w:eastAsia="仿宋_GB2312"/>
          <w:sz w:val="22"/>
          <w:szCs w:val="22"/>
          <w:lang w:val="en-US" w:eastAsia="zh-CN"/>
        </w:rPr>
        <w:t>包含</w:t>
      </w:r>
      <w:r>
        <w:rPr>
          <w:rFonts w:hint="eastAsia" w:eastAsia="仿宋_GB2312"/>
          <w:sz w:val="22"/>
          <w:szCs w:val="22"/>
          <w:lang w:eastAsia="zh-CN"/>
        </w:rPr>
        <w:t>钱家屋基组、王家村组、热水塘组、铁匠坪组、三福组、新都组、老街子组7个村民小组，总面积1187.88公顷。</w:t>
      </w:r>
    </w:p>
    <w:p w14:paraId="497F61D1">
      <w:pPr>
        <w:numPr>
          <w:ilvl w:val="0"/>
          <w:numId w:val="1"/>
        </w:numPr>
        <w:spacing w:before="62" w:beforeLines="20" w:after="62" w:afterLines="20" w:line="264" w:lineRule="auto"/>
        <w:ind w:firstLine="640"/>
        <w:outlineLvl w:val="0"/>
        <w:rPr>
          <w:rFonts w:eastAsia="黑体"/>
          <w:bCs/>
          <w:sz w:val="22"/>
          <w:szCs w:val="22"/>
        </w:rPr>
      </w:pPr>
      <w:r>
        <w:rPr>
          <w:rFonts w:hint="eastAsia" w:eastAsia="黑体"/>
          <w:bCs/>
          <w:sz w:val="22"/>
          <w:szCs w:val="22"/>
        </w:rPr>
        <w:t>规划期限</w:t>
      </w:r>
    </w:p>
    <w:p w14:paraId="0D4DE780">
      <w:pPr>
        <w:spacing w:before="62" w:beforeLines="20" w:after="62" w:afterLines="20" w:line="264" w:lineRule="auto"/>
        <w:ind w:firstLine="440" w:firstLineChars="200"/>
        <w:rPr>
          <w:rFonts w:eastAsia="仿宋_GB2312"/>
          <w:sz w:val="22"/>
          <w:szCs w:val="22"/>
        </w:rPr>
      </w:pPr>
      <w:r>
        <w:rPr>
          <w:rFonts w:hint="eastAsia" w:eastAsia="仿宋_GB2312"/>
          <w:sz w:val="22"/>
          <w:szCs w:val="22"/>
        </w:rPr>
        <w:t>规划期限为2025—2035年，规划基期年为2024年，规划目标年为2035年，近期目标年为2030年。</w:t>
      </w:r>
    </w:p>
    <w:p w14:paraId="6515BA43">
      <w:pPr>
        <w:numPr>
          <w:ilvl w:val="0"/>
          <w:numId w:val="1"/>
        </w:numPr>
        <w:spacing w:before="62" w:beforeLines="20" w:after="62" w:afterLines="20" w:line="264" w:lineRule="auto"/>
        <w:ind w:firstLine="640"/>
        <w:outlineLvl w:val="0"/>
        <w:rPr>
          <w:rFonts w:eastAsia="黑体"/>
          <w:bCs/>
          <w:sz w:val="22"/>
          <w:szCs w:val="22"/>
        </w:rPr>
      </w:pPr>
      <w:r>
        <w:rPr>
          <w:rFonts w:hint="eastAsia" w:eastAsia="黑体"/>
          <w:bCs/>
          <w:sz w:val="22"/>
          <w:szCs w:val="22"/>
          <w:lang w:val="en-US" w:eastAsia="zh-CN"/>
        </w:rPr>
        <w:t>规划</w:t>
      </w:r>
      <w:r>
        <w:rPr>
          <w:rFonts w:hint="eastAsia" w:eastAsia="黑体"/>
          <w:bCs/>
          <w:sz w:val="22"/>
          <w:szCs w:val="22"/>
        </w:rPr>
        <w:t>定位</w:t>
      </w:r>
    </w:p>
    <w:p w14:paraId="26BAD9A2">
      <w:pPr>
        <w:pStyle w:val="14"/>
        <w:spacing w:before="62" w:beforeLines="20" w:beforeAutospacing="0" w:after="62" w:afterLines="20" w:afterAutospacing="0" w:line="264" w:lineRule="auto"/>
        <w:ind w:firstLine="440" w:firstLineChars="200"/>
        <w:jc w:val="both"/>
        <w:rPr>
          <w:rFonts w:ascii="Times New Roman" w:hAnsi="Times New Roman" w:eastAsia="仿宋_GB2312" w:cs="Times New Roman"/>
          <w:kern w:val="2"/>
          <w:sz w:val="22"/>
          <w:szCs w:val="22"/>
        </w:rPr>
      </w:pPr>
      <w:r>
        <w:rPr>
          <w:rFonts w:hint="eastAsia" w:ascii="Times New Roman" w:hAnsi="Times New Roman" w:eastAsia="仿宋_GB2312" w:cs="Times New Roman"/>
          <w:kern w:val="2"/>
          <w:sz w:val="22"/>
          <w:szCs w:val="22"/>
        </w:rPr>
        <w:t>总体定位：以温泉生态康养度假、民族文化体验、特色农产品种养为主的宜居宜业和美乡村。</w:t>
      </w:r>
    </w:p>
    <w:p w14:paraId="2222F440">
      <w:pPr>
        <w:numPr>
          <w:ilvl w:val="0"/>
          <w:numId w:val="1"/>
        </w:numPr>
        <w:spacing w:before="62" w:beforeLines="20" w:after="62" w:afterLines="20" w:line="264" w:lineRule="auto"/>
        <w:ind w:firstLine="640"/>
        <w:outlineLvl w:val="0"/>
        <w:rPr>
          <w:rFonts w:eastAsia="黑体"/>
          <w:bCs/>
          <w:sz w:val="22"/>
          <w:szCs w:val="22"/>
        </w:rPr>
      </w:pPr>
      <w:r>
        <w:rPr>
          <w:rFonts w:hint="eastAsia" w:eastAsia="黑体"/>
          <w:bCs/>
          <w:sz w:val="22"/>
          <w:szCs w:val="22"/>
        </w:rPr>
        <w:t>规划思路</w:t>
      </w:r>
    </w:p>
    <w:p w14:paraId="60F91793">
      <w:pPr>
        <w:spacing w:before="62" w:beforeLines="20" w:after="62" w:afterLines="20" w:line="264" w:lineRule="auto"/>
        <w:ind w:firstLine="440" w:firstLineChars="200"/>
        <w:rPr>
          <w:rFonts w:eastAsia="仿宋_GB2312"/>
          <w:sz w:val="22"/>
          <w:szCs w:val="22"/>
        </w:rPr>
      </w:pPr>
      <w:r>
        <w:rPr>
          <w:rFonts w:hint="eastAsia" w:eastAsia="仿宋_GB2312"/>
          <w:sz w:val="22"/>
          <w:szCs w:val="22"/>
        </w:rPr>
        <w:t>以习近平新时代中国特色社会主义思想为指导，全面贯彻党的二十大及二十届历次全会精神，深入落实习近平总书记关于“三农”工作的重要论述和来川视察重要指示精神，以学习运用“千万工程”经验为引领，锚定农业农村现代化目标，扎实推进乡村全面振兴。紧扣四川省“四化同步、城乡融合、五区共兴”发展战略，衔接攀枝花市发展战略与工作部署，落实盐边县“一区五县、共富共兴”总体战略及“钒钛首县、滋味盐边”山区共富试验先行区建设目标。立足热水塘村自然本底、人文禀赋及发展实际，坚持以人民为中心，严守耕地保护红线与生态安全底线，以“多规合一”为路径，聚焦村民急难愁盼，统筹村域生产、生活、生态空间布局，完善基础设施与公共服务配套，持续改善人居环境，畅通城乡要素双向流动，培育乡村发展新动能，提升村级国土空间治理现代化水平，全力建设宜居宜业和美乡村，为巩固拓展脱贫攻坚成果、推动乡村全面振兴提供坚实保障。</w:t>
      </w:r>
    </w:p>
    <w:p w14:paraId="185F7E88">
      <w:pPr>
        <w:numPr>
          <w:ilvl w:val="0"/>
          <w:numId w:val="1"/>
        </w:numPr>
        <w:spacing w:before="62" w:beforeLines="20" w:after="62" w:afterLines="20" w:line="264" w:lineRule="auto"/>
        <w:ind w:firstLine="640"/>
        <w:outlineLvl w:val="0"/>
        <w:rPr>
          <w:rFonts w:eastAsia="黑体"/>
          <w:bCs/>
          <w:sz w:val="22"/>
          <w:szCs w:val="22"/>
        </w:rPr>
      </w:pPr>
      <w:r>
        <w:rPr>
          <w:rFonts w:hint="eastAsia" w:eastAsia="黑体"/>
          <w:bCs/>
          <w:sz w:val="22"/>
          <w:szCs w:val="22"/>
        </w:rPr>
        <w:t>规划目标</w:t>
      </w:r>
    </w:p>
    <w:p w14:paraId="13B96BDE">
      <w:pPr>
        <w:spacing w:before="62" w:beforeLines="20" w:after="62" w:afterLines="20" w:line="264" w:lineRule="auto"/>
        <w:ind w:firstLine="440" w:firstLineChars="200"/>
        <w:rPr>
          <w:rFonts w:eastAsia="仿宋_GB2312"/>
          <w:sz w:val="22"/>
          <w:szCs w:val="22"/>
          <w:highlight w:val="none"/>
        </w:rPr>
      </w:pPr>
      <w:r>
        <w:rPr>
          <w:rFonts w:hint="eastAsia" w:eastAsia="仿宋_GB2312"/>
          <w:sz w:val="22"/>
          <w:szCs w:val="22"/>
        </w:rPr>
        <w:t>规划至2030年，严格落实上位规划传导的耕地保有量、永久基本农田保护面积、村庄建设边界等指标。村内闲置资产得到充分盘活利用，公共文化服务体系更加健全，交通设施更加完善，市政设施持续优化</w:t>
      </w:r>
      <w:r>
        <w:rPr>
          <w:rFonts w:hint="eastAsia" w:eastAsia="仿宋_GB2312"/>
          <w:sz w:val="22"/>
          <w:szCs w:val="22"/>
          <w:lang w:eastAsia="zh-CN"/>
        </w:rPr>
        <w:t>；</w:t>
      </w:r>
      <w:r>
        <w:rPr>
          <w:rFonts w:hint="eastAsia" w:eastAsia="仿宋_GB2312"/>
          <w:sz w:val="22"/>
          <w:szCs w:val="22"/>
        </w:rPr>
        <w:t>现代农业产业体系基本成型，农文旅融合业态取得阶段性成效，旅游接待服务水平不断提升，乡村旅游收入持续增</w:t>
      </w:r>
      <w:r>
        <w:rPr>
          <w:rFonts w:hint="eastAsia" w:eastAsia="仿宋_GB2312"/>
          <w:sz w:val="22"/>
          <w:szCs w:val="22"/>
          <w:highlight w:val="none"/>
        </w:rPr>
        <w:t>长。规划至2035年，人口经济承载能力显著提升，</w:t>
      </w:r>
      <w:r>
        <w:rPr>
          <w:rFonts w:hint="eastAsia" w:eastAsia="仿宋_GB2312"/>
          <w:sz w:val="22"/>
          <w:szCs w:val="22"/>
          <w:highlight w:val="none"/>
          <w:lang w:val="en-US" w:eastAsia="zh-CN"/>
        </w:rPr>
        <w:t>村落</w:t>
      </w:r>
      <w:r>
        <w:rPr>
          <w:rFonts w:hint="eastAsia" w:eastAsia="仿宋_GB2312"/>
          <w:sz w:val="22"/>
          <w:szCs w:val="22"/>
          <w:highlight w:val="none"/>
        </w:rPr>
        <w:t>整体特色风貌全面彰显</w:t>
      </w:r>
      <w:r>
        <w:rPr>
          <w:rFonts w:hint="eastAsia" w:eastAsia="仿宋_GB2312"/>
          <w:sz w:val="22"/>
          <w:szCs w:val="22"/>
          <w:highlight w:val="none"/>
          <w:lang w:eastAsia="zh-CN"/>
        </w:rPr>
        <w:t>，</w:t>
      </w:r>
      <w:r>
        <w:rPr>
          <w:rFonts w:hint="eastAsia" w:eastAsia="仿宋_GB2312"/>
          <w:sz w:val="22"/>
          <w:szCs w:val="22"/>
          <w:highlight w:val="none"/>
        </w:rPr>
        <w:t>形成生产空间集约高效、生活空间宜居适度、生态空间山清水秀的国土空间</w:t>
      </w:r>
      <w:r>
        <w:rPr>
          <w:rFonts w:hint="eastAsia" w:eastAsia="仿宋_GB2312"/>
          <w:sz w:val="22"/>
          <w:szCs w:val="22"/>
          <w:highlight w:val="none"/>
          <w:lang w:val="en-US" w:eastAsia="zh-CN"/>
        </w:rPr>
        <w:t>新</w:t>
      </w:r>
      <w:r>
        <w:rPr>
          <w:rFonts w:hint="eastAsia" w:eastAsia="仿宋_GB2312"/>
          <w:sz w:val="22"/>
          <w:szCs w:val="22"/>
          <w:highlight w:val="none"/>
        </w:rPr>
        <w:t>格局，基本实现国土空间治理体系和治理能力现代化。</w:t>
      </w:r>
    </w:p>
    <w:p w14:paraId="3AFBF030">
      <w:pPr>
        <w:numPr>
          <w:ilvl w:val="0"/>
          <w:numId w:val="1"/>
        </w:numPr>
        <w:spacing w:before="62" w:beforeLines="20" w:after="62" w:afterLines="20" w:line="264" w:lineRule="auto"/>
        <w:ind w:firstLine="640"/>
        <w:outlineLvl w:val="0"/>
        <w:rPr>
          <w:rFonts w:eastAsia="黑体"/>
          <w:bCs/>
          <w:sz w:val="22"/>
          <w:szCs w:val="22"/>
          <w:highlight w:val="none"/>
        </w:rPr>
      </w:pPr>
      <w:r>
        <w:rPr>
          <w:rFonts w:hint="eastAsia" w:eastAsia="黑体"/>
          <w:bCs/>
          <w:sz w:val="22"/>
          <w:szCs w:val="22"/>
          <w:highlight w:val="none"/>
        </w:rPr>
        <w:t>底线约束</w:t>
      </w:r>
    </w:p>
    <w:p w14:paraId="7BE3AF72">
      <w:pPr>
        <w:numPr>
          <w:ilvl w:val="0"/>
          <w:numId w:val="2"/>
        </w:numPr>
        <w:spacing w:before="62" w:beforeLines="20" w:after="62" w:afterLines="20" w:line="264" w:lineRule="auto"/>
        <w:ind w:left="0" w:leftChars="0" w:firstLine="420" w:firstLineChars="0"/>
        <w:rPr>
          <w:rFonts w:hint="default" w:ascii="楷体" w:hAnsi="楷体" w:eastAsia="楷体" w:cs="楷体"/>
          <w:sz w:val="22"/>
          <w:szCs w:val="22"/>
          <w:highlight w:val="none"/>
          <w:lang w:val="en-US" w:eastAsia="zh-CN"/>
        </w:rPr>
      </w:pPr>
      <w:r>
        <w:rPr>
          <w:rFonts w:hint="eastAsia" w:ascii="楷体" w:hAnsi="楷体" w:eastAsia="楷体" w:cs="楷体"/>
          <w:sz w:val="22"/>
          <w:szCs w:val="22"/>
          <w:highlight w:val="none"/>
          <w:lang w:val="en-US" w:eastAsia="zh-CN"/>
        </w:rPr>
        <w:t>三条控制线</w:t>
      </w:r>
    </w:p>
    <w:p w14:paraId="6E5D5D29">
      <w:pPr>
        <w:numPr>
          <w:ilvl w:val="0"/>
          <w:numId w:val="3"/>
        </w:numPr>
        <w:spacing w:before="62" w:beforeLines="20" w:after="62" w:afterLines="20" w:line="264" w:lineRule="auto"/>
        <w:ind w:left="0" w:leftChars="0" w:firstLine="400" w:firstLineChars="0"/>
        <w:rPr>
          <w:rFonts w:hint="eastAsia" w:ascii="Times New Roman" w:hAnsi="Times New Roman" w:eastAsia="仿宋_GB2312" w:cs="Times New Roman"/>
          <w:sz w:val="22"/>
          <w:szCs w:val="22"/>
          <w:highlight w:val="none"/>
        </w:rPr>
      </w:pPr>
      <w:r>
        <w:rPr>
          <w:rFonts w:hint="eastAsia" w:eastAsia="仿宋_GB2312" w:cs="Times New Roman"/>
          <w:sz w:val="22"/>
          <w:szCs w:val="22"/>
          <w:highlight w:val="none"/>
          <w:lang w:val="en-US" w:eastAsia="zh-CN"/>
        </w:rPr>
        <w:t>耕地和永久基本农田</w:t>
      </w:r>
    </w:p>
    <w:p w14:paraId="63187101">
      <w:pPr>
        <w:spacing w:before="62" w:beforeLines="20" w:after="62" w:afterLines="20" w:line="264" w:lineRule="auto"/>
        <w:ind w:firstLine="440" w:firstLineChars="200"/>
        <w:rPr>
          <w:rFonts w:eastAsia="仿宋_GB2312"/>
          <w:sz w:val="22"/>
          <w:szCs w:val="22"/>
          <w:highlight w:val="none"/>
        </w:rPr>
      </w:pPr>
      <w:r>
        <w:rPr>
          <w:rFonts w:hint="eastAsia" w:eastAsia="仿宋_GB2312"/>
          <w:sz w:val="22"/>
          <w:szCs w:val="22"/>
          <w:highlight w:val="none"/>
        </w:rPr>
        <w:t>严格落实并传导上位规划下达的耕地保护和永久基本农田目标任务，确定热水塘村耕地保有量为202.41公顷（3036.15亩），永久基本农田划定面积167.01公顷（2505.15亩）。</w:t>
      </w:r>
    </w:p>
    <w:p w14:paraId="6F7875D6">
      <w:pPr>
        <w:numPr>
          <w:ilvl w:val="0"/>
          <w:numId w:val="3"/>
        </w:numPr>
        <w:spacing w:before="62" w:beforeLines="20" w:after="62" w:afterLines="20" w:line="264" w:lineRule="auto"/>
        <w:ind w:left="0" w:leftChars="0" w:firstLine="400" w:firstLineChars="0"/>
        <w:rPr>
          <w:rFonts w:hint="eastAsia" w:ascii="Times New Roman" w:hAnsi="Times New Roman" w:eastAsia="仿宋_GB2312" w:cs="Times New Roman"/>
          <w:sz w:val="22"/>
          <w:szCs w:val="22"/>
          <w:highlight w:val="none"/>
          <w:lang w:val="en-US" w:eastAsia="zh-CN"/>
        </w:rPr>
      </w:pPr>
      <w:r>
        <w:rPr>
          <w:rFonts w:hint="eastAsia" w:ascii="Times New Roman" w:hAnsi="Times New Roman" w:eastAsia="仿宋_GB2312" w:cs="Times New Roman"/>
          <w:sz w:val="22"/>
          <w:szCs w:val="22"/>
          <w:highlight w:val="none"/>
          <w:lang w:val="en-US" w:eastAsia="zh-CN"/>
        </w:rPr>
        <w:t>生态保护红线</w:t>
      </w:r>
    </w:p>
    <w:p w14:paraId="3AE6FE25">
      <w:pPr>
        <w:spacing w:before="62" w:beforeLines="20" w:after="62" w:afterLines="20" w:line="264" w:lineRule="auto"/>
        <w:ind w:firstLine="440" w:firstLineChars="200"/>
        <w:rPr>
          <w:rFonts w:hint="eastAsia" w:eastAsia="仿宋_GB2312"/>
          <w:sz w:val="22"/>
          <w:szCs w:val="22"/>
          <w:highlight w:val="none"/>
        </w:rPr>
      </w:pPr>
      <w:r>
        <w:rPr>
          <w:rFonts w:hint="eastAsia" w:eastAsia="仿宋_GB2312"/>
          <w:sz w:val="22"/>
          <w:szCs w:val="22"/>
          <w:highlight w:val="none"/>
        </w:rPr>
        <w:t>本村不涉及生态保护红线。</w:t>
      </w:r>
    </w:p>
    <w:p w14:paraId="185FA47C">
      <w:pPr>
        <w:numPr>
          <w:ilvl w:val="0"/>
          <w:numId w:val="3"/>
        </w:numPr>
        <w:spacing w:before="62" w:beforeLines="20" w:after="62" w:afterLines="20" w:line="264" w:lineRule="auto"/>
        <w:ind w:left="0" w:leftChars="0" w:firstLine="400" w:firstLineChars="0"/>
        <w:rPr>
          <w:rFonts w:hint="eastAsia" w:ascii="Times New Roman" w:hAnsi="Times New Roman" w:eastAsia="仿宋_GB2312" w:cs="Times New Roman"/>
          <w:sz w:val="22"/>
          <w:szCs w:val="22"/>
          <w:highlight w:val="none"/>
        </w:rPr>
      </w:pPr>
      <w:r>
        <w:rPr>
          <w:rFonts w:hint="eastAsia" w:ascii="Times New Roman" w:hAnsi="Times New Roman" w:eastAsia="仿宋_GB2312" w:cs="Times New Roman"/>
          <w:sz w:val="22"/>
          <w:szCs w:val="22"/>
          <w:highlight w:val="none"/>
          <w:lang w:val="en-US" w:eastAsia="zh-CN"/>
        </w:rPr>
        <w:t>城镇开发边界</w:t>
      </w:r>
    </w:p>
    <w:p w14:paraId="731891A0">
      <w:pPr>
        <w:spacing w:before="62" w:beforeLines="20" w:after="62" w:afterLines="20" w:line="264" w:lineRule="auto"/>
        <w:ind w:firstLine="440" w:firstLineChars="200"/>
        <w:rPr>
          <w:rFonts w:hint="eastAsia"/>
          <w:highlight w:val="none"/>
        </w:rPr>
      </w:pPr>
      <w:r>
        <w:rPr>
          <w:rFonts w:hint="eastAsia" w:ascii="Times New Roman" w:hAnsi="Times New Roman" w:eastAsia="仿宋_GB2312" w:cs="Times New Roman"/>
          <w:sz w:val="22"/>
          <w:szCs w:val="22"/>
          <w:highlight w:val="none"/>
          <w:lang w:val="en-US" w:eastAsia="zh-CN"/>
        </w:rPr>
        <w:t>本村不涉及城镇开发边界。</w:t>
      </w:r>
    </w:p>
    <w:p w14:paraId="1724C161">
      <w:pPr>
        <w:numPr>
          <w:ilvl w:val="0"/>
          <w:numId w:val="2"/>
        </w:numPr>
        <w:spacing w:before="62" w:beforeLines="20" w:after="62" w:afterLines="20" w:line="264" w:lineRule="auto"/>
        <w:ind w:left="0" w:leftChars="0" w:firstLine="420" w:firstLineChars="0"/>
        <w:rPr>
          <w:rFonts w:hint="eastAsia" w:ascii="楷体" w:hAnsi="楷体" w:eastAsia="楷体" w:cs="楷体"/>
          <w:sz w:val="22"/>
          <w:szCs w:val="22"/>
          <w:highlight w:val="none"/>
          <w:lang w:val="en-US" w:eastAsia="zh-CN"/>
        </w:rPr>
      </w:pPr>
      <w:r>
        <w:rPr>
          <w:rFonts w:hint="eastAsia" w:ascii="楷体" w:hAnsi="楷体" w:eastAsia="楷体" w:cs="楷体"/>
          <w:sz w:val="22"/>
          <w:szCs w:val="22"/>
          <w:highlight w:val="none"/>
          <w:lang w:val="en-US" w:eastAsia="zh-CN"/>
        </w:rPr>
        <w:t>其他保护线</w:t>
      </w:r>
    </w:p>
    <w:p w14:paraId="489944ED">
      <w:pPr>
        <w:numPr>
          <w:ilvl w:val="0"/>
          <w:numId w:val="4"/>
        </w:numPr>
        <w:spacing w:before="62" w:beforeLines="20" w:after="62" w:afterLines="20" w:line="264" w:lineRule="auto"/>
        <w:ind w:left="0" w:leftChars="0" w:firstLine="400" w:firstLineChars="0"/>
        <w:rPr>
          <w:rFonts w:hint="eastAsia" w:ascii="Times New Roman" w:hAnsi="Times New Roman" w:eastAsia="仿宋_GB2312" w:cs="Times New Roman"/>
          <w:sz w:val="22"/>
          <w:szCs w:val="22"/>
          <w:highlight w:val="none"/>
        </w:rPr>
      </w:pPr>
      <w:r>
        <w:rPr>
          <w:rFonts w:hint="eastAsia" w:ascii="Times New Roman" w:hAnsi="Times New Roman" w:eastAsia="仿宋_GB2312" w:cs="Times New Roman"/>
          <w:sz w:val="22"/>
          <w:szCs w:val="22"/>
          <w:highlight w:val="none"/>
        </w:rPr>
        <w:t>洪涝风险控制线</w:t>
      </w:r>
    </w:p>
    <w:p w14:paraId="04B7E062">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rPr>
      </w:pPr>
      <w:r>
        <w:rPr>
          <w:rFonts w:hint="eastAsia" w:ascii="Times New Roman" w:hAnsi="Times New Roman" w:eastAsia="仿宋_GB2312" w:cs="Times New Roman"/>
          <w:sz w:val="22"/>
          <w:szCs w:val="22"/>
          <w:highlight w:val="none"/>
        </w:rPr>
        <w:t>严格落实上位规划划定的洪涝风险控制线，村域涉及永兴河（热水河），面积8.52公顷。</w:t>
      </w:r>
    </w:p>
    <w:p w14:paraId="4C935589">
      <w:pPr>
        <w:numPr>
          <w:ilvl w:val="0"/>
          <w:numId w:val="4"/>
        </w:numPr>
        <w:spacing w:before="62" w:beforeLines="20" w:after="62" w:afterLines="20" w:line="264" w:lineRule="auto"/>
        <w:ind w:left="0" w:leftChars="0" w:firstLine="400" w:firstLineChars="0"/>
        <w:rPr>
          <w:rFonts w:hint="eastAsia" w:ascii="Times New Roman" w:hAnsi="Times New Roman" w:eastAsia="仿宋_GB2312" w:cs="Times New Roman"/>
          <w:sz w:val="22"/>
          <w:szCs w:val="22"/>
          <w:highlight w:val="none"/>
        </w:rPr>
      </w:pPr>
      <w:r>
        <w:rPr>
          <w:rFonts w:hint="eastAsia" w:eastAsia="仿宋_GB2312" w:cs="Times New Roman"/>
          <w:sz w:val="22"/>
          <w:szCs w:val="22"/>
          <w:highlight w:val="none"/>
          <w:lang w:val="en-US" w:eastAsia="zh-CN"/>
        </w:rPr>
        <w:t>地质灾害防控线</w:t>
      </w:r>
    </w:p>
    <w:p w14:paraId="405781EA">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eastAsia="zh-CN"/>
        </w:rPr>
      </w:pPr>
      <w:r>
        <w:rPr>
          <w:rFonts w:hint="eastAsia" w:ascii="Times New Roman" w:hAnsi="Times New Roman" w:eastAsia="仿宋_GB2312" w:cs="Times New Roman"/>
          <w:sz w:val="22"/>
          <w:szCs w:val="22"/>
          <w:highlight w:val="none"/>
        </w:rPr>
        <w:t>结合《盐边县斜坡地质灾害隐患风险详查及重点场镇地质灾害1：10000精细化调查》，村内存在1处地质灾害隐患点，即温泉乡热水塘村垮山沟泥石流，已于2024年通过工程治理完成销号；涉及低风险区1030.63公顷，中风险区157.25公顷；涉及低危险区177.65公顷，中危险区1010.23公顷。</w:t>
      </w:r>
    </w:p>
    <w:p w14:paraId="5F8785A7">
      <w:pPr>
        <w:numPr>
          <w:ilvl w:val="0"/>
          <w:numId w:val="4"/>
        </w:numPr>
        <w:spacing w:before="62" w:beforeLines="20" w:after="62" w:afterLines="20" w:line="264" w:lineRule="auto"/>
        <w:ind w:left="0" w:leftChars="0" w:firstLine="400" w:firstLineChars="0"/>
        <w:rPr>
          <w:rFonts w:hint="eastAsia" w:ascii="Times New Roman" w:hAnsi="Times New Roman" w:eastAsia="仿宋_GB2312" w:cs="Times New Roman"/>
          <w:sz w:val="22"/>
          <w:szCs w:val="22"/>
          <w:highlight w:val="none"/>
          <w:lang w:val="en-US" w:eastAsia="zh-CN"/>
        </w:rPr>
      </w:pPr>
      <w:r>
        <w:rPr>
          <w:rFonts w:hint="eastAsia" w:ascii="Times New Roman" w:hAnsi="Times New Roman" w:eastAsia="仿宋_GB2312" w:cs="Times New Roman"/>
          <w:sz w:val="22"/>
          <w:szCs w:val="22"/>
          <w:highlight w:val="none"/>
          <w:lang w:val="en-US" w:eastAsia="zh-CN"/>
        </w:rPr>
        <w:t>市政</w:t>
      </w:r>
      <w:r>
        <w:rPr>
          <w:rFonts w:hint="eastAsia" w:eastAsia="仿宋_GB2312" w:cs="Times New Roman"/>
          <w:sz w:val="22"/>
          <w:szCs w:val="22"/>
          <w:highlight w:val="none"/>
          <w:lang w:val="en-US" w:eastAsia="zh-CN"/>
        </w:rPr>
        <w:t>设施</w:t>
      </w:r>
      <w:r>
        <w:rPr>
          <w:rFonts w:hint="eastAsia" w:ascii="Times New Roman" w:hAnsi="Times New Roman" w:eastAsia="仿宋_GB2312" w:cs="Times New Roman"/>
          <w:sz w:val="22"/>
          <w:szCs w:val="22"/>
          <w:highlight w:val="none"/>
          <w:lang w:val="en-US" w:eastAsia="zh-CN"/>
        </w:rPr>
        <w:t>廊道</w:t>
      </w:r>
      <w:r>
        <w:rPr>
          <w:rFonts w:hint="eastAsia" w:eastAsia="仿宋_GB2312" w:cs="Times New Roman"/>
          <w:sz w:val="22"/>
          <w:szCs w:val="22"/>
          <w:highlight w:val="none"/>
          <w:lang w:val="en-US" w:eastAsia="zh-CN"/>
        </w:rPr>
        <w:t>控制线</w:t>
      </w:r>
    </w:p>
    <w:p w14:paraId="12DF435C">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val="en-US" w:eastAsia="zh-CN"/>
        </w:rPr>
      </w:pPr>
      <w:r>
        <w:rPr>
          <w:rFonts w:hint="eastAsia" w:ascii="Times New Roman" w:hAnsi="Times New Roman" w:eastAsia="仿宋_GB2312" w:cs="Times New Roman"/>
          <w:sz w:val="22"/>
          <w:szCs w:val="22"/>
          <w:highlight w:val="none"/>
          <w:lang w:val="en-US" w:eastAsia="zh-CN"/>
        </w:rPr>
        <w:t>严格落实上位规划确定的中高压电力线路，按照相关规范要求，35kV高压架空电力线单回水平排列或单杆多回垂直排列的走廊宽度不小于15米。市政设施廊道控制线范围内禁止城乡建设，基础设施需按程序审批。</w:t>
      </w:r>
    </w:p>
    <w:p w14:paraId="222EA4BA">
      <w:pPr>
        <w:numPr>
          <w:ilvl w:val="0"/>
          <w:numId w:val="4"/>
        </w:numPr>
        <w:spacing w:before="62" w:beforeLines="20" w:after="62" w:afterLines="20" w:line="264" w:lineRule="auto"/>
        <w:ind w:left="0" w:leftChars="0" w:firstLine="400" w:firstLineChars="0"/>
        <w:rPr>
          <w:rFonts w:hint="default" w:ascii="Times New Roman" w:hAnsi="Times New Roman" w:eastAsia="仿宋_GB2312" w:cs="Times New Roman"/>
          <w:sz w:val="22"/>
          <w:szCs w:val="22"/>
          <w:highlight w:val="none"/>
          <w:lang w:val="en-US" w:eastAsia="zh-CN"/>
        </w:rPr>
      </w:pPr>
      <w:r>
        <w:rPr>
          <w:rFonts w:hint="eastAsia" w:ascii="Times New Roman" w:hAnsi="Times New Roman" w:eastAsia="仿宋_GB2312" w:cs="Times New Roman"/>
          <w:sz w:val="22"/>
          <w:szCs w:val="22"/>
          <w:highlight w:val="none"/>
          <w:lang w:val="en-US" w:eastAsia="zh-CN"/>
        </w:rPr>
        <w:t>公路建筑控制区</w:t>
      </w:r>
    </w:p>
    <w:p w14:paraId="4514DD5E">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val="en-US" w:eastAsia="zh-CN"/>
        </w:rPr>
      </w:pPr>
      <w:r>
        <w:rPr>
          <w:rFonts w:hint="eastAsia" w:ascii="Times New Roman" w:hAnsi="Times New Roman" w:eastAsia="仿宋_GB2312" w:cs="Times New Roman"/>
          <w:sz w:val="22"/>
          <w:szCs w:val="22"/>
          <w:highlight w:val="none"/>
          <w:lang w:val="en-US" w:eastAsia="zh-CN"/>
        </w:rPr>
        <w:t>根据《公路安全保护条例》《四川省农村公路条例》，从公路用地外缘起向外的距离标准为：县道不小于10米，乡道不小于5米，村道（6米以上）不小于3米，生活便道（6米以下）不小于1米。</w:t>
      </w:r>
    </w:p>
    <w:p w14:paraId="7B0F8660">
      <w:pPr>
        <w:numPr>
          <w:ilvl w:val="0"/>
          <w:numId w:val="4"/>
        </w:numPr>
        <w:spacing w:before="62" w:beforeLines="20" w:after="62" w:afterLines="20" w:line="264" w:lineRule="auto"/>
        <w:ind w:left="0" w:leftChars="0" w:firstLine="400" w:firstLineChars="0"/>
        <w:rPr>
          <w:rFonts w:hint="default"/>
          <w:highlight w:val="none"/>
          <w:lang w:val="en-US" w:eastAsia="zh-CN"/>
        </w:rPr>
      </w:pPr>
      <w:r>
        <w:rPr>
          <w:rFonts w:hint="eastAsia" w:ascii="Times New Roman" w:hAnsi="Times New Roman" w:eastAsia="仿宋_GB2312" w:cs="Times New Roman"/>
          <w:sz w:val="22"/>
          <w:szCs w:val="22"/>
          <w:highlight w:val="none"/>
          <w:lang w:val="en-US" w:eastAsia="zh-CN"/>
        </w:rPr>
        <w:t>矿产资源开采保护线</w:t>
      </w:r>
    </w:p>
    <w:p w14:paraId="711785DF">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val="en-US" w:eastAsia="zh-CN"/>
        </w:rPr>
      </w:pPr>
      <w:r>
        <w:rPr>
          <w:rFonts w:hint="eastAsia" w:ascii="Times New Roman" w:hAnsi="Times New Roman" w:eastAsia="仿宋_GB2312" w:cs="Times New Roman"/>
          <w:sz w:val="22"/>
          <w:szCs w:val="22"/>
          <w:highlight w:val="none"/>
          <w:lang w:val="en-US" w:eastAsia="zh-CN"/>
        </w:rPr>
        <w:t>严格落实上位规划划定的矿产资源开采保护线，村域涉及1个矿产资源重点勘查区（盐边国胜—箐河锰矿、玄武岩、石英岩矿重点勘查区），面积275.65公顷。</w:t>
      </w:r>
    </w:p>
    <w:p w14:paraId="781BECE7">
      <w:pPr>
        <w:numPr>
          <w:ilvl w:val="0"/>
          <w:numId w:val="4"/>
        </w:numPr>
        <w:spacing w:before="62" w:beforeLines="20" w:after="62" w:afterLines="20" w:line="264" w:lineRule="auto"/>
        <w:ind w:left="0" w:leftChars="0" w:firstLine="400" w:firstLineChars="0"/>
        <w:rPr>
          <w:rFonts w:hint="default" w:ascii="Times New Roman" w:hAnsi="Times New Roman" w:eastAsia="仿宋_GB2312" w:cs="Times New Roman"/>
          <w:sz w:val="22"/>
          <w:szCs w:val="22"/>
          <w:highlight w:val="none"/>
          <w:lang w:val="en-US" w:eastAsia="zh-CN"/>
        </w:rPr>
      </w:pPr>
      <w:r>
        <w:rPr>
          <w:rFonts w:hint="eastAsia" w:ascii="Times New Roman" w:hAnsi="Times New Roman" w:eastAsia="仿宋_GB2312" w:cs="Times New Roman"/>
          <w:sz w:val="22"/>
          <w:szCs w:val="22"/>
          <w:highlight w:val="none"/>
          <w:lang w:val="en-US" w:eastAsia="zh-CN"/>
        </w:rPr>
        <w:t>历史文化保护线</w:t>
      </w:r>
    </w:p>
    <w:p w14:paraId="6E360E3F">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val="en-US" w:eastAsia="zh-CN"/>
        </w:rPr>
      </w:pPr>
      <w:r>
        <w:rPr>
          <w:rFonts w:hint="eastAsia" w:ascii="Times New Roman" w:hAnsi="Times New Roman" w:eastAsia="仿宋_GB2312" w:cs="Times New Roman"/>
          <w:sz w:val="22"/>
          <w:szCs w:val="22"/>
          <w:highlight w:val="none"/>
          <w:lang w:val="en-US" w:eastAsia="zh-CN"/>
        </w:rPr>
        <w:t>严格落实上位规划关于市级文物保护单位龙洞湾杨家墓群的保护要求，明确其保护范围为东外延3米，西外延10米，南外延3米，北外延5米。</w:t>
      </w:r>
    </w:p>
    <w:p w14:paraId="2D5CF3C2">
      <w:pPr>
        <w:numPr>
          <w:ilvl w:val="0"/>
          <w:numId w:val="1"/>
        </w:numPr>
        <w:spacing w:before="62" w:beforeLines="20" w:after="62" w:afterLines="20" w:line="264" w:lineRule="auto"/>
        <w:ind w:firstLine="640"/>
        <w:outlineLvl w:val="0"/>
        <w:rPr>
          <w:rFonts w:eastAsia="黑体"/>
          <w:bCs/>
          <w:sz w:val="22"/>
          <w:szCs w:val="22"/>
          <w:highlight w:val="none"/>
        </w:rPr>
      </w:pPr>
      <w:r>
        <w:rPr>
          <w:rFonts w:hint="eastAsia" w:eastAsia="黑体"/>
          <w:bCs/>
          <w:sz w:val="22"/>
          <w:szCs w:val="22"/>
          <w:highlight w:val="none"/>
        </w:rPr>
        <w:t>产业规划</w:t>
      </w:r>
    </w:p>
    <w:p w14:paraId="5AE3713D">
      <w:pPr>
        <w:numPr>
          <w:ilvl w:val="0"/>
          <w:numId w:val="5"/>
        </w:numPr>
        <w:spacing w:before="62" w:beforeLines="20" w:after="62" w:afterLines="20" w:line="264" w:lineRule="auto"/>
        <w:ind w:left="0" w:leftChars="0" w:firstLine="420" w:firstLineChars="0"/>
        <w:rPr>
          <w:rFonts w:ascii="楷体" w:hAnsi="楷体" w:eastAsia="楷体" w:cs="楷体"/>
          <w:sz w:val="22"/>
          <w:szCs w:val="22"/>
          <w:highlight w:val="none"/>
        </w:rPr>
      </w:pPr>
      <w:r>
        <w:rPr>
          <w:rFonts w:hint="eastAsia" w:ascii="楷体" w:hAnsi="楷体" w:eastAsia="楷体" w:cs="楷体"/>
          <w:sz w:val="22"/>
          <w:szCs w:val="22"/>
          <w:highlight w:val="none"/>
          <w:lang w:val="en-US" w:eastAsia="zh-CN"/>
        </w:rPr>
        <w:t>产业</w:t>
      </w:r>
      <w:r>
        <w:rPr>
          <w:rFonts w:hint="eastAsia" w:ascii="楷体" w:hAnsi="楷体" w:eastAsia="楷体" w:cs="楷体"/>
          <w:sz w:val="22"/>
          <w:szCs w:val="22"/>
          <w:highlight w:val="none"/>
        </w:rPr>
        <w:t>发展思路</w:t>
      </w:r>
    </w:p>
    <w:p w14:paraId="7275BCE3">
      <w:pPr>
        <w:spacing w:before="62" w:beforeLines="20" w:after="62" w:afterLines="20" w:line="264" w:lineRule="auto"/>
        <w:ind w:firstLine="440" w:firstLineChars="200"/>
        <w:rPr>
          <w:rFonts w:hint="eastAsia" w:eastAsia="仿宋_GB2312"/>
          <w:sz w:val="22"/>
          <w:szCs w:val="22"/>
          <w:highlight w:val="none"/>
          <w:lang w:eastAsia="zh-CN"/>
        </w:rPr>
      </w:pPr>
      <w:r>
        <w:rPr>
          <w:rFonts w:hint="eastAsia" w:eastAsia="仿宋_GB2312"/>
          <w:sz w:val="22"/>
          <w:szCs w:val="22"/>
          <w:highlight w:val="none"/>
        </w:rPr>
        <w:t>坚持“温泉带动、产村融合”</w:t>
      </w:r>
      <w:r>
        <w:rPr>
          <w:rFonts w:hint="eastAsia" w:eastAsia="仿宋_GB2312"/>
          <w:sz w:val="22"/>
          <w:szCs w:val="22"/>
          <w:highlight w:val="none"/>
          <w:lang w:val="en-US" w:eastAsia="zh-CN"/>
        </w:rPr>
        <w:t>发展思路</w:t>
      </w:r>
      <w:r>
        <w:rPr>
          <w:rFonts w:hint="eastAsia" w:eastAsia="仿宋_GB2312"/>
          <w:sz w:val="22"/>
          <w:szCs w:val="22"/>
          <w:highlight w:val="none"/>
          <w:lang w:eastAsia="zh-CN"/>
        </w:rPr>
        <w:t>，以农业固本、延链增值、文旅提能为主要抓手，构建“一产夯基延链、三产提质赋能”的乡村特色产业发展体系。立足本土特色种养</w:t>
      </w:r>
      <w:r>
        <w:rPr>
          <w:rFonts w:hint="eastAsia" w:eastAsia="仿宋_GB2312"/>
          <w:sz w:val="22"/>
          <w:szCs w:val="22"/>
          <w:highlight w:val="none"/>
          <w:lang w:val="en-US" w:eastAsia="zh-CN"/>
        </w:rPr>
        <w:t>根基，</w:t>
      </w:r>
      <w:r>
        <w:rPr>
          <w:rFonts w:hint="eastAsia" w:eastAsia="仿宋_GB2312"/>
          <w:sz w:val="22"/>
          <w:szCs w:val="22"/>
          <w:highlight w:val="none"/>
          <w:lang w:eastAsia="zh-CN"/>
        </w:rPr>
        <w:t>夯实农业基础，推进农产品培优提质、标准化生产；借助集镇商贸集散</w:t>
      </w:r>
      <w:r>
        <w:rPr>
          <w:rFonts w:hint="eastAsia" w:eastAsia="仿宋_GB2312"/>
          <w:sz w:val="22"/>
          <w:szCs w:val="22"/>
          <w:highlight w:val="none"/>
          <w:lang w:val="en-US" w:eastAsia="zh-CN"/>
        </w:rPr>
        <w:t>功能</w:t>
      </w:r>
      <w:r>
        <w:rPr>
          <w:rFonts w:hint="eastAsia" w:eastAsia="仿宋_GB2312"/>
          <w:sz w:val="22"/>
          <w:szCs w:val="22"/>
          <w:highlight w:val="none"/>
          <w:lang w:eastAsia="zh-CN"/>
        </w:rPr>
        <w:t>延伸农业产业链</w:t>
      </w:r>
      <w:r>
        <w:rPr>
          <w:rFonts w:hint="eastAsia" w:eastAsia="仿宋_GB2312"/>
          <w:sz w:val="22"/>
          <w:szCs w:val="22"/>
          <w:highlight w:val="none"/>
          <w:lang w:val="en-US" w:eastAsia="zh-CN"/>
        </w:rPr>
        <w:t>条</w:t>
      </w:r>
      <w:r>
        <w:rPr>
          <w:rFonts w:hint="eastAsia" w:eastAsia="仿宋_GB2312"/>
          <w:sz w:val="22"/>
          <w:szCs w:val="22"/>
          <w:highlight w:val="none"/>
          <w:lang w:eastAsia="zh-CN"/>
        </w:rPr>
        <w:t>，提升农产品商品化水平与综合效益。抢抓攀盐高速建设</w:t>
      </w:r>
      <w:r>
        <w:rPr>
          <w:rFonts w:hint="eastAsia" w:eastAsia="仿宋_GB2312"/>
          <w:sz w:val="22"/>
          <w:szCs w:val="22"/>
          <w:highlight w:val="none"/>
          <w:lang w:val="en-US" w:eastAsia="zh-CN"/>
        </w:rPr>
        <w:t>重大机遇</w:t>
      </w:r>
      <w:r>
        <w:rPr>
          <w:rFonts w:hint="eastAsia" w:eastAsia="仿宋_GB2312"/>
          <w:sz w:val="22"/>
          <w:szCs w:val="22"/>
          <w:highlight w:val="none"/>
          <w:lang w:eastAsia="zh-CN"/>
        </w:rPr>
        <w:t>，</w:t>
      </w:r>
      <w:r>
        <w:rPr>
          <w:rFonts w:hint="eastAsia" w:eastAsia="仿宋_GB2312"/>
          <w:sz w:val="22"/>
          <w:szCs w:val="22"/>
          <w:highlight w:val="none"/>
          <w:lang w:val="en-US" w:eastAsia="zh-CN"/>
        </w:rPr>
        <w:t>优化整合天然</w:t>
      </w:r>
      <w:r>
        <w:rPr>
          <w:rFonts w:hint="eastAsia" w:eastAsia="仿宋_GB2312"/>
          <w:sz w:val="22"/>
          <w:szCs w:val="22"/>
          <w:highlight w:val="none"/>
          <w:lang w:eastAsia="zh-CN"/>
        </w:rPr>
        <w:t>温泉、彝族民俗、</w:t>
      </w:r>
      <w:r>
        <w:rPr>
          <w:rFonts w:hint="eastAsia" w:eastAsia="仿宋_GB2312"/>
          <w:sz w:val="22"/>
          <w:szCs w:val="22"/>
          <w:highlight w:val="none"/>
          <w:lang w:val="en-US" w:eastAsia="zh-CN"/>
        </w:rPr>
        <w:t>历史</w:t>
      </w:r>
      <w:r>
        <w:rPr>
          <w:rFonts w:hint="eastAsia" w:eastAsia="仿宋_GB2312"/>
          <w:sz w:val="22"/>
          <w:szCs w:val="22"/>
          <w:highlight w:val="none"/>
          <w:lang w:eastAsia="zh-CN"/>
        </w:rPr>
        <w:t>人文</w:t>
      </w:r>
      <w:r>
        <w:rPr>
          <w:rFonts w:hint="eastAsia" w:eastAsia="仿宋_GB2312"/>
          <w:sz w:val="22"/>
          <w:szCs w:val="22"/>
          <w:highlight w:val="none"/>
          <w:lang w:val="en-US" w:eastAsia="zh-CN"/>
        </w:rPr>
        <w:t>等</w:t>
      </w:r>
      <w:r>
        <w:rPr>
          <w:rFonts w:hint="eastAsia" w:eastAsia="仿宋_GB2312"/>
          <w:sz w:val="22"/>
          <w:szCs w:val="22"/>
          <w:highlight w:val="none"/>
          <w:lang w:eastAsia="zh-CN"/>
        </w:rPr>
        <w:t>农文旅资源，培育乡村新兴业态，以文旅赋能乡村提质升级，全面形成业态协调、优势凸显、错位发展的乡村产业新格局。</w:t>
      </w:r>
    </w:p>
    <w:p w14:paraId="260FDB37">
      <w:pPr>
        <w:numPr>
          <w:ilvl w:val="0"/>
          <w:numId w:val="5"/>
        </w:numPr>
        <w:spacing w:before="62" w:beforeLines="20" w:after="62" w:afterLines="20" w:line="264" w:lineRule="auto"/>
        <w:ind w:left="0" w:leftChars="0" w:firstLine="420" w:firstLineChars="0"/>
        <w:rPr>
          <w:rFonts w:ascii="楷体" w:hAnsi="楷体" w:eastAsia="楷体" w:cs="楷体"/>
          <w:sz w:val="22"/>
          <w:szCs w:val="22"/>
          <w:highlight w:val="none"/>
        </w:rPr>
      </w:pPr>
      <w:r>
        <w:rPr>
          <w:rFonts w:hint="eastAsia" w:ascii="楷体" w:hAnsi="楷体" w:eastAsia="楷体" w:cs="楷体"/>
          <w:sz w:val="22"/>
          <w:szCs w:val="22"/>
          <w:highlight w:val="none"/>
          <w:lang w:val="en-US" w:eastAsia="zh-CN"/>
        </w:rPr>
        <w:t>产业发展路径</w:t>
      </w:r>
    </w:p>
    <w:p w14:paraId="23698B30">
      <w:pPr>
        <w:numPr>
          <w:ilvl w:val="0"/>
          <w:numId w:val="6"/>
        </w:numPr>
        <w:spacing w:before="62" w:beforeLines="20" w:after="62" w:afterLines="20" w:line="264" w:lineRule="auto"/>
        <w:rPr>
          <w:rFonts w:hint="eastAsia" w:ascii="Times New Roman" w:hAnsi="Times New Roman" w:eastAsia="仿宋_GB2312" w:cs="Times New Roman"/>
          <w:sz w:val="22"/>
          <w:szCs w:val="22"/>
          <w:highlight w:val="none"/>
        </w:rPr>
      </w:pPr>
      <w:r>
        <w:rPr>
          <w:rFonts w:hint="eastAsia" w:ascii="Times New Roman" w:hAnsi="Times New Roman" w:eastAsia="仿宋_GB2312" w:cs="Times New Roman"/>
          <w:sz w:val="22"/>
          <w:szCs w:val="22"/>
          <w:highlight w:val="none"/>
        </w:rPr>
        <w:t>聚焦特色种养夯实根基，推动一产标准化现代化发展</w:t>
      </w:r>
    </w:p>
    <w:p w14:paraId="13EC2BB2">
      <w:pPr>
        <w:spacing w:before="62" w:beforeLines="20" w:after="62" w:afterLines="20" w:line="264" w:lineRule="auto"/>
        <w:ind w:firstLine="440" w:firstLineChars="200"/>
        <w:rPr>
          <w:rFonts w:hint="eastAsia" w:ascii="Times New Roman" w:hAnsi="Times New Roman" w:eastAsia="仿宋_GB2312" w:cs="Times New Roman"/>
          <w:sz w:val="22"/>
          <w:szCs w:val="22"/>
          <w:highlight w:val="yellow"/>
        </w:rPr>
      </w:pPr>
      <w:r>
        <w:rPr>
          <w:rFonts w:hint="eastAsia" w:ascii="Times New Roman" w:hAnsi="Times New Roman" w:eastAsia="仿宋_GB2312" w:cs="Times New Roman"/>
          <w:sz w:val="22"/>
          <w:szCs w:val="22"/>
          <w:highlight w:val="none"/>
        </w:rPr>
        <w:t>优化种养布局，发展精品粮油、优质玉米、高山蔬菜及蚕桑林果等特色农产品，推进</w:t>
      </w:r>
      <w:r>
        <w:rPr>
          <w:rFonts w:hint="eastAsia" w:eastAsia="仿宋_GB2312" w:cs="Times New Roman"/>
          <w:sz w:val="22"/>
          <w:szCs w:val="22"/>
          <w:highlight w:val="none"/>
          <w:lang w:eastAsia="zh-CN"/>
        </w:rPr>
        <w:t>特色种植基地</w:t>
      </w:r>
      <w:r>
        <w:rPr>
          <w:rFonts w:hint="eastAsia" w:eastAsia="仿宋_GB2312" w:cs="Times New Roman"/>
          <w:sz w:val="22"/>
          <w:szCs w:val="22"/>
          <w:highlight w:val="none"/>
          <w:lang w:val="en-US" w:eastAsia="zh-CN"/>
        </w:rPr>
        <w:t>建设与</w:t>
      </w:r>
      <w:r>
        <w:rPr>
          <w:rFonts w:hint="eastAsia" w:ascii="Times New Roman" w:hAnsi="Times New Roman" w:eastAsia="仿宋_GB2312" w:cs="Times New Roman"/>
          <w:sz w:val="22"/>
          <w:szCs w:val="22"/>
          <w:highlight w:val="none"/>
        </w:rPr>
        <w:t>林下生态养殖</w:t>
      </w:r>
      <w:r>
        <w:rPr>
          <w:rFonts w:hint="eastAsia" w:eastAsia="仿宋_GB2312" w:cs="Times New Roman"/>
          <w:sz w:val="22"/>
          <w:szCs w:val="22"/>
          <w:highlight w:val="none"/>
          <w:lang w:eastAsia="zh-CN"/>
        </w:rPr>
        <w:t>；</w:t>
      </w:r>
      <w:r>
        <w:rPr>
          <w:rFonts w:hint="eastAsia" w:eastAsia="仿宋_GB2312" w:cs="Times New Roman"/>
          <w:sz w:val="22"/>
          <w:szCs w:val="22"/>
          <w:highlight w:val="none"/>
          <w:lang w:val="en-US" w:eastAsia="zh-CN"/>
        </w:rPr>
        <w:t>积极</w:t>
      </w:r>
      <w:r>
        <w:rPr>
          <w:rFonts w:hint="eastAsia" w:ascii="Times New Roman" w:hAnsi="Times New Roman" w:eastAsia="仿宋_GB2312" w:cs="Times New Roman"/>
          <w:sz w:val="22"/>
          <w:szCs w:val="22"/>
          <w:highlight w:val="none"/>
        </w:rPr>
        <w:t>培育农民专业合作社、家庭农场等经营主体，完善“经营主体+集体经济+农户”的利益联结机制，推行标准化种养，</w:t>
      </w:r>
      <w:r>
        <w:rPr>
          <w:rFonts w:hint="eastAsia" w:eastAsia="仿宋_GB2312" w:cs="Times New Roman"/>
          <w:sz w:val="22"/>
          <w:szCs w:val="22"/>
          <w:highlight w:val="none"/>
          <w:lang w:val="en-US" w:eastAsia="zh-CN"/>
        </w:rPr>
        <w:t>培育</w:t>
      </w:r>
      <w:r>
        <w:rPr>
          <w:rFonts w:hint="eastAsia" w:ascii="Times New Roman" w:hAnsi="Times New Roman" w:eastAsia="仿宋_GB2312" w:cs="Times New Roman"/>
          <w:sz w:val="22"/>
          <w:szCs w:val="22"/>
          <w:highlight w:val="none"/>
        </w:rPr>
        <w:t>原生态农产品公共品牌。完善田间水利设施，推广高效节水灌溉</w:t>
      </w:r>
      <w:r>
        <w:rPr>
          <w:rFonts w:hint="eastAsia" w:eastAsia="仿宋_GB2312" w:cs="Times New Roman"/>
          <w:sz w:val="22"/>
          <w:szCs w:val="22"/>
          <w:highlight w:val="none"/>
          <w:lang w:eastAsia="zh-CN"/>
        </w:rPr>
        <w:t>，</w:t>
      </w:r>
      <w:r>
        <w:rPr>
          <w:rFonts w:hint="eastAsia" w:ascii="Times New Roman" w:hAnsi="Times New Roman" w:eastAsia="仿宋_GB2312" w:cs="Times New Roman"/>
          <w:sz w:val="22"/>
          <w:szCs w:val="22"/>
          <w:highlight w:val="none"/>
        </w:rPr>
        <w:t>依托集镇信息化条件搭建数字农业管理平台，实现农产品质量全流程追溯。探索“畜—沼—粮（果）”种养循环模式，推进畜禽粪污资源化利用，推广绿色生产技术，打造生态农业示范样板。</w:t>
      </w:r>
    </w:p>
    <w:p w14:paraId="126F9E43">
      <w:pPr>
        <w:numPr>
          <w:ilvl w:val="0"/>
          <w:numId w:val="6"/>
        </w:numPr>
        <w:spacing w:before="62" w:beforeLines="20" w:after="62" w:afterLines="20" w:line="264" w:lineRule="auto"/>
        <w:rPr>
          <w:rFonts w:hint="eastAsia" w:ascii="Times New Roman" w:hAnsi="Times New Roman" w:eastAsia="仿宋_GB2312" w:cs="Times New Roman"/>
          <w:sz w:val="22"/>
          <w:szCs w:val="22"/>
          <w:highlight w:val="none"/>
        </w:rPr>
      </w:pPr>
      <w:r>
        <w:rPr>
          <w:rFonts w:hint="eastAsia" w:ascii="Times New Roman" w:hAnsi="Times New Roman" w:eastAsia="仿宋_GB2312" w:cs="Times New Roman"/>
          <w:sz w:val="22"/>
          <w:szCs w:val="22"/>
          <w:highlight w:val="none"/>
        </w:rPr>
        <w:t>强化驻地服务功能，促进农产品延链强链提质增效</w:t>
      </w:r>
    </w:p>
    <w:p w14:paraId="2B1CD35C">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rPr>
      </w:pPr>
      <w:r>
        <w:rPr>
          <w:rFonts w:hint="eastAsia" w:ascii="Times New Roman" w:hAnsi="Times New Roman" w:eastAsia="仿宋_GB2312" w:cs="Times New Roman"/>
          <w:sz w:val="22"/>
          <w:szCs w:val="22"/>
          <w:highlight w:val="none"/>
        </w:rPr>
        <w:t>依托乡集镇综合服务与物流集散优势，围绕水稻、油菜、玉米、蚕桑等特色产业，开展农产品商品化处理与集散运营，降低产后损耗、化解产销矛盾，提升农产品就地增值转化能力。大力发展“互联网+农产品”商贸业态，依托本土农产品品牌资源，整合全乡特色农产，通过线上直播、线下展销、文旅伴手礼开发等方式，拓宽外销渠道，构建多元联动的农产品流通体系。</w:t>
      </w:r>
    </w:p>
    <w:p w14:paraId="47942DE6">
      <w:pPr>
        <w:numPr>
          <w:ilvl w:val="0"/>
          <w:numId w:val="6"/>
        </w:numPr>
        <w:spacing w:before="62" w:beforeLines="20" w:after="62" w:afterLines="20" w:line="264" w:lineRule="auto"/>
        <w:rPr>
          <w:rFonts w:hint="eastAsia" w:ascii="Times New Roman" w:hAnsi="Times New Roman" w:eastAsia="仿宋_GB2312" w:cs="Times New Roman"/>
          <w:sz w:val="22"/>
          <w:szCs w:val="22"/>
          <w:highlight w:val="none"/>
        </w:rPr>
      </w:pPr>
      <w:r>
        <w:rPr>
          <w:rFonts w:hint="eastAsia" w:ascii="Times New Roman" w:hAnsi="Times New Roman" w:eastAsia="仿宋_GB2312" w:cs="Times New Roman"/>
          <w:sz w:val="22"/>
          <w:szCs w:val="22"/>
          <w:highlight w:val="none"/>
        </w:rPr>
        <w:t>聚焦“温泉+”康养引领，推动农文旅深度融合</w:t>
      </w:r>
    </w:p>
    <w:p w14:paraId="7215CA1D">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rPr>
      </w:pPr>
      <w:r>
        <w:rPr>
          <w:rFonts w:hint="eastAsia" w:ascii="Times New Roman" w:hAnsi="Times New Roman" w:eastAsia="仿宋_GB2312" w:cs="Times New Roman"/>
          <w:sz w:val="22"/>
          <w:szCs w:val="22"/>
          <w:highlight w:val="none"/>
        </w:rPr>
        <w:t>以天然温泉为核心资源，坚持保护优先，在保障本地居民传统使用权益、保留天浴泡池原生风貌的基础上，深挖天浴文化、彝族民俗与举人文化内涵，围绕“野奢原生态”主题，构建“温泉+文化+乡村”文旅融合模式。培育温泉民宿、民俗体验、农事研学等多元业态，丰富特色餐饮、农产展销、非遗文创等消费场景，整合全域文旅资源，打造集温泉康养、民俗体验、人文研学、乡村休闲于一体的原生态康养旅游目的地，实现文化传承与产业提质双赢。</w:t>
      </w:r>
    </w:p>
    <w:p w14:paraId="6DBB49EA">
      <w:pPr>
        <w:numPr>
          <w:ilvl w:val="0"/>
          <w:numId w:val="1"/>
        </w:numPr>
        <w:spacing w:before="62" w:beforeLines="20" w:after="62" w:afterLines="20" w:line="264" w:lineRule="auto"/>
        <w:ind w:firstLine="640"/>
        <w:outlineLvl w:val="0"/>
        <w:rPr>
          <w:rFonts w:hint="default" w:ascii="Times New Roman" w:hAnsi="Times New Roman" w:eastAsia="黑体" w:cs="Times New Roman"/>
          <w:bCs/>
          <w:sz w:val="22"/>
          <w:szCs w:val="22"/>
          <w:lang w:val="en-US" w:eastAsia="zh-CN"/>
        </w:rPr>
      </w:pPr>
      <w:r>
        <w:rPr>
          <w:rFonts w:hint="eastAsia" w:ascii="Times New Roman" w:hAnsi="Times New Roman" w:eastAsia="黑体" w:cs="Times New Roman"/>
          <w:bCs/>
          <w:sz w:val="22"/>
          <w:szCs w:val="22"/>
          <w:lang w:val="en-US" w:eastAsia="zh-CN"/>
        </w:rPr>
        <w:t>公服设施规划</w:t>
      </w:r>
    </w:p>
    <w:p w14:paraId="1057C456">
      <w:pPr>
        <w:spacing w:before="62" w:beforeLines="20" w:after="62" w:afterLines="20" w:line="264" w:lineRule="auto"/>
        <w:ind w:firstLine="440" w:firstLineChars="200"/>
        <w:rPr>
          <w:rFonts w:hint="eastAsia" w:eastAsia="仿宋_GB2312" w:cs="Times New Roman"/>
          <w:sz w:val="22"/>
          <w:szCs w:val="22"/>
          <w:highlight w:val="none"/>
          <w:lang w:val="en-US" w:eastAsia="zh-CN"/>
        </w:rPr>
      </w:pPr>
      <w:r>
        <w:rPr>
          <w:rFonts w:hint="default" w:ascii="Times New Roman" w:hAnsi="Times New Roman" w:eastAsia="仿宋_GB2312" w:cs="Times New Roman"/>
          <w:sz w:val="22"/>
          <w:szCs w:val="22"/>
          <w:lang w:val="en-US" w:eastAsia="zh-CN"/>
        </w:rPr>
        <w:t>热水塘村作为温泉彝族乡政府驻地及村级片区中心村，应充分发挥其行政与服务职能，落实乡村振兴战略要求，严格对照中心村配置标准，有序完善村域公共服务设施。</w:t>
      </w:r>
    </w:p>
    <w:p w14:paraId="522198D0">
      <w:pPr>
        <w:numPr>
          <w:ilvl w:val="0"/>
          <w:numId w:val="7"/>
        </w:numPr>
        <w:spacing w:before="62" w:beforeLines="20" w:after="62" w:afterLines="20" w:line="264" w:lineRule="auto"/>
        <w:rPr>
          <w:rFonts w:hint="default" w:ascii="Times New Roman" w:hAnsi="Times New Roman" w:eastAsia="仿宋_GB2312" w:cs="Times New Roman"/>
          <w:sz w:val="22"/>
          <w:szCs w:val="22"/>
          <w:highlight w:val="none"/>
          <w:lang w:val="en-US" w:eastAsia="zh-CN"/>
        </w:rPr>
      </w:pPr>
      <w:r>
        <w:rPr>
          <w:rFonts w:hint="default" w:ascii="Times New Roman" w:hAnsi="Times New Roman" w:eastAsia="仿宋_GB2312" w:cs="Times New Roman"/>
          <w:sz w:val="22"/>
          <w:szCs w:val="22"/>
          <w:highlight w:val="none"/>
          <w:lang w:val="en-US" w:eastAsia="zh-CN"/>
        </w:rPr>
        <w:t>行政管理设施</w:t>
      </w:r>
      <w:r>
        <w:rPr>
          <w:rFonts w:hint="eastAsia" w:eastAsia="仿宋_GB2312" w:cs="Times New Roman"/>
          <w:sz w:val="22"/>
          <w:szCs w:val="22"/>
          <w:highlight w:val="none"/>
          <w:lang w:val="en-US" w:eastAsia="zh-CN"/>
        </w:rPr>
        <w:t>：</w:t>
      </w:r>
      <w:r>
        <w:rPr>
          <w:rFonts w:hint="default" w:ascii="Times New Roman" w:hAnsi="Times New Roman" w:eastAsia="仿宋_GB2312" w:cs="Times New Roman"/>
          <w:sz w:val="22"/>
          <w:szCs w:val="22"/>
          <w:highlight w:val="none"/>
          <w:lang w:val="en-US" w:eastAsia="zh-CN"/>
        </w:rPr>
        <w:t>依托村委会增设警务室，保留便民服务站</w:t>
      </w:r>
      <w:r>
        <w:rPr>
          <w:rFonts w:hint="eastAsia" w:eastAsia="仿宋_GB2312" w:cs="Times New Roman"/>
          <w:sz w:val="22"/>
          <w:szCs w:val="22"/>
          <w:highlight w:val="none"/>
          <w:lang w:val="en-US" w:eastAsia="zh-CN"/>
        </w:rPr>
        <w:t>。</w:t>
      </w:r>
    </w:p>
    <w:p w14:paraId="5BA569F2">
      <w:pPr>
        <w:numPr>
          <w:ilvl w:val="0"/>
          <w:numId w:val="7"/>
        </w:numPr>
        <w:spacing w:before="62" w:beforeLines="20" w:after="62" w:afterLines="20" w:line="264" w:lineRule="auto"/>
        <w:rPr>
          <w:rFonts w:hint="default" w:ascii="Times New Roman" w:hAnsi="Times New Roman" w:eastAsia="仿宋_GB2312" w:cs="Times New Roman"/>
          <w:sz w:val="22"/>
          <w:szCs w:val="22"/>
          <w:highlight w:val="none"/>
          <w:lang w:val="en-US" w:eastAsia="zh-CN"/>
        </w:rPr>
      </w:pPr>
      <w:r>
        <w:rPr>
          <w:rFonts w:hint="default" w:ascii="Times New Roman" w:hAnsi="Times New Roman" w:eastAsia="仿宋_GB2312" w:cs="Times New Roman"/>
          <w:sz w:val="22"/>
          <w:szCs w:val="22"/>
          <w:highlight w:val="none"/>
          <w:lang w:val="en-US" w:eastAsia="zh-CN"/>
        </w:rPr>
        <w:t>文化体育设施</w:t>
      </w:r>
      <w:r>
        <w:rPr>
          <w:rFonts w:hint="eastAsia" w:eastAsia="仿宋_GB2312" w:cs="Times New Roman"/>
          <w:sz w:val="22"/>
          <w:szCs w:val="22"/>
          <w:highlight w:val="none"/>
          <w:lang w:val="en-US" w:eastAsia="zh-CN"/>
        </w:rPr>
        <w:t>：</w:t>
      </w:r>
      <w:r>
        <w:rPr>
          <w:rFonts w:hint="default" w:ascii="Times New Roman" w:hAnsi="Times New Roman" w:eastAsia="仿宋_GB2312" w:cs="Times New Roman"/>
          <w:sz w:val="22"/>
          <w:szCs w:val="22"/>
          <w:highlight w:val="none"/>
          <w:lang w:val="en-US" w:eastAsia="zh-CN"/>
        </w:rPr>
        <w:t>新建健身广场，对文化活动室进行提档升级</w:t>
      </w:r>
      <w:r>
        <w:rPr>
          <w:rFonts w:hint="eastAsia" w:eastAsia="仿宋_GB2312" w:cs="Times New Roman"/>
          <w:sz w:val="22"/>
          <w:szCs w:val="22"/>
          <w:highlight w:val="none"/>
          <w:lang w:val="en-US" w:eastAsia="zh-CN"/>
        </w:rPr>
        <w:t>。</w:t>
      </w:r>
    </w:p>
    <w:p w14:paraId="0C114B9D">
      <w:pPr>
        <w:numPr>
          <w:ilvl w:val="0"/>
          <w:numId w:val="7"/>
        </w:numPr>
        <w:spacing w:before="62" w:beforeLines="20" w:after="62" w:afterLines="20" w:line="264" w:lineRule="auto"/>
        <w:rPr>
          <w:rFonts w:hint="default" w:ascii="Times New Roman" w:hAnsi="Times New Roman" w:eastAsia="仿宋_GB2312" w:cs="Times New Roman"/>
          <w:sz w:val="22"/>
          <w:szCs w:val="22"/>
          <w:highlight w:val="none"/>
          <w:lang w:val="en-US" w:eastAsia="zh-CN"/>
        </w:rPr>
      </w:pPr>
      <w:r>
        <w:rPr>
          <w:rFonts w:hint="default" w:ascii="Times New Roman" w:hAnsi="Times New Roman" w:eastAsia="仿宋_GB2312" w:cs="Times New Roman"/>
          <w:sz w:val="22"/>
          <w:szCs w:val="22"/>
          <w:highlight w:val="none"/>
          <w:lang w:val="en-US" w:eastAsia="zh-CN"/>
        </w:rPr>
        <w:t>教育医疗设施</w:t>
      </w:r>
      <w:r>
        <w:rPr>
          <w:rFonts w:hint="eastAsia" w:eastAsia="仿宋_GB2312" w:cs="Times New Roman"/>
          <w:sz w:val="22"/>
          <w:szCs w:val="22"/>
          <w:highlight w:val="none"/>
          <w:lang w:val="en-US" w:eastAsia="zh-CN"/>
        </w:rPr>
        <w:t>：</w:t>
      </w:r>
      <w:r>
        <w:rPr>
          <w:rFonts w:hint="default" w:ascii="Times New Roman" w:hAnsi="Times New Roman" w:eastAsia="仿宋_GB2312" w:cs="Times New Roman"/>
          <w:sz w:val="22"/>
          <w:szCs w:val="22"/>
          <w:highlight w:val="none"/>
          <w:lang w:val="en-US" w:eastAsia="zh-CN"/>
        </w:rPr>
        <w:t>保留现状幼儿园、小学、儿童之家（服务点），提升乡镇卫生院与村级卫生室服务能力，增设村民培训中心、日间照料中心（互助养老中心）</w:t>
      </w:r>
      <w:r>
        <w:rPr>
          <w:rFonts w:hint="eastAsia" w:eastAsia="仿宋_GB2312" w:cs="Times New Roman"/>
          <w:sz w:val="22"/>
          <w:szCs w:val="22"/>
          <w:highlight w:val="none"/>
          <w:lang w:val="en-US" w:eastAsia="zh-CN"/>
        </w:rPr>
        <w:t>。</w:t>
      </w:r>
    </w:p>
    <w:p w14:paraId="3BA793E0">
      <w:pPr>
        <w:numPr>
          <w:ilvl w:val="0"/>
          <w:numId w:val="7"/>
        </w:numPr>
        <w:spacing w:before="62" w:beforeLines="20" w:after="62" w:afterLines="20" w:line="264" w:lineRule="auto"/>
        <w:rPr>
          <w:rFonts w:hint="default" w:ascii="Times New Roman" w:hAnsi="Times New Roman" w:eastAsia="仿宋_GB2312" w:cs="Times New Roman"/>
          <w:sz w:val="22"/>
          <w:szCs w:val="22"/>
          <w:highlight w:val="none"/>
          <w:lang w:val="en-US" w:eastAsia="zh-CN"/>
        </w:rPr>
      </w:pPr>
      <w:r>
        <w:rPr>
          <w:rFonts w:hint="default" w:ascii="Times New Roman" w:hAnsi="Times New Roman" w:eastAsia="仿宋_GB2312" w:cs="Times New Roman"/>
          <w:sz w:val="22"/>
          <w:szCs w:val="22"/>
          <w:highlight w:val="none"/>
          <w:lang w:val="en-US" w:eastAsia="zh-CN"/>
        </w:rPr>
        <w:t>商业服务设施</w:t>
      </w:r>
      <w:r>
        <w:rPr>
          <w:rFonts w:hint="eastAsia" w:eastAsia="仿宋_GB2312" w:cs="Times New Roman"/>
          <w:sz w:val="22"/>
          <w:szCs w:val="22"/>
          <w:highlight w:val="none"/>
          <w:lang w:val="en-US" w:eastAsia="zh-CN"/>
        </w:rPr>
        <w:t>：</w:t>
      </w:r>
      <w:r>
        <w:rPr>
          <w:rFonts w:hint="default" w:ascii="Times New Roman" w:hAnsi="Times New Roman" w:eastAsia="仿宋_GB2312" w:cs="Times New Roman"/>
          <w:sz w:val="22"/>
          <w:szCs w:val="22"/>
          <w:highlight w:val="none"/>
          <w:lang w:val="en-US" w:eastAsia="zh-CN"/>
        </w:rPr>
        <w:t>保留现状农家便利店及物流配送点</w:t>
      </w:r>
      <w:r>
        <w:rPr>
          <w:rFonts w:hint="eastAsia" w:eastAsia="仿宋_GB2312" w:cs="Times New Roman"/>
          <w:sz w:val="22"/>
          <w:szCs w:val="22"/>
          <w:highlight w:val="none"/>
          <w:lang w:val="en-US" w:eastAsia="zh-CN"/>
        </w:rPr>
        <w:t>。</w:t>
      </w:r>
    </w:p>
    <w:p w14:paraId="7290AFD2">
      <w:pPr>
        <w:numPr>
          <w:ilvl w:val="0"/>
          <w:numId w:val="7"/>
        </w:numPr>
        <w:spacing w:before="62" w:beforeLines="20" w:after="62" w:afterLines="20" w:line="264" w:lineRule="auto"/>
        <w:rPr>
          <w:rFonts w:hint="default" w:ascii="Times New Roman" w:hAnsi="Times New Roman" w:eastAsia="仿宋_GB2312" w:cs="Times New Roman"/>
          <w:sz w:val="22"/>
          <w:szCs w:val="22"/>
          <w:highlight w:val="none"/>
          <w:lang w:val="en-US" w:eastAsia="zh-CN"/>
        </w:rPr>
      </w:pPr>
      <w:r>
        <w:rPr>
          <w:rFonts w:hint="default" w:ascii="Times New Roman" w:hAnsi="Times New Roman" w:eastAsia="仿宋_GB2312" w:cs="Times New Roman"/>
          <w:sz w:val="22"/>
          <w:szCs w:val="22"/>
          <w:highlight w:val="none"/>
          <w:lang w:val="en-US" w:eastAsia="zh-CN"/>
        </w:rPr>
        <w:t>应急管理设施</w:t>
      </w:r>
      <w:r>
        <w:rPr>
          <w:rFonts w:hint="eastAsia" w:eastAsia="仿宋_GB2312" w:cs="Times New Roman"/>
          <w:sz w:val="22"/>
          <w:szCs w:val="22"/>
          <w:highlight w:val="none"/>
          <w:lang w:val="en-US" w:eastAsia="zh-CN"/>
        </w:rPr>
        <w:t>：</w:t>
      </w:r>
      <w:r>
        <w:rPr>
          <w:rFonts w:hint="default" w:ascii="Times New Roman" w:hAnsi="Times New Roman" w:eastAsia="仿宋_GB2312" w:cs="Times New Roman"/>
          <w:sz w:val="22"/>
          <w:szCs w:val="22"/>
          <w:highlight w:val="none"/>
          <w:lang w:val="en-US" w:eastAsia="zh-CN"/>
        </w:rPr>
        <w:t>结合村委会增设微型消防室、应急物资储备点、避灾疏散场地</w:t>
      </w:r>
      <w:r>
        <w:rPr>
          <w:rFonts w:hint="eastAsia" w:eastAsia="仿宋_GB2312" w:cs="Times New Roman"/>
          <w:sz w:val="22"/>
          <w:szCs w:val="22"/>
          <w:highlight w:val="none"/>
          <w:lang w:val="en-US" w:eastAsia="zh-CN"/>
        </w:rPr>
        <w:t>。</w:t>
      </w:r>
    </w:p>
    <w:p w14:paraId="253B72DB">
      <w:pPr>
        <w:numPr>
          <w:ilvl w:val="0"/>
          <w:numId w:val="7"/>
        </w:numPr>
        <w:spacing w:before="62" w:beforeLines="20" w:after="62" w:afterLines="20" w:line="264" w:lineRule="auto"/>
        <w:rPr>
          <w:rFonts w:hint="default" w:ascii="Times New Roman" w:hAnsi="Times New Roman" w:eastAsia="仿宋_GB2312" w:cs="Times New Roman"/>
          <w:sz w:val="22"/>
          <w:szCs w:val="22"/>
          <w:highlight w:val="none"/>
          <w:lang w:val="en-US" w:eastAsia="zh-CN"/>
        </w:rPr>
      </w:pPr>
      <w:r>
        <w:rPr>
          <w:rFonts w:hint="default" w:ascii="Times New Roman" w:hAnsi="Times New Roman" w:eastAsia="仿宋_GB2312" w:cs="Times New Roman"/>
          <w:sz w:val="22"/>
          <w:szCs w:val="22"/>
          <w:highlight w:val="none"/>
          <w:lang w:val="en-US" w:eastAsia="zh-CN"/>
        </w:rPr>
        <w:t>生产服务设施</w:t>
      </w:r>
      <w:r>
        <w:rPr>
          <w:rFonts w:hint="eastAsia" w:eastAsia="仿宋_GB2312" w:cs="Times New Roman"/>
          <w:sz w:val="22"/>
          <w:szCs w:val="22"/>
          <w:highlight w:val="none"/>
          <w:lang w:val="en-US" w:eastAsia="zh-CN"/>
        </w:rPr>
        <w:t>：</w:t>
      </w:r>
      <w:r>
        <w:rPr>
          <w:rFonts w:hint="default" w:ascii="Times New Roman" w:hAnsi="Times New Roman" w:eastAsia="仿宋_GB2312" w:cs="Times New Roman"/>
          <w:sz w:val="22"/>
          <w:szCs w:val="22"/>
          <w:highlight w:val="none"/>
          <w:lang w:val="en-US" w:eastAsia="zh-CN"/>
        </w:rPr>
        <w:t>按需配置农机具停放维修场地、打谷场（晾晒场）等设施</w:t>
      </w:r>
      <w:r>
        <w:rPr>
          <w:rFonts w:hint="eastAsia" w:eastAsia="仿宋_GB2312" w:cs="Times New Roman"/>
          <w:sz w:val="22"/>
          <w:szCs w:val="22"/>
          <w:highlight w:val="none"/>
          <w:lang w:val="en-US" w:eastAsia="zh-CN"/>
        </w:rPr>
        <w:t>。</w:t>
      </w:r>
    </w:p>
    <w:p w14:paraId="515567CF">
      <w:pPr>
        <w:numPr>
          <w:ilvl w:val="0"/>
          <w:numId w:val="7"/>
        </w:numPr>
        <w:spacing w:before="62" w:beforeLines="20" w:after="62" w:afterLines="20" w:line="264" w:lineRule="auto"/>
        <w:rPr>
          <w:rFonts w:hint="default"/>
          <w:highlight w:val="none"/>
          <w:lang w:val="en-US" w:eastAsia="zh-CN"/>
        </w:rPr>
      </w:pPr>
      <w:r>
        <w:rPr>
          <w:rFonts w:hint="eastAsia" w:eastAsia="仿宋_GB2312" w:cs="Times New Roman"/>
          <w:sz w:val="22"/>
          <w:szCs w:val="22"/>
          <w:highlight w:val="none"/>
          <w:lang w:val="en-US" w:eastAsia="zh-CN"/>
        </w:rPr>
        <w:t>旅游配套</w:t>
      </w:r>
      <w:r>
        <w:rPr>
          <w:rFonts w:hint="default" w:ascii="Times New Roman" w:hAnsi="Times New Roman" w:eastAsia="仿宋_GB2312" w:cs="Times New Roman"/>
          <w:sz w:val="22"/>
          <w:szCs w:val="22"/>
          <w:highlight w:val="none"/>
          <w:lang w:val="en-US" w:eastAsia="zh-CN"/>
        </w:rPr>
        <w:t>设施</w:t>
      </w:r>
      <w:r>
        <w:rPr>
          <w:rFonts w:hint="eastAsia" w:eastAsia="仿宋_GB2312" w:cs="Times New Roman"/>
          <w:sz w:val="22"/>
          <w:szCs w:val="22"/>
          <w:highlight w:val="none"/>
          <w:lang w:val="en-US" w:eastAsia="zh-CN"/>
        </w:rPr>
        <w:t>：</w:t>
      </w:r>
      <w:r>
        <w:rPr>
          <w:rFonts w:hint="default" w:ascii="Times New Roman" w:hAnsi="Times New Roman" w:eastAsia="仿宋_GB2312" w:cs="Times New Roman"/>
          <w:sz w:val="22"/>
          <w:szCs w:val="22"/>
          <w:highlight w:val="none"/>
          <w:lang w:val="en-US" w:eastAsia="zh-CN"/>
        </w:rPr>
        <w:t>新建游客中心、旅游公厕、游客停车场、特色商铺等旅游配套设施</w:t>
      </w:r>
      <w:r>
        <w:rPr>
          <w:rFonts w:hint="eastAsia" w:eastAsia="仿宋_GB2312" w:cs="Times New Roman"/>
          <w:sz w:val="22"/>
          <w:szCs w:val="22"/>
          <w:highlight w:val="none"/>
          <w:lang w:val="en-US" w:eastAsia="zh-CN"/>
        </w:rPr>
        <w:t>。</w:t>
      </w:r>
    </w:p>
    <w:p w14:paraId="6907D8B4">
      <w:pPr>
        <w:numPr>
          <w:ilvl w:val="0"/>
          <w:numId w:val="1"/>
        </w:numPr>
        <w:spacing w:before="62" w:beforeLines="20" w:after="62" w:afterLines="20" w:line="264" w:lineRule="auto"/>
        <w:ind w:firstLine="640"/>
        <w:outlineLvl w:val="0"/>
        <w:rPr>
          <w:rFonts w:eastAsia="黑体"/>
          <w:bCs/>
          <w:sz w:val="22"/>
          <w:szCs w:val="22"/>
          <w:highlight w:val="none"/>
        </w:rPr>
      </w:pPr>
      <w:r>
        <w:rPr>
          <w:rFonts w:hint="eastAsia" w:eastAsia="黑体"/>
          <w:bCs/>
          <w:sz w:val="22"/>
          <w:szCs w:val="22"/>
          <w:highlight w:val="none"/>
        </w:rPr>
        <w:t>道路交通规划</w:t>
      </w:r>
    </w:p>
    <w:p w14:paraId="7B26AA95">
      <w:pPr>
        <w:numPr>
          <w:ilvl w:val="0"/>
          <w:numId w:val="8"/>
        </w:numPr>
        <w:spacing w:before="62" w:beforeLines="20" w:after="62" w:afterLines="20" w:line="264" w:lineRule="auto"/>
        <w:ind w:left="0" w:leftChars="0" w:firstLine="420" w:firstLineChars="0"/>
        <w:rPr>
          <w:rFonts w:ascii="楷体" w:hAnsi="楷体" w:eastAsia="楷体" w:cs="楷体"/>
          <w:sz w:val="22"/>
          <w:szCs w:val="22"/>
          <w:highlight w:val="none"/>
        </w:rPr>
      </w:pPr>
      <w:r>
        <w:rPr>
          <w:rFonts w:hint="eastAsia" w:ascii="楷体" w:hAnsi="楷体" w:eastAsia="楷体" w:cs="楷体"/>
          <w:sz w:val="22"/>
          <w:szCs w:val="22"/>
          <w:highlight w:val="none"/>
        </w:rPr>
        <w:t>对外交通设施</w:t>
      </w:r>
    </w:p>
    <w:p w14:paraId="6ED4568E">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rPr>
      </w:pPr>
      <w:r>
        <w:rPr>
          <w:rFonts w:hint="eastAsia" w:ascii="Times New Roman" w:hAnsi="Times New Roman" w:eastAsia="仿宋_GB2312" w:cs="Times New Roman"/>
          <w:sz w:val="22"/>
          <w:szCs w:val="22"/>
          <w:highlight w:val="none"/>
        </w:rPr>
        <w:t>传导落实上位规划盐边县X046惠温路朵格至热水塘段美丽乡村路改建工程、盐边县X047箐温路箐河电站至温泉乡政府段改建工程，充分衔接攀盐高速，提高村庄与外部联系能力。</w:t>
      </w:r>
    </w:p>
    <w:p w14:paraId="1BE28FD8">
      <w:pPr>
        <w:numPr>
          <w:ilvl w:val="0"/>
          <w:numId w:val="8"/>
        </w:numPr>
        <w:spacing w:before="62" w:beforeLines="20" w:after="62" w:afterLines="20" w:line="264" w:lineRule="auto"/>
        <w:ind w:left="0" w:leftChars="0" w:firstLine="420" w:firstLineChars="0"/>
        <w:rPr>
          <w:rFonts w:ascii="楷体" w:hAnsi="楷体" w:eastAsia="楷体" w:cs="楷体"/>
          <w:sz w:val="22"/>
          <w:szCs w:val="22"/>
          <w:highlight w:val="none"/>
        </w:rPr>
      </w:pPr>
      <w:r>
        <w:rPr>
          <w:rFonts w:ascii="楷体" w:hAnsi="楷体" w:eastAsia="楷体" w:cs="楷体"/>
          <w:sz w:val="22"/>
          <w:szCs w:val="22"/>
          <w:highlight w:val="none"/>
        </w:rPr>
        <w:t>农村公路</w:t>
      </w:r>
    </w:p>
    <w:p w14:paraId="4F13E8D9">
      <w:pPr>
        <w:spacing w:before="62" w:beforeLines="20" w:after="62" w:afterLines="20" w:line="264" w:lineRule="auto"/>
        <w:ind w:firstLine="440" w:firstLineChars="200"/>
        <w:rPr>
          <w:rFonts w:eastAsia="仿宋_GB2312"/>
          <w:sz w:val="22"/>
          <w:szCs w:val="22"/>
          <w:highlight w:val="none"/>
        </w:rPr>
      </w:pPr>
      <w:r>
        <w:rPr>
          <w:rFonts w:hint="eastAsia" w:eastAsia="仿宋_GB2312"/>
          <w:sz w:val="22"/>
          <w:szCs w:val="22"/>
          <w:highlight w:val="none"/>
        </w:rPr>
        <w:t>规划至2035年，保留Y031等主要乡道，打通村内断头路，</w:t>
      </w:r>
      <w:r>
        <w:rPr>
          <w:rFonts w:hint="eastAsia" w:eastAsia="仿宋_GB2312"/>
          <w:sz w:val="22"/>
          <w:szCs w:val="22"/>
          <w:highlight w:val="none"/>
          <w:lang w:val="en-US" w:eastAsia="zh-CN"/>
        </w:rPr>
        <w:t>推进村组入户道路硬化。</w:t>
      </w:r>
      <w:r>
        <w:rPr>
          <w:rFonts w:hint="eastAsia" w:eastAsia="仿宋_GB2312"/>
          <w:sz w:val="22"/>
          <w:szCs w:val="22"/>
          <w:highlight w:val="none"/>
        </w:rPr>
        <w:t>对集镇范围</w:t>
      </w:r>
      <w:r>
        <w:rPr>
          <w:rFonts w:hint="eastAsia" w:eastAsia="仿宋_GB2312"/>
          <w:sz w:val="22"/>
          <w:szCs w:val="22"/>
          <w:highlight w:val="none"/>
          <w:lang w:val="en-US" w:eastAsia="zh-CN"/>
        </w:rPr>
        <w:t>的</w:t>
      </w:r>
      <w:r>
        <w:rPr>
          <w:rFonts w:hint="eastAsia" w:eastAsia="仿宋_GB2312"/>
          <w:sz w:val="22"/>
          <w:szCs w:val="22"/>
          <w:highlight w:val="none"/>
        </w:rPr>
        <w:t>道路进行升级改造，将主要道路拓宽至7米，增强内部交通通达性。</w:t>
      </w:r>
    </w:p>
    <w:p w14:paraId="41D6936C">
      <w:pPr>
        <w:numPr>
          <w:ilvl w:val="0"/>
          <w:numId w:val="8"/>
        </w:numPr>
        <w:spacing w:before="62" w:beforeLines="20" w:after="62" w:afterLines="20" w:line="264" w:lineRule="auto"/>
        <w:ind w:left="0" w:leftChars="0" w:firstLine="420" w:firstLineChars="0"/>
        <w:rPr>
          <w:rFonts w:ascii="楷体" w:hAnsi="楷体" w:eastAsia="楷体" w:cs="楷体"/>
          <w:sz w:val="22"/>
          <w:szCs w:val="22"/>
          <w:highlight w:val="none"/>
        </w:rPr>
      </w:pPr>
      <w:r>
        <w:rPr>
          <w:rFonts w:hint="eastAsia" w:ascii="楷体" w:hAnsi="楷体" w:eastAsia="楷体" w:cs="楷体"/>
          <w:sz w:val="22"/>
          <w:szCs w:val="22"/>
          <w:highlight w:val="none"/>
          <w:lang w:val="en-US" w:eastAsia="zh-CN"/>
        </w:rPr>
        <w:t>运输设施</w:t>
      </w:r>
    </w:p>
    <w:p w14:paraId="2F35CB98">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eastAsia="zh-CN"/>
        </w:rPr>
      </w:pPr>
      <w:r>
        <w:rPr>
          <w:rFonts w:hint="eastAsia" w:ascii="Times New Roman" w:hAnsi="Times New Roman" w:eastAsia="仿宋_GB2312" w:cs="Times New Roman"/>
          <w:sz w:val="22"/>
          <w:szCs w:val="22"/>
          <w:highlight w:val="none"/>
          <w:lang w:eastAsia="zh-CN"/>
        </w:rPr>
        <w:t>按照乡村运输金通工程建设要求，优化乡村客运服务设施，规划新增农村客运招呼站2处，新增停车场1处，占地面积约0.13公顷，其余结合用地配建停车位。遵循“一站多能、综合利用”的原则，规划保留现状温泉乡综合运输服务站，服务范围覆盖热水塘村，村级不另设客运物流综合服务站，依托县道X047形成农副产品物流通道。</w:t>
      </w:r>
    </w:p>
    <w:p w14:paraId="65E54D1F">
      <w:pPr>
        <w:numPr>
          <w:ilvl w:val="0"/>
          <w:numId w:val="8"/>
        </w:numPr>
        <w:spacing w:before="62" w:beforeLines="20" w:after="62" w:afterLines="20" w:line="264" w:lineRule="auto"/>
        <w:ind w:left="0" w:leftChars="0" w:firstLine="420" w:firstLineChars="0"/>
        <w:rPr>
          <w:rFonts w:ascii="楷体" w:hAnsi="楷体" w:eastAsia="楷体" w:cs="楷体"/>
          <w:sz w:val="22"/>
          <w:szCs w:val="22"/>
          <w:highlight w:val="none"/>
        </w:rPr>
      </w:pPr>
      <w:r>
        <w:rPr>
          <w:rFonts w:hint="eastAsia" w:ascii="楷体" w:hAnsi="楷体" w:eastAsia="楷体" w:cs="楷体"/>
          <w:sz w:val="22"/>
          <w:szCs w:val="22"/>
          <w:highlight w:val="none"/>
          <w:lang w:val="en-US" w:eastAsia="zh-CN"/>
        </w:rPr>
        <w:t>旅游通道和绿道</w:t>
      </w:r>
    </w:p>
    <w:p w14:paraId="18638517">
      <w:pPr>
        <w:spacing w:before="62" w:beforeLines="20" w:after="62" w:afterLines="20" w:line="264" w:lineRule="auto"/>
        <w:ind w:firstLine="440" w:firstLineChars="200"/>
        <w:rPr>
          <w:rFonts w:hint="eastAsia"/>
          <w:highlight w:val="none"/>
          <w:lang w:eastAsia="zh-CN"/>
        </w:rPr>
      </w:pPr>
      <w:r>
        <w:rPr>
          <w:rFonts w:hint="eastAsia" w:ascii="Times New Roman" w:hAnsi="Times New Roman" w:eastAsia="仿宋_GB2312" w:cs="Times New Roman"/>
          <w:sz w:val="22"/>
          <w:szCs w:val="22"/>
          <w:highlight w:val="none"/>
          <w:lang w:eastAsia="zh-CN"/>
        </w:rPr>
        <w:t>依托县道X047打造旅游主通道，实施沿线建筑风貌提质改造，串联村内各类旅游资源，赋能乡村旅游发展。以热水河为核心，在集镇河段两岸构建滨水绿道系统</w:t>
      </w:r>
      <w:r>
        <w:rPr>
          <w:rFonts w:hint="eastAsia" w:eastAsia="仿宋_GB2312" w:cs="Times New Roman"/>
          <w:sz w:val="22"/>
          <w:szCs w:val="22"/>
          <w:highlight w:val="none"/>
          <w:lang w:eastAsia="zh-CN"/>
        </w:rPr>
        <w:t>，沿河布设慢行步道、亲水平台及休憩设施，串联集镇居住区、公共服务中心与特色产业节点；</w:t>
      </w:r>
      <w:r>
        <w:rPr>
          <w:rFonts w:hint="eastAsia" w:ascii="Times New Roman" w:hAnsi="Times New Roman" w:eastAsia="仿宋_GB2312" w:cs="Times New Roman"/>
          <w:sz w:val="22"/>
          <w:szCs w:val="22"/>
          <w:highlight w:val="none"/>
          <w:lang w:eastAsia="zh-CN"/>
        </w:rPr>
        <w:t>在满足防洪要求基础上，提升集镇生态品质与慢行通达性，构建功能复合、连续通畅的绿色生态休闲网络。</w:t>
      </w:r>
    </w:p>
    <w:p w14:paraId="528296F5">
      <w:pPr>
        <w:numPr>
          <w:ilvl w:val="0"/>
          <w:numId w:val="1"/>
        </w:numPr>
        <w:spacing w:before="62" w:beforeLines="20" w:after="62" w:afterLines="20" w:line="264" w:lineRule="auto"/>
        <w:ind w:firstLine="640"/>
        <w:outlineLvl w:val="0"/>
        <w:rPr>
          <w:rFonts w:hint="eastAsia" w:ascii="Times New Roman" w:hAnsi="Times New Roman" w:eastAsia="黑体" w:cs="Times New Roman"/>
          <w:bCs/>
          <w:sz w:val="22"/>
          <w:szCs w:val="22"/>
          <w:highlight w:val="none"/>
          <w:lang w:eastAsia="zh-CN"/>
        </w:rPr>
      </w:pPr>
      <w:r>
        <w:rPr>
          <w:rFonts w:hint="eastAsia" w:ascii="Times New Roman" w:hAnsi="Times New Roman" w:eastAsia="黑体" w:cs="Times New Roman"/>
          <w:bCs/>
          <w:sz w:val="22"/>
          <w:szCs w:val="22"/>
          <w:highlight w:val="none"/>
          <w:lang w:eastAsia="zh-CN"/>
        </w:rPr>
        <w:t>农村建房指引</w:t>
      </w:r>
    </w:p>
    <w:p w14:paraId="49BA483E">
      <w:pPr>
        <w:spacing w:before="62" w:beforeLines="20" w:after="62" w:afterLines="20" w:line="264" w:lineRule="auto"/>
        <w:ind w:firstLine="440" w:firstLineChars="200"/>
        <w:rPr>
          <w:rFonts w:hint="eastAsia" w:ascii="楷体" w:hAnsi="楷体" w:eastAsia="楷体" w:cs="楷体"/>
          <w:sz w:val="22"/>
          <w:szCs w:val="22"/>
          <w:highlight w:val="none"/>
          <w:lang w:eastAsia="zh-CN"/>
        </w:rPr>
      </w:pPr>
      <w:r>
        <w:rPr>
          <w:rFonts w:hint="eastAsia" w:ascii="楷体" w:hAnsi="楷体" w:eastAsia="楷体" w:cs="楷体"/>
          <w:sz w:val="22"/>
          <w:szCs w:val="22"/>
          <w:highlight w:val="none"/>
        </w:rPr>
        <w:t>（一）</w:t>
      </w:r>
      <w:r>
        <w:rPr>
          <w:rFonts w:hint="eastAsia" w:ascii="楷体" w:hAnsi="楷体" w:eastAsia="楷体" w:cs="楷体"/>
          <w:sz w:val="22"/>
          <w:szCs w:val="22"/>
          <w:highlight w:val="none"/>
          <w:lang w:eastAsia="zh-CN"/>
        </w:rPr>
        <w:t xml:space="preserve">总体原则 </w:t>
      </w:r>
    </w:p>
    <w:p w14:paraId="5FF90007">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eastAsia="zh-CN"/>
        </w:rPr>
      </w:pPr>
      <w:r>
        <w:rPr>
          <w:rFonts w:hint="eastAsia" w:ascii="Times New Roman" w:hAnsi="Times New Roman" w:eastAsia="仿宋_GB2312" w:cs="Times New Roman"/>
          <w:sz w:val="22"/>
          <w:szCs w:val="22"/>
          <w:highlight w:val="none"/>
          <w:lang w:eastAsia="zh-CN"/>
        </w:rPr>
        <w:t>坚持“一户一宅”原则，农村居民点选址避让永久基本农田、生态公益林、地质灾害危险区、生态敏感区</w:t>
      </w:r>
      <w:r>
        <w:rPr>
          <w:rFonts w:hint="eastAsia" w:eastAsia="仿宋_GB2312" w:cs="Times New Roman"/>
          <w:sz w:val="22"/>
          <w:szCs w:val="22"/>
          <w:highlight w:val="none"/>
          <w:lang w:eastAsia="zh-CN"/>
        </w:rPr>
        <w:t>、</w:t>
      </w:r>
      <w:r>
        <w:rPr>
          <w:rFonts w:hint="eastAsia" w:eastAsia="仿宋_GB2312" w:cs="Times New Roman"/>
          <w:sz w:val="22"/>
          <w:szCs w:val="22"/>
          <w:highlight w:val="none"/>
          <w:lang w:val="en-US" w:eastAsia="zh-CN"/>
        </w:rPr>
        <w:t>高压线路</w:t>
      </w:r>
      <w:r>
        <w:rPr>
          <w:rFonts w:hint="eastAsia" w:ascii="Times New Roman" w:hAnsi="Times New Roman" w:eastAsia="仿宋_GB2312" w:cs="Times New Roman"/>
          <w:sz w:val="22"/>
          <w:szCs w:val="22"/>
          <w:highlight w:val="none"/>
          <w:lang w:eastAsia="zh-CN"/>
        </w:rPr>
        <w:t>等禁止建设区域，充分融入村镇体系、产业布局及自然环境。结合村庄实际，顺应农村人口流动趋势，尊重本地居住习惯，兼顾耕作半径等影响因素，按照“大散居、小聚居”模式优化农村居民点布局，引导村民适度向集镇和热水河河谷地带集聚</w:t>
      </w:r>
      <w:r>
        <w:rPr>
          <w:rFonts w:hint="eastAsia" w:eastAsia="仿宋_GB2312" w:cs="Times New Roman"/>
          <w:sz w:val="22"/>
          <w:szCs w:val="22"/>
          <w:highlight w:val="none"/>
          <w:lang w:eastAsia="zh-CN"/>
        </w:rPr>
        <w:t>，</w:t>
      </w:r>
      <w:r>
        <w:rPr>
          <w:rFonts w:hint="eastAsia" w:ascii="Times New Roman" w:hAnsi="Times New Roman" w:eastAsia="仿宋_GB2312" w:cs="Times New Roman"/>
          <w:sz w:val="22"/>
          <w:szCs w:val="22"/>
          <w:highlight w:val="none"/>
          <w:lang w:eastAsia="zh-CN"/>
        </w:rPr>
        <w:t>完善生产生活服务配套设施，补齐公共服务短板。</w:t>
      </w:r>
    </w:p>
    <w:p w14:paraId="60F9110D">
      <w:pPr>
        <w:spacing w:before="62" w:beforeLines="20" w:after="62" w:afterLines="20" w:line="264" w:lineRule="auto"/>
        <w:ind w:firstLine="440" w:firstLineChars="200"/>
        <w:rPr>
          <w:rFonts w:hint="eastAsia" w:ascii="楷体" w:hAnsi="楷体" w:eastAsia="楷体" w:cs="楷体"/>
          <w:sz w:val="22"/>
          <w:szCs w:val="22"/>
          <w:highlight w:val="none"/>
          <w:lang w:eastAsia="zh-CN"/>
        </w:rPr>
      </w:pPr>
      <w:r>
        <w:rPr>
          <w:rFonts w:hint="eastAsia" w:ascii="楷体" w:hAnsi="楷体" w:eastAsia="楷体" w:cs="楷体"/>
          <w:sz w:val="22"/>
          <w:szCs w:val="22"/>
          <w:highlight w:val="none"/>
        </w:rPr>
        <w:t>（</w:t>
      </w:r>
      <w:r>
        <w:rPr>
          <w:rFonts w:hint="eastAsia" w:ascii="楷体" w:hAnsi="楷体" w:eastAsia="楷体" w:cs="楷体"/>
          <w:sz w:val="22"/>
          <w:szCs w:val="22"/>
          <w:highlight w:val="none"/>
          <w:lang w:val="en-US" w:eastAsia="zh-CN"/>
        </w:rPr>
        <w:t>二</w:t>
      </w:r>
      <w:r>
        <w:rPr>
          <w:rFonts w:hint="eastAsia" w:ascii="楷体" w:hAnsi="楷体" w:eastAsia="楷体" w:cs="楷体"/>
          <w:sz w:val="22"/>
          <w:szCs w:val="22"/>
          <w:highlight w:val="none"/>
        </w:rPr>
        <w:t>）</w:t>
      </w:r>
      <w:r>
        <w:rPr>
          <w:rFonts w:hint="eastAsia" w:ascii="楷体" w:hAnsi="楷体" w:eastAsia="楷体" w:cs="楷体"/>
          <w:sz w:val="22"/>
          <w:szCs w:val="22"/>
          <w:highlight w:val="none"/>
          <w:lang w:eastAsia="zh-CN"/>
        </w:rPr>
        <w:t>建筑风格指引</w:t>
      </w:r>
    </w:p>
    <w:p w14:paraId="465F06C3">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eastAsia="zh-CN"/>
        </w:rPr>
      </w:pPr>
      <w:r>
        <w:rPr>
          <w:rFonts w:hint="eastAsia" w:ascii="Times New Roman" w:hAnsi="Times New Roman" w:eastAsia="仿宋_GB2312" w:cs="Times New Roman"/>
          <w:sz w:val="22"/>
          <w:szCs w:val="22"/>
          <w:highlight w:val="none"/>
          <w:lang w:eastAsia="zh-CN"/>
        </w:rPr>
        <w:t>依山就势、显山露水，采用筒瓦（或仿古树脂瓦）、木材（或钢材刷木纹漆）、现代夯土、本地石材、真石漆等材料，绘制民族特色装饰线条，点缀牛羊角拱架等图腾装饰物件，充分体现彝族传统民居特色，塑造质朴厚重、富有地域活力的乡土风貌。</w:t>
      </w:r>
    </w:p>
    <w:p w14:paraId="27435E7C">
      <w:pPr>
        <w:spacing w:before="62" w:beforeLines="20" w:after="62" w:afterLines="20" w:line="264" w:lineRule="auto"/>
        <w:ind w:firstLine="440" w:firstLineChars="200"/>
        <w:rPr>
          <w:rFonts w:hint="eastAsia" w:ascii="楷体" w:hAnsi="楷体" w:eastAsia="楷体" w:cs="楷体"/>
          <w:sz w:val="22"/>
          <w:szCs w:val="22"/>
          <w:highlight w:val="none"/>
          <w:lang w:eastAsia="zh-CN"/>
        </w:rPr>
      </w:pPr>
      <w:r>
        <w:rPr>
          <w:rFonts w:hint="eastAsia" w:ascii="楷体" w:hAnsi="楷体" w:eastAsia="楷体" w:cs="楷体"/>
          <w:sz w:val="22"/>
          <w:szCs w:val="22"/>
          <w:highlight w:val="none"/>
        </w:rPr>
        <w:t>（</w:t>
      </w:r>
      <w:r>
        <w:rPr>
          <w:rFonts w:hint="eastAsia" w:ascii="楷体" w:hAnsi="楷体" w:eastAsia="楷体" w:cs="楷体"/>
          <w:sz w:val="22"/>
          <w:szCs w:val="22"/>
          <w:highlight w:val="none"/>
          <w:lang w:val="en-US" w:eastAsia="zh-CN"/>
        </w:rPr>
        <w:t>三</w:t>
      </w:r>
      <w:r>
        <w:rPr>
          <w:rFonts w:hint="eastAsia" w:ascii="楷体" w:hAnsi="楷体" w:eastAsia="楷体" w:cs="楷体"/>
          <w:sz w:val="22"/>
          <w:szCs w:val="22"/>
          <w:highlight w:val="none"/>
        </w:rPr>
        <w:t>）</w:t>
      </w:r>
      <w:r>
        <w:rPr>
          <w:rFonts w:hint="eastAsia" w:ascii="楷体" w:hAnsi="楷体" w:eastAsia="楷体" w:cs="楷体"/>
          <w:sz w:val="22"/>
          <w:szCs w:val="22"/>
          <w:highlight w:val="none"/>
          <w:lang w:eastAsia="zh-CN"/>
        </w:rPr>
        <w:t>建筑高度指引</w:t>
      </w:r>
    </w:p>
    <w:p w14:paraId="00651E71">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eastAsia="zh-CN"/>
        </w:rPr>
      </w:pPr>
      <w:r>
        <w:rPr>
          <w:rFonts w:hint="eastAsia" w:ascii="Times New Roman" w:hAnsi="Times New Roman" w:eastAsia="仿宋_GB2312" w:cs="Times New Roman"/>
          <w:sz w:val="22"/>
          <w:szCs w:val="22"/>
          <w:highlight w:val="none"/>
          <w:lang w:eastAsia="zh-CN"/>
        </w:rPr>
        <w:t>建筑以小体量为主，层数一般不超过</w:t>
      </w:r>
      <w:r>
        <w:rPr>
          <w:rFonts w:hint="eastAsia" w:eastAsia="仿宋_GB2312" w:cs="Times New Roman"/>
          <w:sz w:val="22"/>
          <w:szCs w:val="22"/>
          <w:highlight w:val="none"/>
          <w:lang w:val="en-US" w:eastAsia="zh-CN"/>
        </w:rPr>
        <w:t>3</w:t>
      </w:r>
      <w:r>
        <w:rPr>
          <w:rFonts w:hint="eastAsia" w:ascii="Times New Roman" w:hAnsi="Times New Roman" w:eastAsia="仿宋_GB2312" w:cs="Times New Roman"/>
          <w:sz w:val="22"/>
          <w:szCs w:val="22"/>
          <w:highlight w:val="none"/>
          <w:lang w:eastAsia="zh-CN"/>
        </w:rPr>
        <w:t>层，建筑高度原则不超过</w:t>
      </w:r>
      <w:r>
        <w:rPr>
          <w:rFonts w:hint="eastAsia" w:eastAsia="仿宋_GB2312" w:cs="Times New Roman"/>
          <w:sz w:val="22"/>
          <w:szCs w:val="22"/>
          <w:highlight w:val="none"/>
          <w:lang w:val="en-US" w:eastAsia="zh-CN"/>
        </w:rPr>
        <w:t>12</w:t>
      </w:r>
      <w:r>
        <w:rPr>
          <w:rFonts w:hint="eastAsia" w:ascii="Times New Roman" w:hAnsi="Times New Roman" w:eastAsia="仿宋_GB2312" w:cs="Times New Roman"/>
          <w:sz w:val="22"/>
          <w:szCs w:val="22"/>
          <w:highlight w:val="none"/>
          <w:lang w:eastAsia="zh-CN"/>
        </w:rPr>
        <w:t>米，底层层高可酌情增加，满足农村生产生活使用需求。</w:t>
      </w:r>
    </w:p>
    <w:p w14:paraId="2A3AC44E">
      <w:pPr>
        <w:spacing w:before="62" w:beforeLines="20" w:after="62" w:afterLines="20" w:line="264" w:lineRule="auto"/>
        <w:ind w:firstLine="440" w:firstLineChars="200"/>
        <w:rPr>
          <w:rFonts w:hint="eastAsia" w:ascii="楷体" w:hAnsi="楷体" w:eastAsia="楷体" w:cs="楷体"/>
          <w:sz w:val="22"/>
          <w:szCs w:val="22"/>
          <w:highlight w:val="none"/>
          <w:lang w:eastAsia="zh-CN"/>
        </w:rPr>
      </w:pPr>
      <w:r>
        <w:rPr>
          <w:rFonts w:hint="eastAsia" w:ascii="楷体" w:hAnsi="楷体" w:eastAsia="楷体" w:cs="楷体"/>
          <w:sz w:val="22"/>
          <w:szCs w:val="22"/>
          <w:highlight w:val="none"/>
        </w:rPr>
        <w:t>（</w:t>
      </w:r>
      <w:r>
        <w:rPr>
          <w:rFonts w:hint="eastAsia" w:ascii="楷体" w:hAnsi="楷体" w:eastAsia="楷体" w:cs="楷体"/>
          <w:sz w:val="22"/>
          <w:szCs w:val="22"/>
          <w:highlight w:val="none"/>
          <w:lang w:val="en-US" w:eastAsia="zh-CN"/>
        </w:rPr>
        <w:t>四</w:t>
      </w:r>
      <w:r>
        <w:rPr>
          <w:rFonts w:hint="eastAsia" w:ascii="楷体" w:hAnsi="楷体" w:eastAsia="楷体" w:cs="楷体"/>
          <w:sz w:val="22"/>
          <w:szCs w:val="22"/>
          <w:highlight w:val="none"/>
        </w:rPr>
        <w:t>）</w:t>
      </w:r>
      <w:r>
        <w:rPr>
          <w:rFonts w:hint="eastAsia" w:ascii="楷体" w:hAnsi="楷体" w:eastAsia="楷体" w:cs="楷体"/>
          <w:sz w:val="22"/>
          <w:szCs w:val="22"/>
          <w:highlight w:val="none"/>
          <w:lang w:eastAsia="zh-CN"/>
        </w:rPr>
        <w:t>建筑色彩指引</w:t>
      </w:r>
    </w:p>
    <w:p w14:paraId="29FA1410">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eastAsia="zh-CN"/>
        </w:rPr>
      </w:pPr>
      <w:r>
        <w:rPr>
          <w:rFonts w:hint="eastAsia" w:ascii="Times New Roman" w:hAnsi="Times New Roman" w:eastAsia="仿宋_GB2312" w:cs="Times New Roman"/>
          <w:sz w:val="22"/>
          <w:szCs w:val="22"/>
          <w:highlight w:val="none"/>
          <w:lang w:eastAsia="zh-CN"/>
        </w:rPr>
        <w:t>以温暖的黄色系为主色调，辅以红色、黑色、白色等典型装饰色及不同明度的土黄色进行搭配，塑造古朴厚重、对比鲜明的民族乡土色彩意象。</w:t>
      </w:r>
    </w:p>
    <w:p w14:paraId="176E1540">
      <w:pPr>
        <w:spacing w:before="62" w:beforeLines="20" w:after="62" w:afterLines="20" w:line="264" w:lineRule="auto"/>
        <w:ind w:firstLine="440" w:firstLineChars="200"/>
        <w:rPr>
          <w:rFonts w:hint="eastAsia" w:ascii="楷体" w:hAnsi="楷体" w:eastAsia="楷体" w:cs="楷体"/>
          <w:sz w:val="22"/>
          <w:szCs w:val="22"/>
          <w:highlight w:val="none"/>
          <w:lang w:eastAsia="zh-CN"/>
        </w:rPr>
      </w:pPr>
      <w:r>
        <w:rPr>
          <w:rFonts w:hint="eastAsia" w:ascii="楷体" w:hAnsi="楷体" w:eastAsia="楷体" w:cs="楷体"/>
          <w:sz w:val="22"/>
          <w:szCs w:val="22"/>
          <w:highlight w:val="none"/>
        </w:rPr>
        <w:t>（</w:t>
      </w:r>
      <w:r>
        <w:rPr>
          <w:rFonts w:hint="eastAsia" w:ascii="楷体" w:hAnsi="楷体" w:eastAsia="楷体" w:cs="楷体"/>
          <w:sz w:val="22"/>
          <w:szCs w:val="22"/>
          <w:highlight w:val="none"/>
          <w:lang w:val="en-US" w:eastAsia="zh-CN"/>
        </w:rPr>
        <w:t>五</w:t>
      </w:r>
      <w:r>
        <w:rPr>
          <w:rFonts w:hint="eastAsia" w:ascii="楷体" w:hAnsi="楷体" w:eastAsia="楷体" w:cs="楷体"/>
          <w:sz w:val="22"/>
          <w:szCs w:val="22"/>
          <w:highlight w:val="none"/>
        </w:rPr>
        <w:t>）</w:t>
      </w:r>
      <w:r>
        <w:rPr>
          <w:rFonts w:hint="eastAsia" w:ascii="楷体" w:hAnsi="楷体" w:eastAsia="楷体" w:cs="楷体"/>
          <w:sz w:val="22"/>
          <w:szCs w:val="22"/>
          <w:highlight w:val="none"/>
          <w:lang w:eastAsia="zh-CN"/>
        </w:rPr>
        <w:t>建筑退距指引</w:t>
      </w:r>
    </w:p>
    <w:p w14:paraId="50F5E7E4">
      <w:pPr>
        <w:spacing w:before="62" w:beforeLines="20" w:after="62" w:afterLines="20" w:line="264" w:lineRule="auto"/>
        <w:ind w:firstLine="440" w:firstLineChars="200"/>
        <w:rPr>
          <w:rFonts w:hint="eastAsia" w:ascii="Times New Roman" w:hAnsi="Times New Roman" w:eastAsia="仿宋_GB2312" w:cs="Times New Roman"/>
          <w:sz w:val="22"/>
          <w:szCs w:val="22"/>
          <w:highlight w:val="none"/>
          <w:lang w:eastAsia="zh-CN"/>
        </w:rPr>
      </w:pPr>
      <w:r>
        <w:rPr>
          <w:rFonts w:hint="eastAsia" w:ascii="Times New Roman" w:hAnsi="Times New Roman" w:eastAsia="仿宋_GB2312" w:cs="Times New Roman"/>
          <w:sz w:val="22"/>
          <w:szCs w:val="22"/>
          <w:highlight w:val="none"/>
          <w:lang w:eastAsia="zh-CN"/>
        </w:rPr>
        <w:t>集中居民点建筑后退用地红线距离不应小于0.5米；临道路、河流水系</w:t>
      </w:r>
      <w:r>
        <w:rPr>
          <w:rFonts w:hint="eastAsia" w:eastAsia="仿宋_GB2312" w:cs="Times New Roman"/>
          <w:sz w:val="22"/>
          <w:szCs w:val="22"/>
          <w:highlight w:val="none"/>
          <w:lang w:eastAsia="zh-CN"/>
        </w:rPr>
        <w:t>、</w:t>
      </w:r>
      <w:r>
        <w:rPr>
          <w:rFonts w:hint="eastAsia" w:eastAsia="仿宋_GB2312" w:cs="Times New Roman"/>
          <w:sz w:val="22"/>
          <w:szCs w:val="22"/>
          <w:highlight w:val="none"/>
          <w:lang w:val="en-US" w:eastAsia="zh-CN"/>
        </w:rPr>
        <w:t>高压线路</w:t>
      </w:r>
      <w:r>
        <w:rPr>
          <w:rFonts w:hint="eastAsia" w:ascii="Times New Roman" w:hAnsi="Times New Roman" w:eastAsia="仿宋_GB2312" w:cs="Times New Roman"/>
          <w:sz w:val="22"/>
          <w:szCs w:val="22"/>
          <w:highlight w:val="none"/>
          <w:lang w:eastAsia="zh-CN"/>
        </w:rPr>
        <w:t>等区域的建筑退距，严格按照对应行业规范与专项管控要求执行。</w:t>
      </w:r>
    </w:p>
    <w:p w14:paraId="2E5FE806">
      <w:pPr>
        <w:numPr>
          <w:ilvl w:val="0"/>
          <w:numId w:val="1"/>
        </w:numPr>
        <w:spacing w:before="62" w:beforeLines="20" w:after="62" w:afterLines="20" w:line="264" w:lineRule="auto"/>
        <w:ind w:firstLine="640"/>
        <w:outlineLvl w:val="0"/>
        <w:rPr>
          <w:rFonts w:hint="eastAsia" w:ascii="Times New Roman" w:hAnsi="Times New Roman" w:eastAsia="黑体" w:cs="Times New Roman"/>
          <w:bCs/>
          <w:sz w:val="22"/>
          <w:szCs w:val="22"/>
          <w:highlight w:val="none"/>
          <w:lang w:val="en-US" w:eastAsia="zh-CN"/>
        </w:rPr>
      </w:pPr>
      <w:r>
        <w:rPr>
          <w:rFonts w:hint="eastAsia" w:ascii="Times New Roman" w:hAnsi="Times New Roman" w:eastAsia="黑体" w:cs="Times New Roman"/>
          <w:bCs/>
          <w:sz w:val="22"/>
          <w:szCs w:val="22"/>
          <w:highlight w:val="none"/>
          <w:lang w:val="en-US" w:eastAsia="zh-CN"/>
        </w:rPr>
        <w:t>重点区域</w:t>
      </w:r>
    </w:p>
    <w:p w14:paraId="42067807">
      <w:pPr>
        <w:spacing w:before="62" w:beforeLines="20" w:after="62" w:afterLines="20" w:line="264" w:lineRule="auto"/>
        <w:ind w:firstLine="440" w:firstLineChars="200"/>
        <w:rPr>
          <w:rFonts w:hint="eastAsia" w:ascii="Times New Roman" w:hAnsi="Times New Roman" w:eastAsia="仿宋_GB2312" w:cs="Times New Roman"/>
          <w:sz w:val="22"/>
          <w:szCs w:val="22"/>
          <w:lang w:eastAsia="zh-CN"/>
        </w:rPr>
      </w:pPr>
      <w:r>
        <w:rPr>
          <w:rFonts w:hint="eastAsia" w:ascii="Times New Roman" w:hAnsi="Times New Roman" w:eastAsia="仿宋_GB2312" w:cs="Times New Roman"/>
          <w:sz w:val="22"/>
          <w:szCs w:val="22"/>
          <w:lang w:eastAsia="zh-CN"/>
        </w:rPr>
        <w:t>热水塘村作为温泉彝族乡政府驻地，是全乡政治、经济、文化、交通中心，本次规划选取集镇作为重点区域进行深入研究</w:t>
      </w:r>
      <w:r>
        <w:rPr>
          <w:rFonts w:hint="eastAsia" w:eastAsia="仿宋_GB2312" w:cs="Times New Roman"/>
          <w:sz w:val="22"/>
          <w:szCs w:val="22"/>
          <w:lang w:eastAsia="zh-CN"/>
        </w:rPr>
        <w:t>。在传导上位规划确定的村庄建设边界基础上，结合集镇发展实际，</w:t>
      </w:r>
      <w:r>
        <w:rPr>
          <w:rFonts w:hint="eastAsia" w:ascii="Times New Roman" w:hAnsi="Times New Roman" w:eastAsia="仿宋_GB2312" w:cs="Times New Roman"/>
          <w:sz w:val="22"/>
          <w:szCs w:val="22"/>
          <w:lang w:eastAsia="zh-CN"/>
        </w:rPr>
        <w:t>划定重点区域研究范围12.88公顷，包括乡政府、村委会周边现状建成区及集镇规划新增建设用地</w:t>
      </w:r>
      <w:r>
        <w:rPr>
          <w:rFonts w:hint="eastAsia" w:eastAsia="仿宋_GB2312" w:cs="Times New Roman"/>
          <w:sz w:val="22"/>
          <w:szCs w:val="22"/>
          <w:lang w:eastAsia="zh-CN"/>
        </w:rPr>
        <w:t>。</w:t>
      </w:r>
      <w:r>
        <w:rPr>
          <w:rFonts w:hint="eastAsia" w:eastAsia="仿宋_GB2312" w:cs="Times New Roman"/>
          <w:sz w:val="22"/>
          <w:szCs w:val="22"/>
          <w:lang w:val="en-US" w:eastAsia="zh-CN"/>
        </w:rPr>
        <w:t>规划至2035年，集镇建设用地总规模11.97公顷</w:t>
      </w:r>
      <w:r>
        <w:rPr>
          <w:rFonts w:hint="eastAsia" w:ascii="Times New Roman" w:hAnsi="Times New Roman" w:eastAsia="仿宋_GB2312" w:cs="Times New Roman"/>
          <w:sz w:val="22"/>
          <w:szCs w:val="22"/>
          <w:lang w:eastAsia="zh-CN"/>
        </w:rPr>
        <w:t>。</w:t>
      </w:r>
    </w:p>
    <w:p w14:paraId="19E6CA98">
      <w:pPr>
        <w:numPr>
          <w:ilvl w:val="0"/>
          <w:numId w:val="9"/>
        </w:numPr>
        <w:spacing w:before="62" w:beforeLines="20" w:after="62" w:afterLines="20" w:line="264" w:lineRule="auto"/>
        <w:ind w:firstLine="440" w:firstLineChars="200"/>
        <w:rPr>
          <w:rFonts w:hint="eastAsia" w:ascii="楷体" w:hAnsi="楷体" w:eastAsia="楷体" w:cs="楷体"/>
          <w:sz w:val="22"/>
          <w:szCs w:val="22"/>
          <w:highlight w:val="none"/>
          <w:lang w:val="en-US" w:eastAsia="zh-CN"/>
        </w:rPr>
      </w:pPr>
      <w:r>
        <w:rPr>
          <w:rFonts w:hint="eastAsia" w:ascii="楷体" w:hAnsi="楷体" w:eastAsia="楷体" w:cs="楷体"/>
          <w:sz w:val="22"/>
          <w:szCs w:val="22"/>
          <w:highlight w:val="none"/>
          <w:lang w:val="en-US" w:eastAsia="zh-CN"/>
        </w:rPr>
        <w:t>集镇性质</w:t>
      </w:r>
    </w:p>
    <w:p w14:paraId="12EC5288">
      <w:pPr>
        <w:spacing w:before="62" w:beforeLines="20" w:after="62" w:afterLines="20" w:line="264" w:lineRule="auto"/>
        <w:ind w:firstLine="440" w:firstLineChars="200"/>
        <w:rPr>
          <w:rFonts w:hint="eastAsia"/>
          <w:lang w:eastAsia="zh-CN"/>
        </w:rPr>
      </w:pPr>
      <w:r>
        <w:rPr>
          <w:rFonts w:hint="eastAsia" w:ascii="Times New Roman" w:hAnsi="Times New Roman" w:eastAsia="仿宋_GB2312" w:cs="Times New Roman"/>
          <w:sz w:val="22"/>
          <w:szCs w:val="22"/>
          <w:lang w:eastAsia="zh-CN"/>
        </w:rPr>
        <w:t>以生活居住为基础、温泉康养度假为主导，融合乡村休闲与民族文化体验的旅游型集镇。</w:t>
      </w:r>
    </w:p>
    <w:p w14:paraId="4340438C">
      <w:pPr>
        <w:numPr>
          <w:ilvl w:val="0"/>
          <w:numId w:val="9"/>
        </w:numPr>
        <w:spacing w:before="62" w:beforeLines="20" w:after="62" w:afterLines="20" w:line="264" w:lineRule="auto"/>
        <w:ind w:firstLine="440" w:firstLineChars="200"/>
        <w:rPr>
          <w:rFonts w:hint="eastAsia" w:ascii="楷体" w:hAnsi="楷体" w:eastAsia="楷体" w:cs="楷体"/>
          <w:sz w:val="22"/>
          <w:szCs w:val="22"/>
          <w:highlight w:val="none"/>
          <w:lang w:val="en-US" w:eastAsia="zh-CN"/>
        </w:rPr>
      </w:pPr>
      <w:r>
        <w:rPr>
          <w:rFonts w:hint="eastAsia" w:ascii="楷体" w:hAnsi="楷体" w:eastAsia="楷体" w:cs="楷体"/>
          <w:sz w:val="22"/>
          <w:szCs w:val="22"/>
          <w:highlight w:val="none"/>
          <w:lang w:val="en-US" w:eastAsia="zh-CN"/>
        </w:rPr>
        <w:t>形象定位</w:t>
      </w:r>
    </w:p>
    <w:p w14:paraId="07C846E2">
      <w:pPr>
        <w:spacing w:before="62" w:beforeLines="20" w:after="62" w:afterLines="20" w:line="264" w:lineRule="auto"/>
        <w:ind w:firstLine="440" w:firstLineChars="200"/>
        <w:rPr>
          <w:rFonts w:hint="eastAsia"/>
          <w:lang w:eastAsia="zh-CN"/>
        </w:rPr>
      </w:pPr>
      <w:r>
        <w:rPr>
          <w:rFonts w:hint="eastAsia" w:ascii="Times New Roman" w:hAnsi="Times New Roman" w:eastAsia="仿宋_GB2312" w:cs="Times New Roman"/>
          <w:sz w:val="22"/>
          <w:szCs w:val="22"/>
          <w:lang w:eastAsia="zh-CN"/>
        </w:rPr>
        <w:t>天浴温泉·举人故里</w:t>
      </w:r>
    </w:p>
    <w:p w14:paraId="251BC52D">
      <w:pPr>
        <w:numPr>
          <w:ilvl w:val="0"/>
          <w:numId w:val="9"/>
        </w:numPr>
        <w:spacing w:before="62" w:beforeLines="20" w:after="62" w:afterLines="20" w:line="264" w:lineRule="auto"/>
        <w:ind w:firstLine="440" w:firstLineChars="200"/>
        <w:rPr>
          <w:rFonts w:hint="eastAsia" w:ascii="楷体" w:hAnsi="楷体" w:eastAsia="楷体" w:cs="楷体"/>
          <w:sz w:val="22"/>
          <w:szCs w:val="22"/>
          <w:highlight w:val="none"/>
          <w:lang w:val="en-US" w:eastAsia="zh-CN"/>
        </w:rPr>
      </w:pPr>
      <w:r>
        <w:rPr>
          <w:rFonts w:hint="eastAsia" w:ascii="楷体" w:hAnsi="楷体" w:eastAsia="楷体" w:cs="楷体"/>
          <w:sz w:val="22"/>
          <w:szCs w:val="22"/>
          <w:highlight w:val="none"/>
          <w:lang w:val="en-US" w:eastAsia="zh-CN"/>
        </w:rPr>
        <w:t>空间结构</w:t>
      </w:r>
    </w:p>
    <w:p w14:paraId="703BF936">
      <w:pPr>
        <w:spacing w:before="62" w:beforeLines="20" w:after="62" w:afterLines="20" w:line="264" w:lineRule="auto"/>
        <w:ind w:firstLine="440" w:firstLineChars="200"/>
        <w:rPr>
          <w:rFonts w:hint="eastAsia" w:ascii="Times New Roman" w:hAnsi="Times New Roman" w:eastAsia="仿宋_GB2312" w:cs="Times New Roman"/>
          <w:sz w:val="22"/>
          <w:szCs w:val="22"/>
          <w:lang w:val="en-US" w:eastAsia="zh-CN"/>
        </w:rPr>
      </w:pPr>
      <w:r>
        <w:rPr>
          <w:rFonts w:hint="eastAsia" w:eastAsia="仿宋_GB2312" w:cs="Times New Roman"/>
          <w:sz w:val="22"/>
          <w:szCs w:val="22"/>
          <w:lang w:val="en-US" w:eastAsia="zh-CN"/>
        </w:rPr>
        <w:t>整体</w:t>
      </w:r>
      <w:r>
        <w:rPr>
          <w:rFonts w:hint="eastAsia" w:ascii="Times New Roman" w:hAnsi="Times New Roman" w:eastAsia="仿宋_GB2312" w:cs="Times New Roman"/>
          <w:sz w:val="22"/>
          <w:szCs w:val="22"/>
          <w:lang w:val="en-US" w:eastAsia="zh-CN"/>
        </w:rPr>
        <w:t>形成“一轴一带一中心，服务观光两组团”的集镇空间结构。</w:t>
      </w:r>
    </w:p>
    <w:p w14:paraId="2E53442B">
      <w:pPr>
        <w:numPr>
          <w:ilvl w:val="0"/>
          <w:numId w:val="9"/>
        </w:numPr>
        <w:spacing w:before="62" w:beforeLines="20" w:after="62" w:afterLines="20" w:line="264" w:lineRule="auto"/>
        <w:ind w:firstLine="440" w:firstLineChars="200"/>
        <w:rPr>
          <w:rFonts w:hint="eastAsia" w:ascii="楷体" w:hAnsi="楷体" w:eastAsia="楷体" w:cs="楷体"/>
          <w:sz w:val="22"/>
          <w:szCs w:val="22"/>
          <w:highlight w:val="none"/>
          <w:lang w:val="en-US" w:eastAsia="zh-CN"/>
        </w:rPr>
      </w:pPr>
      <w:r>
        <w:rPr>
          <w:rFonts w:hint="eastAsia" w:ascii="楷体" w:hAnsi="楷体" w:eastAsia="楷体" w:cs="楷体"/>
          <w:sz w:val="22"/>
          <w:szCs w:val="22"/>
          <w:highlight w:val="none"/>
          <w:lang w:val="en-US" w:eastAsia="zh-CN"/>
        </w:rPr>
        <w:t>建设指引</w:t>
      </w:r>
    </w:p>
    <w:p w14:paraId="1193371D">
      <w:pPr>
        <w:spacing w:before="62" w:beforeLines="20" w:after="62" w:afterLines="20" w:line="264" w:lineRule="auto"/>
        <w:ind w:firstLine="440" w:firstLineChars="200"/>
        <w:rPr>
          <w:rFonts w:hint="eastAsia" w:ascii="Times New Roman" w:hAnsi="Times New Roman" w:eastAsia="仿宋_GB2312" w:cs="Times New Roman"/>
          <w:sz w:val="22"/>
          <w:szCs w:val="22"/>
          <w:lang w:val="en-US" w:eastAsia="zh-CN"/>
        </w:rPr>
      </w:pPr>
      <w:r>
        <w:rPr>
          <w:rFonts w:hint="eastAsia" w:eastAsia="仿宋_GB2312" w:cs="Times New Roman"/>
          <w:sz w:val="22"/>
          <w:szCs w:val="22"/>
          <w:lang w:val="en-US" w:eastAsia="zh-CN"/>
        </w:rPr>
        <w:t>遵循保留传统格局与宜人尺度，优化空间形态与功能业态，活化利用特色资源的原则，对集镇进行整体空间设计与风貌提升打造，规划形成传统生活区、天浴温泉康养区和彝族风情游览区三个主题功能分区</w:t>
      </w:r>
      <w:r>
        <w:rPr>
          <w:rFonts w:hint="eastAsia" w:ascii="Times New Roman" w:hAnsi="Times New Roman" w:eastAsia="仿宋_GB2312" w:cs="Times New Roman"/>
          <w:sz w:val="22"/>
          <w:szCs w:val="22"/>
          <w:lang w:val="en-US" w:eastAsia="zh-CN"/>
        </w:rPr>
        <w:t>。</w:t>
      </w:r>
    </w:p>
    <w:p w14:paraId="65FD859C">
      <w:pPr>
        <w:pStyle w:val="2"/>
        <w:widowControl w:val="0"/>
        <w:numPr>
          <w:ilvl w:val="0"/>
          <w:numId w:val="0"/>
        </w:numPr>
        <w:jc w:val="both"/>
        <w:rPr>
          <w:rFonts w:hint="eastAsia"/>
          <w:lang w:eastAsia="zh-CN"/>
        </w:rPr>
        <w:sectPr>
          <w:type w:val="continuous"/>
          <w:pgSz w:w="23811" w:h="16838" w:orient="landscape"/>
          <w:pgMar w:top="1134" w:right="1134" w:bottom="1134" w:left="1134" w:header="851" w:footer="992" w:gutter="0"/>
          <w:cols w:equalWidth="0" w:num="2">
            <w:col w:w="10559" w:space="844"/>
            <w:col w:w="10140"/>
          </w:cols>
          <w:docGrid w:type="lines" w:linePitch="312" w:charSpace="0"/>
        </w:sectPr>
      </w:pPr>
    </w:p>
    <w:p w14:paraId="44956693">
      <w:pPr>
        <w:jc w:val="center"/>
        <w:rPr>
          <w:rFonts w:hint="eastAsia" w:eastAsia="仿宋_GB2312"/>
          <w:sz w:val="32"/>
          <w:szCs w:val="32"/>
          <w:lang w:eastAsia="zh-CN"/>
        </w:rPr>
      </w:pPr>
      <w:r>
        <w:rPr>
          <w:rFonts w:hint="eastAsia" w:eastAsia="仿宋_GB2312"/>
          <w:sz w:val="32"/>
          <w:szCs w:val="32"/>
          <w:lang w:eastAsia="zh-CN"/>
        </w:rPr>
        <w:drawing>
          <wp:inline distT="0" distB="0" distL="114300" distR="114300">
            <wp:extent cx="12484735" cy="8834120"/>
            <wp:effectExtent l="0" t="0" r="12065" b="5080"/>
            <wp:docPr id="6" name="图片 6" descr="D:/曾于珈/盐边/Z镇村/2村片/3温泉热水塘村/4成果汇总/第5轮202609/图纸/04空间底线规划图.jpg04空间底线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曾于珈/盐边/Z镇村/2村片/3温泉热水塘村/4成果汇总/第5轮202609/图纸/04空间底线规划图.jpg04空间底线规划图"/>
                    <pic:cNvPicPr>
                      <a:picLocks noChangeAspect="1"/>
                    </pic:cNvPicPr>
                  </pic:nvPicPr>
                  <pic:blipFill>
                    <a:blip r:embed="rId6"/>
                    <a:srcRect l="40" r="40"/>
                    <a:stretch>
                      <a:fillRect/>
                    </a:stretch>
                  </pic:blipFill>
                  <pic:spPr>
                    <a:xfrm>
                      <a:off x="0" y="0"/>
                      <a:ext cx="12484735" cy="8834120"/>
                    </a:xfrm>
                    <a:prstGeom prst="rect">
                      <a:avLst/>
                    </a:prstGeom>
                  </pic:spPr>
                </pic:pic>
              </a:graphicData>
            </a:graphic>
          </wp:inline>
        </w:drawing>
      </w:r>
      <w:r>
        <w:rPr>
          <w:rFonts w:hint="eastAsia" w:eastAsia="仿宋_GB2312"/>
          <w:sz w:val="32"/>
          <w:szCs w:val="32"/>
          <w:lang w:eastAsia="zh-CN"/>
        </w:rPr>
        <w:drawing>
          <wp:inline distT="0" distB="0" distL="114300" distR="114300">
            <wp:extent cx="12484735" cy="8834120"/>
            <wp:effectExtent l="0" t="0" r="12065" b="5080"/>
            <wp:docPr id="4" name="图片 4" descr="D:/曾于珈/盐边/Z镇村/2村片/3温泉热水塘村/4成果汇总/第5轮202609/图纸/05用地布局规划图.jpg05用地布局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曾于珈/盐边/Z镇村/2村片/3温泉热水塘村/4成果汇总/第5轮202609/图纸/05用地布局规划图.jpg05用地布局规划图"/>
                    <pic:cNvPicPr>
                      <a:picLocks noChangeAspect="1"/>
                    </pic:cNvPicPr>
                  </pic:nvPicPr>
                  <pic:blipFill>
                    <a:blip r:embed="rId7"/>
                    <a:srcRect l="40" r="40"/>
                    <a:stretch>
                      <a:fillRect/>
                    </a:stretch>
                  </pic:blipFill>
                  <pic:spPr>
                    <a:xfrm>
                      <a:off x="0" y="0"/>
                      <a:ext cx="12484735" cy="8834120"/>
                    </a:xfrm>
                    <a:prstGeom prst="rect">
                      <a:avLst/>
                    </a:prstGeom>
                  </pic:spPr>
                </pic:pic>
              </a:graphicData>
            </a:graphic>
          </wp:inline>
        </w:drawing>
      </w:r>
      <w:r>
        <w:rPr>
          <w:rFonts w:hint="eastAsia" w:eastAsia="仿宋_GB2312"/>
          <w:sz w:val="32"/>
          <w:szCs w:val="32"/>
          <w:lang w:eastAsia="zh-CN"/>
        </w:rPr>
        <w:drawing>
          <wp:inline distT="0" distB="0" distL="114300" distR="114300">
            <wp:extent cx="12484735" cy="8834120"/>
            <wp:effectExtent l="0" t="0" r="12065" b="5080"/>
            <wp:docPr id="3" name="图片 3" descr="D:/曾于珈/盐边/Z镇村/2村片/3温泉热水塘村/4成果汇总/第5轮202609/图纸/07产业发展用地规划图.jpg07产业发展用地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曾于珈/盐边/Z镇村/2村片/3温泉热水塘村/4成果汇总/第5轮202609/图纸/07产业发展用地规划图.jpg07产业发展用地规划图"/>
                    <pic:cNvPicPr>
                      <a:picLocks noChangeAspect="1"/>
                    </pic:cNvPicPr>
                  </pic:nvPicPr>
                  <pic:blipFill>
                    <a:blip r:embed="rId8"/>
                    <a:srcRect l="40" r="40"/>
                    <a:stretch>
                      <a:fillRect/>
                    </a:stretch>
                  </pic:blipFill>
                  <pic:spPr>
                    <a:xfrm>
                      <a:off x="0" y="0"/>
                      <a:ext cx="12484735" cy="8834120"/>
                    </a:xfrm>
                    <a:prstGeom prst="rect">
                      <a:avLst/>
                    </a:prstGeom>
                  </pic:spPr>
                </pic:pic>
              </a:graphicData>
            </a:graphic>
          </wp:inline>
        </w:drawing>
      </w:r>
      <w:r>
        <w:rPr>
          <w:rFonts w:hint="eastAsia" w:eastAsia="仿宋_GB2312"/>
          <w:sz w:val="32"/>
          <w:szCs w:val="32"/>
          <w:lang w:eastAsia="zh-CN"/>
        </w:rPr>
        <w:drawing>
          <wp:inline distT="0" distB="0" distL="114300" distR="114300">
            <wp:extent cx="12484735" cy="8834120"/>
            <wp:effectExtent l="0" t="0" r="12065" b="5080"/>
            <wp:docPr id="2" name="图片 2" descr="D:/曾于珈/盐边/Z镇村/2村片/3温泉热水塘村/4成果汇总/第5轮202609/图纸/08公共服务设施规划图.jpg08公共服务设施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曾于珈/盐边/Z镇村/2村片/3温泉热水塘村/4成果汇总/第5轮202609/图纸/08公共服务设施规划图.jpg08公共服务设施规划图"/>
                    <pic:cNvPicPr>
                      <a:picLocks noChangeAspect="1"/>
                    </pic:cNvPicPr>
                  </pic:nvPicPr>
                  <pic:blipFill>
                    <a:blip r:embed="rId9"/>
                    <a:srcRect l="40" r="40"/>
                    <a:stretch>
                      <a:fillRect/>
                    </a:stretch>
                  </pic:blipFill>
                  <pic:spPr>
                    <a:xfrm>
                      <a:off x="0" y="0"/>
                      <a:ext cx="12484735" cy="8834120"/>
                    </a:xfrm>
                    <a:prstGeom prst="rect">
                      <a:avLst/>
                    </a:prstGeom>
                  </pic:spPr>
                </pic:pic>
              </a:graphicData>
            </a:graphic>
          </wp:inline>
        </w:drawing>
      </w:r>
    </w:p>
    <w:p w14:paraId="53C755A0">
      <w:pPr>
        <w:jc w:val="center"/>
        <w:rPr>
          <w:rFonts w:eastAsia="仿宋_GB2312"/>
          <w:sz w:val="32"/>
          <w:szCs w:val="32"/>
        </w:rPr>
        <w:sectPr>
          <w:type w:val="continuous"/>
          <w:pgSz w:w="23811" w:h="16838" w:orient="landscape"/>
          <w:pgMar w:top="1361" w:right="1701" w:bottom="1361" w:left="1474" w:header="851" w:footer="992" w:gutter="0"/>
          <w:cols w:space="425" w:num="1"/>
          <w:docGrid w:type="lines" w:linePitch="312" w:charSpace="0"/>
        </w:sectPr>
      </w:pPr>
      <w:r>
        <w:rPr>
          <w:rFonts w:hint="eastAsia" w:eastAsia="仿宋_GB2312"/>
          <w:sz w:val="32"/>
          <w:szCs w:val="32"/>
          <w:lang w:eastAsia="zh-CN"/>
        </w:rPr>
        <w:drawing>
          <wp:inline distT="0" distB="0" distL="114300" distR="114300">
            <wp:extent cx="12484735" cy="8834120"/>
            <wp:effectExtent l="0" t="0" r="12065" b="5080"/>
            <wp:docPr id="5" name="图片 5" descr="D:/曾于珈/盐边/Z镇村/2村片/3温泉热水塘村/4成果汇总/第5轮202609/图纸/09道路交通规划图.jpg09道路交通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曾于珈/盐边/Z镇村/2村片/3温泉热水塘村/4成果汇总/第5轮202609/图纸/09道路交通规划图.jpg09道路交通规划图"/>
                    <pic:cNvPicPr>
                      <a:picLocks noChangeAspect="1"/>
                    </pic:cNvPicPr>
                  </pic:nvPicPr>
                  <pic:blipFill>
                    <a:blip r:embed="rId10"/>
                    <a:srcRect l="40" r="40"/>
                    <a:stretch>
                      <a:fillRect/>
                    </a:stretch>
                  </pic:blipFill>
                  <pic:spPr>
                    <a:xfrm>
                      <a:off x="0" y="0"/>
                      <a:ext cx="12484735" cy="8834120"/>
                    </a:xfrm>
                    <a:prstGeom prst="rect">
                      <a:avLst/>
                    </a:prstGeom>
                  </pic:spPr>
                </pic:pic>
              </a:graphicData>
            </a:graphic>
          </wp:inline>
        </w:drawing>
      </w:r>
      <w:r>
        <w:rPr>
          <w:rFonts w:hint="eastAsia" w:eastAsia="仿宋_GB2312"/>
          <w:sz w:val="32"/>
          <w:szCs w:val="32"/>
          <w:lang w:eastAsia="zh-CN"/>
        </w:rPr>
        <w:drawing>
          <wp:inline distT="0" distB="0" distL="114300" distR="114300">
            <wp:extent cx="12385675" cy="8763635"/>
            <wp:effectExtent l="0" t="0" r="15875" b="18415"/>
            <wp:docPr id="1" name="图片 1" descr="D:/曾于珈/盐边/Z镇村/2村片/3温泉热水塘村/4成果汇总/第5轮202609/图纸/15土地利用控制规划图.jpg15土地利用控制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曾于珈/盐边/Z镇村/2村片/3温泉热水塘村/4成果汇总/第5轮202609/图纸/15土地利用控制规划图.jpg15土地利用控制规划图"/>
                    <pic:cNvPicPr>
                      <a:picLocks noChangeAspect="1"/>
                    </pic:cNvPicPr>
                  </pic:nvPicPr>
                  <pic:blipFill>
                    <a:blip r:embed="rId11"/>
                    <a:srcRect l="36" r="36"/>
                    <a:stretch>
                      <a:fillRect/>
                    </a:stretch>
                  </pic:blipFill>
                  <pic:spPr>
                    <a:xfrm>
                      <a:off x="0" y="0"/>
                      <a:ext cx="12385675" cy="8763635"/>
                    </a:xfrm>
                    <a:prstGeom prst="rect">
                      <a:avLst/>
                    </a:prstGeom>
                  </pic:spPr>
                </pic:pic>
              </a:graphicData>
            </a:graphic>
          </wp:inline>
        </w:drawing>
      </w:r>
    </w:p>
    <w:p w14:paraId="7FBB7EAB">
      <w:pPr>
        <w:jc w:val="center"/>
      </w:pPr>
      <w:r>
        <w:rPr>
          <w:rFonts w:hint="eastAsia" w:eastAsia="仿宋_GB2312"/>
          <w:sz w:val="32"/>
          <w:szCs w:val="32"/>
          <w:lang w:eastAsia="zh-CN"/>
        </w:rPr>
        <w:drawing>
          <wp:inline distT="0" distB="0" distL="114300" distR="114300">
            <wp:extent cx="12385675" cy="8763635"/>
            <wp:effectExtent l="0" t="0" r="15875" b="18415"/>
            <wp:docPr id="7" name="图片 7" descr="D:/曾于珈/盐边/Z镇村/2村片/3温泉热水塘村/4成果汇总/第5轮202609/图纸/17重点区域功能结构图.jpg17重点区域功能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曾于珈/盐边/Z镇村/2村片/3温泉热水塘村/4成果汇总/第5轮202609/图纸/17重点区域功能结构图.jpg17重点区域功能结构图"/>
                    <pic:cNvPicPr>
                      <a:picLocks noChangeAspect="1"/>
                    </pic:cNvPicPr>
                  </pic:nvPicPr>
                  <pic:blipFill>
                    <a:blip r:embed="rId12"/>
                    <a:srcRect l="36" r="36"/>
                    <a:stretch>
                      <a:fillRect/>
                    </a:stretch>
                  </pic:blipFill>
                  <pic:spPr>
                    <a:xfrm>
                      <a:off x="0" y="0"/>
                      <a:ext cx="12385675" cy="8763635"/>
                    </a:xfrm>
                    <a:prstGeom prst="rect">
                      <a:avLst/>
                    </a:prstGeom>
                  </pic:spPr>
                </pic:pic>
              </a:graphicData>
            </a:graphic>
          </wp:inline>
        </w:drawing>
      </w:r>
      <w:r>
        <w:rPr>
          <w:rFonts w:hint="eastAsia" w:eastAsia="仿宋_GB2312"/>
          <w:sz w:val="32"/>
          <w:szCs w:val="32"/>
          <w:lang w:eastAsia="zh-CN"/>
        </w:rPr>
        <w:drawing>
          <wp:inline distT="0" distB="0" distL="114300" distR="114300">
            <wp:extent cx="12385675" cy="8763635"/>
            <wp:effectExtent l="0" t="0" r="15875" b="18415"/>
            <wp:docPr id="8" name="图片 8" descr="D:/曾于珈/盐边/Z镇村/2村片/3温泉热水塘村/4成果汇总/第5轮202609/图纸/18重点区域用地布局规划图.jpg18重点区域用地布局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曾于珈/盐边/Z镇村/2村片/3温泉热水塘村/4成果汇总/第5轮202609/图纸/18重点区域用地布局规划图.jpg18重点区域用地布局规划图"/>
                    <pic:cNvPicPr>
                      <a:picLocks noChangeAspect="1"/>
                    </pic:cNvPicPr>
                  </pic:nvPicPr>
                  <pic:blipFill>
                    <a:blip r:embed="rId13"/>
                    <a:srcRect l="36" r="36"/>
                    <a:stretch>
                      <a:fillRect/>
                    </a:stretch>
                  </pic:blipFill>
                  <pic:spPr>
                    <a:xfrm>
                      <a:off x="0" y="0"/>
                      <a:ext cx="12385675" cy="8763635"/>
                    </a:xfrm>
                    <a:prstGeom prst="rect">
                      <a:avLst/>
                    </a:prstGeom>
                  </pic:spPr>
                </pic:pic>
              </a:graphicData>
            </a:graphic>
          </wp:inline>
        </w:drawing>
      </w:r>
      <w:r>
        <w:rPr>
          <w:rFonts w:hint="eastAsia" w:eastAsia="仿宋_GB2312"/>
          <w:sz w:val="32"/>
          <w:szCs w:val="32"/>
          <w:lang w:eastAsia="zh-CN"/>
        </w:rPr>
        <w:drawing>
          <wp:inline distT="0" distB="0" distL="114300" distR="114300">
            <wp:extent cx="12385675" cy="8763635"/>
            <wp:effectExtent l="0" t="0" r="15875" b="18415"/>
            <wp:docPr id="9" name="图片 9" descr="D:/曾于珈/盐边/Z镇村/2村片/3温泉热水塘村/4成果汇总/第5轮202609/图纸/32重点区域总平面图.jpg32重点区域总平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曾于珈/盐边/Z镇村/2村片/3温泉热水塘村/4成果汇总/第5轮202609/图纸/32重点区域总平面图.jpg32重点区域总平面图"/>
                    <pic:cNvPicPr>
                      <a:picLocks noChangeAspect="1"/>
                    </pic:cNvPicPr>
                  </pic:nvPicPr>
                  <pic:blipFill>
                    <a:blip r:embed="rId14"/>
                    <a:srcRect l="36" r="36"/>
                    <a:stretch>
                      <a:fillRect/>
                    </a:stretch>
                  </pic:blipFill>
                  <pic:spPr>
                    <a:xfrm>
                      <a:off x="0" y="0"/>
                      <a:ext cx="12385675" cy="8763635"/>
                    </a:xfrm>
                    <a:prstGeom prst="rect">
                      <a:avLst/>
                    </a:prstGeom>
                  </pic:spPr>
                </pic:pic>
              </a:graphicData>
            </a:graphic>
          </wp:inline>
        </w:drawing>
      </w:r>
    </w:p>
    <w:sectPr>
      <w:pgSz w:w="23811" w:h="16838" w:orient="landscape"/>
      <w:pgMar w:top="1361" w:right="1701" w:bottom="1361"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ISOCT">
    <w:altName w:val="FFont-Family"/>
    <w:panose1 w:val="00000400000000000000"/>
    <w:charset w:val="00"/>
    <w:family w:val="auto"/>
    <w:pitch w:val="default"/>
    <w:sig w:usb0="00000000" w:usb1="00000000" w:usb2="00000000" w:usb3="00000000" w:csb0="0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95D57">
    <w:pPr>
      <w:pStyle w:val="10"/>
      <w:jc w:val="right"/>
      <w:rPr>
        <w:rFonts w:ascii="宋体" w:hAnsi="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5715" b="4445"/>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4043C7">
                          <w:pPr>
                            <w:pStyle w:val="10"/>
                            <w:jc w:val="right"/>
                            <w:rPr>
                              <w:sz w:val="15"/>
                              <w:szCs w:val="15"/>
                            </w:rPr>
                          </w:pPr>
                          <w:r>
                            <w:rPr>
                              <w:sz w:val="22"/>
                              <w:szCs w:val="22"/>
                            </w:rPr>
                            <w:t>—</w:t>
                          </w:r>
                          <w:r>
                            <w:rPr>
                              <w:sz w:val="22"/>
                              <w:szCs w:val="22"/>
                            </w:rPr>
                            <w:fldChar w:fldCharType="begin"/>
                          </w:r>
                          <w:r>
                            <w:rPr>
                              <w:sz w:val="22"/>
                              <w:szCs w:val="22"/>
                            </w:rPr>
                            <w:instrText xml:space="preserve">PAGE   \* MERGEFORMAT</w:instrText>
                          </w:r>
                          <w:r>
                            <w:rPr>
                              <w:sz w:val="22"/>
                              <w:szCs w:val="22"/>
                            </w:rPr>
                            <w:fldChar w:fldCharType="separate"/>
                          </w:r>
                          <w:r>
                            <w:rPr>
                              <w:sz w:val="22"/>
                              <w:szCs w:val="22"/>
                              <w:lang w:val="zh-CN"/>
                            </w:rPr>
                            <w:t>8</w:t>
                          </w:r>
                          <w:r>
                            <w:rPr>
                              <w:sz w:val="22"/>
                              <w:szCs w:val="22"/>
                            </w:rPr>
                            <w:fldChar w:fldCharType="end"/>
                          </w:r>
                          <w:r>
                            <w:rPr>
                              <w:sz w:val="22"/>
                              <w:szCs w:val="22"/>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7C4043C7">
                    <w:pPr>
                      <w:pStyle w:val="10"/>
                      <w:jc w:val="right"/>
                      <w:rPr>
                        <w:sz w:val="15"/>
                        <w:szCs w:val="15"/>
                      </w:rPr>
                    </w:pPr>
                    <w:r>
                      <w:rPr>
                        <w:sz w:val="22"/>
                        <w:szCs w:val="22"/>
                      </w:rPr>
                      <w:t>—</w:t>
                    </w:r>
                    <w:r>
                      <w:rPr>
                        <w:sz w:val="22"/>
                        <w:szCs w:val="22"/>
                      </w:rPr>
                      <w:fldChar w:fldCharType="begin"/>
                    </w:r>
                    <w:r>
                      <w:rPr>
                        <w:sz w:val="22"/>
                        <w:szCs w:val="22"/>
                      </w:rPr>
                      <w:instrText xml:space="preserve">PAGE   \* MERGEFORMAT</w:instrText>
                    </w:r>
                    <w:r>
                      <w:rPr>
                        <w:sz w:val="22"/>
                        <w:szCs w:val="22"/>
                      </w:rPr>
                      <w:fldChar w:fldCharType="separate"/>
                    </w:r>
                    <w:r>
                      <w:rPr>
                        <w:sz w:val="22"/>
                        <w:szCs w:val="22"/>
                        <w:lang w:val="zh-CN"/>
                      </w:rPr>
                      <w:t>8</w:t>
                    </w:r>
                    <w:r>
                      <w:rPr>
                        <w:sz w:val="22"/>
                        <w:szCs w:val="22"/>
                      </w:rPr>
                      <w:fldChar w:fldCharType="end"/>
                    </w:r>
                    <w:r>
                      <w:rPr>
                        <w:sz w:val="22"/>
                        <w:szCs w:val="22"/>
                      </w:rPr>
                      <w:t>—</w:t>
                    </w:r>
                  </w:p>
                </w:txbxContent>
              </v:textbox>
            </v:shape>
          </w:pict>
        </mc:Fallback>
      </mc:AlternateContent>
    </w:r>
  </w:p>
  <w:p w14:paraId="3988BC49">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7FCC3E">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1AC38C"/>
    <w:multiLevelType w:val="singleLevel"/>
    <w:tmpl w:val="8D1AC38C"/>
    <w:lvl w:ilvl="0" w:tentative="0">
      <w:start w:val="1"/>
      <w:numFmt w:val="decimal"/>
      <w:suff w:val="nothing"/>
      <w:lvlText w:val="%1．"/>
      <w:lvlJc w:val="left"/>
      <w:pPr>
        <w:ind w:left="0" w:firstLine="400"/>
      </w:pPr>
      <w:rPr>
        <w:rFonts w:hint="default"/>
      </w:rPr>
    </w:lvl>
  </w:abstractNum>
  <w:abstractNum w:abstractNumId="1">
    <w:nsid w:val="93B11B60"/>
    <w:multiLevelType w:val="singleLevel"/>
    <w:tmpl w:val="93B11B60"/>
    <w:lvl w:ilvl="0" w:tentative="0">
      <w:start w:val="1"/>
      <w:numFmt w:val="decimal"/>
      <w:suff w:val="nothing"/>
      <w:lvlText w:val="%1．"/>
      <w:lvlJc w:val="left"/>
      <w:pPr>
        <w:ind w:left="0" w:firstLine="400"/>
      </w:pPr>
      <w:rPr>
        <w:rFonts w:hint="default"/>
      </w:rPr>
    </w:lvl>
  </w:abstractNum>
  <w:abstractNum w:abstractNumId="2">
    <w:nsid w:val="A55C795D"/>
    <w:multiLevelType w:val="singleLevel"/>
    <w:tmpl w:val="A55C795D"/>
    <w:lvl w:ilvl="0" w:tentative="0">
      <w:start w:val="1"/>
      <w:numFmt w:val="chineseCounting"/>
      <w:suff w:val="nothing"/>
      <w:lvlText w:val="（%1）"/>
      <w:lvlJc w:val="left"/>
      <w:pPr>
        <w:ind w:left="0" w:firstLine="420"/>
      </w:pPr>
      <w:rPr>
        <w:rFonts w:hint="eastAsia"/>
      </w:rPr>
    </w:lvl>
  </w:abstractNum>
  <w:abstractNum w:abstractNumId="3">
    <w:nsid w:val="BF52A201"/>
    <w:multiLevelType w:val="singleLevel"/>
    <w:tmpl w:val="BF52A201"/>
    <w:lvl w:ilvl="0" w:tentative="0">
      <w:start w:val="1"/>
      <w:numFmt w:val="chineseCounting"/>
      <w:suff w:val="nothing"/>
      <w:lvlText w:val="（%1）"/>
      <w:lvlJc w:val="left"/>
      <w:pPr>
        <w:ind w:left="0" w:firstLine="420"/>
      </w:pPr>
      <w:rPr>
        <w:rFonts w:hint="eastAsia"/>
      </w:rPr>
    </w:lvl>
  </w:abstractNum>
  <w:abstractNum w:abstractNumId="4">
    <w:nsid w:val="E2A2F718"/>
    <w:multiLevelType w:val="singleLevel"/>
    <w:tmpl w:val="E2A2F718"/>
    <w:lvl w:ilvl="0" w:tentative="0">
      <w:start w:val="1"/>
      <w:numFmt w:val="chineseCounting"/>
      <w:suff w:val="nothing"/>
      <w:lvlText w:val="（%1）"/>
      <w:lvlJc w:val="left"/>
      <w:pPr>
        <w:ind w:left="0" w:firstLine="420"/>
      </w:pPr>
      <w:rPr>
        <w:rFonts w:hint="eastAsia"/>
      </w:rPr>
    </w:lvl>
  </w:abstractNum>
  <w:abstractNum w:abstractNumId="5">
    <w:nsid w:val="0D142EAE"/>
    <w:multiLevelType w:val="singleLevel"/>
    <w:tmpl w:val="0D142EAE"/>
    <w:lvl w:ilvl="0" w:tentative="0">
      <w:start w:val="1"/>
      <w:numFmt w:val="chineseCounting"/>
      <w:suff w:val="nothing"/>
      <w:lvlText w:val="（%1）"/>
      <w:lvlJc w:val="left"/>
      <w:rPr>
        <w:rFonts w:hint="eastAsia"/>
      </w:rPr>
    </w:lvl>
  </w:abstractNum>
  <w:abstractNum w:abstractNumId="6">
    <w:nsid w:val="1B79271C"/>
    <w:multiLevelType w:val="singleLevel"/>
    <w:tmpl w:val="1B79271C"/>
    <w:lvl w:ilvl="0" w:tentative="0">
      <w:start w:val="1"/>
      <w:numFmt w:val="decimal"/>
      <w:suff w:val="nothing"/>
      <w:lvlText w:val="%1．"/>
      <w:lvlJc w:val="left"/>
      <w:pPr>
        <w:ind w:left="0" w:firstLine="400"/>
      </w:pPr>
      <w:rPr>
        <w:rFonts w:hint="default"/>
      </w:rPr>
    </w:lvl>
  </w:abstractNum>
  <w:abstractNum w:abstractNumId="7">
    <w:nsid w:val="78B30651"/>
    <w:multiLevelType w:val="singleLevel"/>
    <w:tmpl w:val="78B30651"/>
    <w:lvl w:ilvl="0" w:tentative="0">
      <w:start w:val="1"/>
      <w:numFmt w:val="decimal"/>
      <w:suff w:val="nothing"/>
      <w:lvlText w:val="%1．"/>
      <w:lvlJc w:val="left"/>
      <w:pPr>
        <w:ind w:left="0" w:firstLine="400"/>
      </w:pPr>
      <w:rPr>
        <w:rFonts w:hint="default"/>
      </w:rPr>
    </w:lvl>
  </w:abstractNum>
  <w:abstractNum w:abstractNumId="8">
    <w:nsid w:val="7AAFE10F"/>
    <w:multiLevelType w:val="singleLevel"/>
    <w:tmpl w:val="7AAFE10F"/>
    <w:lvl w:ilvl="0" w:tentative="0">
      <w:start w:val="1"/>
      <w:numFmt w:val="chineseCounting"/>
      <w:suff w:val="nothing"/>
      <w:lvlText w:val="%1、"/>
      <w:lvlJc w:val="left"/>
      <w:pPr>
        <w:ind w:left="-220"/>
      </w:pPr>
      <w:rPr>
        <w:rFonts w:hint="eastAsia"/>
      </w:rPr>
    </w:lvl>
  </w:abstractNum>
  <w:num w:numId="1">
    <w:abstractNumId w:val="8"/>
  </w:num>
  <w:num w:numId="2">
    <w:abstractNumId w:val="4"/>
  </w:num>
  <w:num w:numId="3">
    <w:abstractNumId w:val="7"/>
  </w:num>
  <w:num w:numId="4">
    <w:abstractNumId w:val="6"/>
  </w:num>
  <w:num w:numId="5">
    <w:abstractNumId w:val="2"/>
  </w:num>
  <w:num w:numId="6">
    <w:abstractNumId w:val="1"/>
  </w:num>
  <w:num w:numId="7">
    <w:abstractNumId w:val="0"/>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5ODUzNGE2YzgwMDNlMWE1MzRiNmY3YTUxMzVmMTIifQ=="/>
  </w:docVars>
  <w:rsids>
    <w:rsidRoot w:val="00172A27"/>
    <w:rsid w:val="00002415"/>
    <w:rsid w:val="000072AD"/>
    <w:rsid w:val="00020327"/>
    <w:rsid w:val="000222F3"/>
    <w:rsid w:val="000400AA"/>
    <w:rsid w:val="00072AD6"/>
    <w:rsid w:val="00095519"/>
    <w:rsid w:val="000C6885"/>
    <w:rsid w:val="00103F98"/>
    <w:rsid w:val="0014671D"/>
    <w:rsid w:val="00172A27"/>
    <w:rsid w:val="00196063"/>
    <w:rsid w:val="001B4FAE"/>
    <w:rsid w:val="001B6962"/>
    <w:rsid w:val="001C3F19"/>
    <w:rsid w:val="00201495"/>
    <w:rsid w:val="00221C65"/>
    <w:rsid w:val="00263C87"/>
    <w:rsid w:val="00270433"/>
    <w:rsid w:val="0027768F"/>
    <w:rsid w:val="00287CB1"/>
    <w:rsid w:val="00292372"/>
    <w:rsid w:val="002D6BDE"/>
    <w:rsid w:val="002F16BE"/>
    <w:rsid w:val="002F334D"/>
    <w:rsid w:val="00305CCF"/>
    <w:rsid w:val="00363D28"/>
    <w:rsid w:val="003A3275"/>
    <w:rsid w:val="003E0A41"/>
    <w:rsid w:val="003E4A92"/>
    <w:rsid w:val="00404B0A"/>
    <w:rsid w:val="00414555"/>
    <w:rsid w:val="0045255E"/>
    <w:rsid w:val="00464F53"/>
    <w:rsid w:val="004760DE"/>
    <w:rsid w:val="004A1ABF"/>
    <w:rsid w:val="004A79C7"/>
    <w:rsid w:val="004C0942"/>
    <w:rsid w:val="004C28DC"/>
    <w:rsid w:val="004D072D"/>
    <w:rsid w:val="005272A3"/>
    <w:rsid w:val="0052760B"/>
    <w:rsid w:val="005342DE"/>
    <w:rsid w:val="00551E4F"/>
    <w:rsid w:val="005F2FFB"/>
    <w:rsid w:val="00621E6F"/>
    <w:rsid w:val="006324C3"/>
    <w:rsid w:val="00634123"/>
    <w:rsid w:val="00637F7A"/>
    <w:rsid w:val="00640F19"/>
    <w:rsid w:val="00646003"/>
    <w:rsid w:val="00685A6F"/>
    <w:rsid w:val="00697215"/>
    <w:rsid w:val="006D0010"/>
    <w:rsid w:val="006D308B"/>
    <w:rsid w:val="006F46D0"/>
    <w:rsid w:val="006F5B58"/>
    <w:rsid w:val="00706179"/>
    <w:rsid w:val="00712CD6"/>
    <w:rsid w:val="00726F80"/>
    <w:rsid w:val="00751F47"/>
    <w:rsid w:val="00751FC0"/>
    <w:rsid w:val="00793716"/>
    <w:rsid w:val="007C58E4"/>
    <w:rsid w:val="007D5476"/>
    <w:rsid w:val="007D7BDC"/>
    <w:rsid w:val="0080179C"/>
    <w:rsid w:val="0081782E"/>
    <w:rsid w:val="00846FE8"/>
    <w:rsid w:val="008B42A7"/>
    <w:rsid w:val="008E72B8"/>
    <w:rsid w:val="00912FB4"/>
    <w:rsid w:val="00917658"/>
    <w:rsid w:val="00922ACF"/>
    <w:rsid w:val="0094781F"/>
    <w:rsid w:val="00964425"/>
    <w:rsid w:val="00966FC7"/>
    <w:rsid w:val="00995B5D"/>
    <w:rsid w:val="00A01BC4"/>
    <w:rsid w:val="00A01DC4"/>
    <w:rsid w:val="00A25FF7"/>
    <w:rsid w:val="00A272CF"/>
    <w:rsid w:val="00A53421"/>
    <w:rsid w:val="00A534C3"/>
    <w:rsid w:val="00A56A12"/>
    <w:rsid w:val="00A7193B"/>
    <w:rsid w:val="00A725AC"/>
    <w:rsid w:val="00A83E5B"/>
    <w:rsid w:val="00A92C4A"/>
    <w:rsid w:val="00A949C4"/>
    <w:rsid w:val="00A954C3"/>
    <w:rsid w:val="00AC264E"/>
    <w:rsid w:val="00AE0051"/>
    <w:rsid w:val="00AE5474"/>
    <w:rsid w:val="00B25FE8"/>
    <w:rsid w:val="00B420E0"/>
    <w:rsid w:val="00B5546D"/>
    <w:rsid w:val="00B778BA"/>
    <w:rsid w:val="00B8624C"/>
    <w:rsid w:val="00BB3E2F"/>
    <w:rsid w:val="00BB73BB"/>
    <w:rsid w:val="00BC5B5B"/>
    <w:rsid w:val="00BD191B"/>
    <w:rsid w:val="00BF0DFE"/>
    <w:rsid w:val="00BF4FBC"/>
    <w:rsid w:val="00BF5066"/>
    <w:rsid w:val="00C12E1A"/>
    <w:rsid w:val="00C31F9F"/>
    <w:rsid w:val="00C45AF8"/>
    <w:rsid w:val="00CC35DF"/>
    <w:rsid w:val="00CD629E"/>
    <w:rsid w:val="00CF642C"/>
    <w:rsid w:val="00D21DEA"/>
    <w:rsid w:val="00D47EC5"/>
    <w:rsid w:val="00D6449D"/>
    <w:rsid w:val="00D708A0"/>
    <w:rsid w:val="00D7616A"/>
    <w:rsid w:val="00DA42B4"/>
    <w:rsid w:val="00DD018D"/>
    <w:rsid w:val="00DD7E70"/>
    <w:rsid w:val="00DE3FFC"/>
    <w:rsid w:val="00E206D8"/>
    <w:rsid w:val="00E3129A"/>
    <w:rsid w:val="00E52BBE"/>
    <w:rsid w:val="00E678F0"/>
    <w:rsid w:val="00E72794"/>
    <w:rsid w:val="00E820D3"/>
    <w:rsid w:val="00EA728A"/>
    <w:rsid w:val="00F1066E"/>
    <w:rsid w:val="00F229A0"/>
    <w:rsid w:val="00F274AE"/>
    <w:rsid w:val="00F73054"/>
    <w:rsid w:val="00FB699A"/>
    <w:rsid w:val="00FD756A"/>
    <w:rsid w:val="00FE7622"/>
    <w:rsid w:val="00FF5718"/>
    <w:rsid w:val="033A354B"/>
    <w:rsid w:val="064A05EA"/>
    <w:rsid w:val="095D1AA7"/>
    <w:rsid w:val="0A8D15D9"/>
    <w:rsid w:val="0C232EC3"/>
    <w:rsid w:val="0D823435"/>
    <w:rsid w:val="14242793"/>
    <w:rsid w:val="150F2B80"/>
    <w:rsid w:val="159864EB"/>
    <w:rsid w:val="187C2FD1"/>
    <w:rsid w:val="18831CFF"/>
    <w:rsid w:val="18B73B2E"/>
    <w:rsid w:val="1D281389"/>
    <w:rsid w:val="207C1BFE"/>
    <w:rsid w:val="21D62CDB"/>
    <w:rsid w:val="226722EE"/>
    <w:rsid w:val="24016EB7"/>
    <w:rsid w:val="24E52C95"/>
    <w:rsid w:val="25FF1B34"/>
    <w:rsid w:val="27657B11"/>
    <w:rsid w:val="28693CD9"/>
    <w:rsid w:val="28795BCE"/>
    <w:rsid w:val="29D332B6"/>
    <w:rsid w:val="2AC67422"/>
    <w:rsid w:val="2B3E3722"/>
    <w:rsid w:val="2C52347D"/>
    <w:rsid w:val="2F964135"/>
    <w:rsid w:val="2FE81F94"/>
    <w:rsid w:val="2FF425E8"/>
    <w:rsid w:val="310C7F1C"/>
    <w:rsid w:val="35A3750F"/>
    <w:rsid w:val="386677F1"/>
    <w:rsid w:val="3AA8152E"/>
    <w:rsid w:val="3CAB2C8D"/>
    <w:rsid w:val="3F6E5909"/>
    <w:rsid w:val="41713B1F"/>
    <w:rsid w:val="41D164A3"/>
    <w:rsid w:val="429709CE"/>
    <w:rsid w:val="43C875B2"/>
    <w:rsid w:val="43F064ED"/>
    <w:rsid w:val="44E41ED5"/>
    <w:rsid w:val="452B6EA7"/>
    <w:rsid w:val="47F6064A"/>
    <w:rsid w:val="4A2837F2"/>
    <w:rsid w:val="4D1D271C"/>
    <w:rsid w:val="4D7D4F9F"/>
    <w:rsid w:val="4E8A4D8E"/>
    <w:rsid w:val="54E21637"/>
    <w:rsid w:val="56117E7A"/>
    <w:rsid w:val="58DC3983"/>
    <w:rsid w:val="5AB7285C"/>
    <w:rsid w:val="5B646A6B"/>
    <w:rsid w:val="5C256583"/>
    <w:rsid w:val="5CD43155"/>
    <w:rsid w:val="5D0B433F"/>
    <w:rsid w:val="5D1442D7"/>
    <w:rsid w:val="601C02F3"/>
    <w:rsid w:val="68354DAA"/>
    <w:rsid w:val="695C089D"/>
    <w:rsid w:val="6C97070B"/>
    <w:rsid w:val="6EB56B0A"/>
    <w:rsid w:val="6FB3162B"/>
    <w:rsid w:val="7270085F"/>
    <w:rsid w:val="72BD051F"/>
    <w:rsid w:val="73754066"/>
    <w:rsid w:val="79977124"/>
    <w:rsid w:val="7A1701C6"/>
    <w:rsid w:val="7A195361"/>
    <w:rsid w:val="7EC746F5"/>
    <w:rsid w:val="7F65392B"/>
    <w:rsid w:val="7FA17E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spacing w:before="100" w:beforeAutospacing="1" w:after="100" w:afterAutospacing="1"/>
      <w:jc w:val="left"/>
      <w:outlineLvl w:val="0"/>
    </w:pPr>
    <w:rPr>
      <w:rFonts w:hint="eastAsia" w:ascii="宋体" w:hAnsi="宋体"/>
      <w:b/>
      <w:bCs/>
      <w:kern w:val="44"/>
      <w:sz w:val="48"/>
      <w:szCs w:val="48"/>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99"/>
    <w:rPr>
      <w:sz w:val="28"/>
      <w:szCs w:val="28"/>
    </w:rPr>
  </w:style>
  <w:style w:type="paragraph" w:styleId="7">
    <w:name w:val="Normal Indent"/>
    <w:basedOn w:val="1"/>
    <w:autoRedefine/>
    <w:qFormat/>
    <w:uiPriority w:val="0"/>
    <w:pPr>
      <w:spacing w:line="360" w:lineRule="auto"/>
      <w:ind w:firstLine="420"/>
    </w:pPr>
    <w:rPr>
      <w:sz w:val="24"/>
      <w:szCs w:val="21"/>
    </w:rPr>
  </w:style>
  <w:style w:type="paragraph" w:styleId="8">
    <w:name w:val="Plain Text"/>
    <w:basedOn w:val="1"/>
    <w:autoRedefine/>
    <w:qFormat/>
    <w:uiPriority w:val="0"/>
    <w:rPr>
      <w:rFonts w:ascii="宋体" w:hAnsi="ISOCT"/>
    </w:rPr>
  </w:style>
  <w:style w:type="paragraph" w:styleId="9">
    <w:name w:val="Balloon Text"/>
    <w:basedOn w:val="1"/>
    <w:autoRedefine/>
    <w:qFormat/>
    <w:uiPriority w:val="0"/>
    <w:rPr>
      <w:sz w:val="18"/>
      <w:szCs w:val="18"/>
    </w:rPr>
  </w:style>
  <w:style w:type="paragraph" w:styleId="10">
    <w:name w:val="footer"/>
    <w:basedOn w:val="1"/>
    <w:link w:val="2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Indent 3"/>
    <w:basedOn w:val="1"/>
    <w:autoRedefine/>
    <w:qFormat/>
    <w:uiPriority w:val="0"/>
    <w:pPr>
      <w:spacing w:after="120"/>
      <w:ind w:left="420" w:leftChars="200"/>
    </w:pPr>
    <w:rPr>
      <w:sz w:val="16"/>
      <w:szCs w:val="16"/>
    </w:rPr>
  </w:style>
  <w:style w:type="paragraph" w:styleId="13">
    <w:name w:val="table of figures"/>
    <w:basedOn w:val="1"/>
    <w:next w:val="1"/>
    <w:qFormat/>
    <w:uiPriority w:val="0"/>
    <w:pPr>
      <w:ind w:left="200" w:leftChars="200" w:hanging="200" w:hangingChars="200"/>
    </w:pPr>
  </w:style>
  <w:style w:type="paragraph" w:styleId="14">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table" w:styleId="16">
    <w:name w:val="Table Grid"/>
    <w:basedOn w:val="15"/>
    <w:autoRedefine/>
    <w:unhideWhenUse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autoRedefine/>
    <w:qFormat/>
    <w:uiPriority w:val="0"/>
  </w:style>
  <w:style w:type="character" w:styleId="19">
    <w:name w:val="Emphasis"/>
    <w:autoRedefine/>
    <w:qFormat/>
    <w:uiPriority w:val="20"/>
    <w:rPr>
      <w:i/>
    </w:rPr>
  </w:style>
  <w:style w:type="character" w:styleId="20">
    <w:name w:val="Hyperlink"/>
    <w:autoRedefine/>
    <w:unhideWhenUsed/>
    <w:qFormat/>
    <w:uiPriority w:val="99"/>
    <w:rPr>
      <w:color w:val="0000FF"/>
      <w:u w:val="single"/>
    </w:rPr>
  </w:style>
  <w:style w:type="character" w:customStyle="1" w:styleId="21">
    <w:name w:val="页脚 字符"/>
    <w:link w:val="10"/>
    <w:autoRedefine/>
    <w:qFormat/>
    <w:uiPriority w:val="99"/>
    <w:rPr>
      <w:kern w:val="2"/>
      <w:sz w:val="18"/>
      <w:szCs w:val="18"/>
    </w:rPr>
  </w:style>
  <w:style w:type="paragraph" w:styleId="22">
    <w:name w:val="List Paragraph"/>
    <w:basedOn w:val="1"/>
    <w:autoRedefine/>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11</Pages>
  <Words>4162</Words>
  <Characters>4303</Characters>
  <Lines>29</Lines>
  <Paragraphs>8</Paragraphs>
  <TotalTime>0</TotalTime>
  <ScaleCrop>false</ScaleCrop>
  <LinksUpToDate>false</LinksUpToDate>
  <CharactersWithSpaces>4304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2022-08-23T02:25:00Z</dcterms:created>
  <dc:creator>微软用户</dc:creator>
  <cp:lastModifiedBy>Administrator</cp:lastModifiedBy>
  <cp:lastPrinted>2018-01-02T09:29:00Z</cp:lastPrinted>
  <dcterms:modified xsi:type="dcterms:W3CDTF">2026-09-21T03:08:41Z</dcterms:modified>
  <dc:title>四川省攀枝花市丽攀高速公路瓜子坪和高粱坪出入口控制性详细规划及城市设计简介</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2E4B08D655234B248ED3EE8BA016A118_13</vt:lpwstr>
  </property>
  <property fmtid="{D5CDD505-2E9C-101B-9397-08002B2CF9AE}" pid="4" name="commondata">
    <vt:lpwstr>eyJoZGlkIjoiOTE5YTBkYWQ0NDFhYmFhZGFkYTIzYWVmMGY3ZTIxZWIifQ==</vt:lpwstr>
  </property>
  <property fmtid="{D5CDD505-2E9C-101B-9397-08002B2CF9AE}" pid="5" name="KSOTemplateDocerSaveRecord">
    <vt:lpwstr>eyJoZGlkIjoiMzE5MDVkNzY3YzYyMzcyMGU0ZDc0YTU0YmU3YTc1MzgiLCJ1c2VySWQiOiI5MTA5Nzg1NTcifQ==</vt:lpwstr>
  </property>
</Properties>
</file>