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77193"/>
      <w:bookmarkStart w:id="3" w:name="_Toc15378441"/>
      <w:bookmarkStart w:id="4" w:name="_Toc15377425"/>
      <w:bookmarkStart w:id="5" w:name="_Toc15306267"/>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年度攀枝花市总工会</w:t>
      </w:r>
      <w:r>
        <w:rPr>
          <w:rFonts w:hint="eastAsia" w:ascii="Times New Roman" w:eastAsia="方正小标宋简体" w:cs="Times New Roman"/>
          <w:color w:val="auto"/>
          <w:kern w:val="2"/>
          <w:sz w:val="44"/>
          <w:szCs w:val="44"/>
          <w:highlight w:val="none"/>
          <w:lang w:val="en-US" w:eastAsia="zh-CN" w:bidi="ar-SA"/>
        </w:rPr>
        <w:t>市级单位</w:t>
      </w:r>
    </w:p>
    <w:p>
      <w:pPr>
        <w:pStyle w:val="6"/>
        <w:jc w:val="center"/>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公开编制说明</w:t>
      </w: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主要</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9</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12</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12</w:t>
      </w:r>
      <w:bookmarkStart w:id="82" w:name="_GoBack"/>
      <w:bookmarkEnd w:id="82"/>
    </w:p>
    <w:sdt>
      <w:sdtPr>
        <w:rPr>
          <w:rFonts w:ascii="宋体" w:hAnsi="宋体" w:eastAsia="宋体" w:cs="Times New Roman"/>
          <w:kern w:val="2"/>
          <w:sz w:val="21"/>
          <w:szCs w:val="24"/>
          <w:lang w:val="en-US" w:eastAsia="zh-CN" w:bidi="ar-SA"/>
        </w:rPr>
        <w:id w:val="147465406"/>
        <w:showingPlcHdr/>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bookmarkStart w:id="6" w:name="_Toc15377196"/>
          <w:bookmarkStart w:id="7" w:name="_Toc15396599"/>
          <w:r>
            <w:rPr>
              <w:rFonts w:hint="eastAsia" w:ascii="宋体" w:hAnsi="宋体" w:eastAsia="宋体" w:cs="Times New Roman"/>
              <w:kern w:val="2"/>
              <w:sz w:val="21"/>
              <w:szCs w:val="24"/>
              <w:lang w:val="en-US" w:eastAsia="zh-CN" w:bidi="ar-SA"/>
            </w:rPr>
            <w:t xml:space="preserve">     </w:t>
          </w:r>
        </w:p>
      </w:sdtContent>
    </w:sdt>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1440" w:right="1800" w:bottom="1440" w:left="1800" w:header="851" w:footer="992" w:gutter="0"/>
          <w:pgNumType w:fmt="numberInDash" w:start="1"/>
          <w:cols w:space="425" w:num="1"/>
          <w:docGrid w:type="lines" w:linePitch="312" w:charSpace="0"/>
        </w:sectPr>
      </w:pPr>
      <w:bookmarkStart w:id="8" w:name="_Toc15667"/>
      <w:bookmarkStart w:id="9" w:name="_Toc32105"/>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6"/>
      <w:bookmarkEnd w:id="7"/>
      <w:bookmarkEnd w:id="8"/>
      <w:bookmarkEnd w:id="9"/>
    </w:p>
    <w:p>
      <w:pPr>
        <w:widowControl/>
        <w:jc w:val="left"/>
        <w:rPr>
          <w:rFonts w:ascii="Times New Roman" w:hAnsi="Times New Roman" w:eastAsia="黑体"/>
          <w:color w:val="auto"/>
          <w:sz w:val="32"/>
          <w:szCs w:val="32"/>
          <w:highlight w:val="none"/>
        </w:rPr>
      </w:pPr>
    </w:p>
    <w:p>
      <w:pPr>
        <w:pStyle w:val="4"/>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eastAsia="zh-CN"/>
        </w:rPr>
      </w:pPr>
      <w:bookmarkStart w:id="10" w:name="_Toc7996"/>
      <w:r>
        <w:rPr>
          <w:rFonts w:hint="eastAsia" w:ascii="Times New Roman" w:hAnsi="Times New Roman" w:eastAsia="黑体"/>
          <w:b w:val="0"/>
          <w:color w:val="auto"/>
          <w:highlight w:val="none"/>
          <w:lang w:eastAsia="zh-CN"/>
        </w:rPr>
        <w:t>主要职责</w:t>
      </w:r>
      <w:bookmarkEnd w:id="10"/>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党的基本理论、基本路线、基本纲领和工运方针，围绕党和国家工作大局，贯彻执行中国工会全国代表大会、中华全国总工会执行委员会和四川省、攀枝花市工会代表大会、全委会确定的方针、任务和作出的决议。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依照法律和《中国工会章程》，组织和指导各级工会坚定不移地推动党的全心全意依靠工人阶级根本指导方针的贯彻落实，进一步突出和履行维护职能。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对有关职工合法权益的重大问题进行调查研究，向市委、市政府和四川省总工会反映职工群众的思想、愿望和要求，提出意见和建议；参与涉及职工切身利益的政策、措施和法规草案的拟定；指导企业生产经营安全保障工作，参与企业生产经营过程中发生的职工重大伤亡事故的调查处理。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负责工会理论政策的研究，研究制定工会的组织制度和民主制度，监督检查《中国工会章程》的贯彻执行；研究指导工会自身改革和建设；指导各级工会组织开展以职工代表大会为基本制度的民主选举、民主决策、民主管理和民主监督工作，推动建立平等协商、集体合同制度和监督保证机制的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协助县（区）党委和市级有关部门、大企业党组（党委）管理县（区）总工会和有关市级产业工会、直属企业（集团公司）工会和市属基层工会的领导干部；监督、检查市总工会机关及直属单位党员干部廉政建设情况；研究制定工会干部的管理制度和培训规划，负责县（区）总工会、产业工会、大中型企事业工会领导干部的培训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协助市政府做好市劳动模范的推荐、评选和管理工作；协助四川省总工会做好在攀全省劳模和“五一劳动奖章”、“五一劳动奖状”获得者的推荐、管理工作。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负责全市工会经费和工会资产的管理、审查、审计工作；研究、制定工会组织兴办职工劳动福利事业的有关制度和规定；负责对全市工会职工劳动福利事业的指导、协调工作。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pPr>
      <w:r>
        <w:rPr>
          <w:rFonts w:hint="eastAsia" w:ascii="仿宋_GB2312" w:hAnsi="仿宋_GB2312" w:eastAsia="仿宋_GB2312" w:cs="仿宋_GB2312"/>
          <w:color w:val="auto"/>
          <w:kern w:val="2"/>
          <w:sz w:val="32"/>
          <w:szCs w:val="32"/>
          <w:highlight w:val="none"/>
          <w:lang w:val="en-US" w:eastAsia="zh-CN" w:bidi="ar-SA"/>
        </w:rPr>
        <w:t>承办市委、市政府和四川省总工会交办的其它事项。</w:t>
      </w:r>
      <w:bookmarkStart w:id="11" w:name="_Toc15377200"/>
      <w:bookmarkStart w:id="12" w:name="_Toc15396601"/>
    </w:p>
    <w:p>
      <w:pPr>
        <w:pStyle w:val="4"/>
        <w:rPr>
          <w:rStyle w:val="30"/>
          <w:rFonts w:ascii="Times New Roman" w:hAnsi="Times New Roman"/>
          <w:b w:val="0"/>
          <w:bCs w:val="0"/>
          <w:color w:val="auto"/>
          <w:highlight w:val="none"/>
        </w:rPr>
      </w:pPr>
      <w:bookmarkStart w:id="13" w:name="_Toc26599"/>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1"/>
      <w:bookmarkEnd w:id="12"/>
      <w:bookmarkEnd w:id="13"/>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攀枝花市总工会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pPr>
        <w:pStyle w:val="3"/>
        <w:jc w:val="center"/>
        <w:rPr>
          <w:rFonts w:hint="eastAsia" w:ascii="Times New Roman" w:hAnsi="Times New Roman" w:eastAsia="方正小标宋简体" w:cs="方正小标宋简体"/>
          <w:b w:val="0"/>
          <w:color w:val="auto"/>
          <w:highlight w:val="none"/>
        </w:rPr>
      </w:pPr>
      <w:bookmarkStart w:id="14" w:name="_Toc15377204"/>
      <w:bookmarkStart w:id="15" w:name="_Toc15396602"/>
    </w:p>
    <w:p>
      <w:pPr>
        <w:pStyle w:val="3"/>
        <w:jc w:val="center"/>
        <w:rPr>
          <w:rFonts w:hint="eastAsia" w:ascii="Times New Roman" w:hAnsi="Times New Roman" w:eastAsia="方正小标宋简体" w:cs="方正小标宋简体"/>
          <w:b w:val="0"/>
          <w:color w:val="auto"/>
          <w:highlight w:val="none"/>
        </w:rPr>
      </w:pPr>
      <w:bookmarkStart w:id="16" w:name="_Toc16257"/>
      <w:bookmarkStart w:id="17" w:name="_Toc2279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4"/>
      <w:bookmarkEnd w:id="15"/>
      <w:bookmarkEnd w:id="16"/>
      <w:bookmarkEnd w:id="17"/>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27152"/>
      <w:bookmarkStart w:id="2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21" w:name="_Toc17343"/>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310.09</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2025年收到省财专项资金较2024年增加。</w:t>
      </w:r>
      <w:bookmarkEnd w:id="2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lang w:eastAsia="zh-CN"/>
        </w:rPr>
        <w:drawing>
          <wp:inline distT="0" distB="0" distL="114300" distR="114300">
            <wp:extent cx="5046345" cy="3227705"/>
            <wp:effectExtent l="4445" t="4445" r="16510" b="63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8787"/>
      <w:bookmarkStart w:id="23" w:name="_Toc15396604"/>
      <w:bookmarkStart w:id="24" w:name="_Toc15377206"/>
      <w:r>
        <w:rPr>
          <w:rFonts w:hint="eastAsia" w:ascii="Times New Roman" w:hAnsi="Times New Roman" w:eastAsia="黑体"/>
          <w:color w:val="auto"/>
          <w:sz w:val="32"/>
          <w:szCs w:val="32"/>
          <w:highlight w:val="none"/>
          <w:lang w:eastAsia="zh-CN"/>
        </w:rPr>
        <w:t>二、收入决算情况说明</w:t>
      </w:r>
      <w:bookmarkEnd w:id="22"/>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5" w:name="_Toc7330"/>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年度本年收入合计</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eastAsia="zh-CN"/>
        </w:rPr>
        <w:t>万元，占100%。</w:t>
      </w:r>
      <w:bookmarkEnd w:id="25"/>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5"/>
      <w:bookmarkStart w:id="27" w:name="_Toc8386"/>
      <w:bookmarkStart w:id="28" w:name="_Toc15377207"/>
      <w:r>
        <w:rPr>
          <w:rFonts w:hint="eastAsia" w:ascii="仿宋_GB2312" w:eastAsia="仿宋_GB2312"/>
          <w:sz w:val="32"/>
          <w:szCs w:val="32"/>
          <w:lang w:eastAsia="zh-CN"/>
        </w:rPr>
        <w:drawing>
          <wp:anchor distT="0" distB="0" distL="114300" distR="114300" simplePos="0" relativeHeight="251660288" behindDoc="0" locked="0" layoutInCell="1" allowOverlap="1">
            <wp:simplePos x="0" y="0"/>
            <wp:positionH relativeFrom="column">
              <wp:posOffset>137795</wp:posOffset>
            </wp:positionH>
            <wp:positionV relativeFrom="paragraph">
              <wp:posOffset>223520</wp:posOffset>
            </wp:positionV>
            <wp:extent cx="4869815" cy="2782570"/>
            <wp:effectExtent l="4445" t="4445" r="21590" b="1333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bookmarkEnd w:id="2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9" w:name="_Toc23467"/>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年度本年支出合计</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val="en-US" w:eastAsia="zh-CN"/>
        </w:rPr>
        <w:t>万元，其中：基本支出265.</w:t>
      </w:r>
      <w:r>
        <w:rPr>
          <w:rFonts w:hint="eastAsia" w:eastAsia="仿宋_GB2312" w:cs="仿宋_GB2312"/>
          <w:color w:val="auto"/>
          <w:sz w:val="32"/>
          <w:szCs w:val="32"/>
          <w:highlight w:val="none"/>
          <w:lang w:val="en-US" w:eastAsia="zh-CN"/>
        </w:rPr>
        <w:t>83</w:t>
      </w:r>
      <w:r>
        <w:rPr>
          <w:rFonts w:hint="eastAsia" w:ascii="Times New Roman" w:hAnsi="Times New Roman" w:eastAsia="仿宋_GB2312" w:cs="仿宋_GB2312"/>
          <w:color w:val="auto"/>
          <w:sz w:val="32"/>
          <w:szCs w:val="32"/>
          <w:highlight w:val="none"/>
          <w:lang w:val="en-US" w:eastAsia="zh-CN"/>
        </w:rPr>
        <w:t>万元，占</w:t>
      </w:r>
      <w:r>
        <w:rPr>
          <w:rFonts w:hint="eastAsia" w:eastAsia="仿宋_GB2312" w:cs="仿宋_GB2312"/>
          <w:color w:val="auto"/>
          <w:sz w:val="32"/>
          <w:szCs w:val="32"/>
          <w:highlight w:val="none"/>
          <w:lang w:val="en-US" w:eastAsia="zh-CN"/>
        </w:rPr>
        <w:t>20.8</w:t>
      </w:r>
      <w:r>
        <w:rPr>
          <w:rFonts w:hint="eastAsia" w:ascii="Times New Roman" w:hAnsi="Times New Roman" w:eastAsia="仿宋_GB2312" w:cs="仿宋_GB2312"/>
          <w:color w:val="auto"/>
          <w:sz w:val="32"/>
          <w:szCs w:val="32"/>
          <w:highlight w:val="none"/>
          <w:lang w:val="en-US" w:eastAsia="zh-CN"/>
        </w:rPr>
        <w:t>%；项目支出</w:t>
      </w:r>
      <w:r>
        <w:rPr>
          <w:rFonts w:hint="eastAsia" w:eastAsia="仿宋_GB2312" w:cs="仿宋_GB2312"/>
          <w:color w:val="auto"/>
          <w:sz w:val="32"/>
          <w:szCs w:val="32"/>
          <w:highlight w:val="none"/>
          <w:lang w:val="en-US" w:eastAsia="zh-CN"/>
        </w:rPr>
        <w:t>1009.59</w:t>
      </w:r>
      <w:r>
        <w:rPr>
          <w:rFonts w:hint="eastAsia" w:ascii="Times New Roman" w:hAnsi="Times New Roman" w:eastAsia="仿宋_GB2312" w:cs="仿宋_GB2312"/>
          <w:color w:val="auto"/>
          <w:sz w:val="32"/>
          <w:szCs w:val="32"/>
          <w:highlight w:val="none"/>
          <w:lang w:val="en-US" w:eastAsia="zh-CN"/>
        </w:rPr>
        <w:t>万元，占7</w:t>
      </w:r>
      <w:r>
        <w:rPr>
          <w:rFonts w:hint="eastAsia" w:eastAsia="仿宋_GB2312" w:cs="仿宋_GB2312"/>
          <w:color w:val="auto"/>
          <w:sz w:val="32"/>
          <w:szCs w:val="32"/>
          <w:highlight w:val="none"/>
          <w:lang w:val="en-US" w:eastAsia="zh-CN"/>
        </w:rPr>
        <w:t>9.2</w:t>
      </w:r>
      <w:r>
        <w:rPr>
          <w:rFonts w:hint="eastAsia" w:ascii="Times New Roman" w:hAnsi="Times New Roman" w:eastAsia="仿宋_GB2312" w:cs="仿宋_GB2312"/>
          <w:color w:val="auto"/>
          <w:sz w:val="32"/>
          <w:szCs w:val="32"/>
          <w:highlight w:val="none"/>
          <w:lang w:val="en-US" w:eastAsia="zh-CN"/>
        </w:rPr>
        <w:t>%。</w:t>
      </w:r>
      <w:bookmarkEnd w:id="29"/>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rPr>
          <w:rFonts w:hint="eastAsia"/>
          <w:lang w:eastAsia="zh-CN"/>
        </w:rPr>
      </w:pPr>
      <w:r>
        <w:rPr>
          <w:rFonts w:hint="eastAsia" w:ascii="仿宋_GB2312" w:eastAsia="仿宋_GB2312"/>
          <w:sz w:val="32"/>
          <w:szCs w:val="32"/>
          <w:lang w:eastAsia="zh-CN"/>
        </w:rPr>
        <w:drawing>
          <wp:inline distT="0" distB="0" distL="114300" distR="114300">
            <wp:extent cx="4923790" cy="2580640"/>
            <wp:effectExtent l="4445" t="4445" r="5715" b="571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30" w:name="_Toc15396606"/>
      <w:bookmarkStart w:id="31" w:name="_Toc13255"/>
      <w:bookmarkStart w:id="32"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0"/>
      <w:bookmarkEnd w:id="31"/>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增加310.09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2025年收到省财专项资金较2024年增加。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kern w:val="2"/>
          <w:sz w:val="33"/>
          <w:szCs w:val="33"/>
          <w:lang w:val="en-US" w:eastAsia="zh-CN" w:bidi="ar-SA"/>
        </w:rPr>
        <w:drawing>
          <wp:anchor distT="0" distB="0" distL="114300" distR="114300" simplePos="0" relativeHeight="251661312" behindDoc="0" locked="0" layoutInCell="1" allowOverlap="1">
            <wp:simplePos x="0" y="0"/>
            <wp:positionH relativeFrom="column">
              <wp:posOffset>352425</wp:posOffset>
            </wp:positionH>
            <wp:positionV relativeFrom="paragraph">
              <wp:posOffset>238125</wp:posOffset>
            </wp:positionV>
            <wp:extent cx="4599940" cy="2654935"/>
            <wp:effectExtent l="4445" t="4445" r="5715" b="762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spacing w:line="600" w:lineRule="exact"/>
        <w:outlineLvl w:val="1"/>
        <w:rPr>
          <w:rFonts w:hint="eastAsia" w:ascii="Times New Roman" w:hAnsi="Times New Roman" w:eastAsia="黑体"/>
          <w:color w:val="auto"/>
          <w:sz w:val="32"/>
          <w:szCs w:val="32"/>
          <w:highlight w:val="none"/>
        </w:rPr>
      </w:pPr>
      <w:bookmarkStart w:id="33" w:name="_Toc15396607"/>
      <w:bookmarkStart w:id="34" w:name="_Toc15377209"/>
    </w:p>
    <w:p>
      <w:pPr>
        <w:spacing w:line="600" w:lineRule="exact"/>
        <w:ind w:firstLine="640" w:firstLineChars="200"/>
        <w:outlineLvl w:val="1"/>
        <w:rPr>
          <w:rStyle w:val="30"/>
          <w:rFonts w:ascii="Times New Roman" w:hAnsi="Times New Roman" w:eastAsia="黑体"/>
          <w:b w:val="0"/>
          <w:color w:val="auto"/>
          <w:highlight w:val="none"/>
        </w:rPr>
      </w:pPr>
      <w:bookmarkStart w:id="35" w:name="_Toc13531"/>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3"/>
      <w:bookmarkEnd w:id="34"/>
      <w:bookmarkEnd w:id="3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6"/>
    </w:p>
    <w:p>
      <w:pPr>
        <w:spacing w:line="600" w:lineRule="exact"/>
        <w:ind w:firstLine="640"/>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万元，占本年支出合计的100%。与202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eastAsia="仿宋_GB2312" w:cs="仿宋_GB2312"/>
          <w:color w:val="auto"/>
          <w:kern w:val="2"/>
          <w:sz w:val="32"/>
          <w:szCs w:val="32"/>
          <w:highlight w:val="none"/>
          <w:lang w:val="en-US" w:eastAsia="zh-CN" w:bidi="ar-SA"/>
        </w:rPr>
        <w:t>增加310.09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2025年收到省财专项资金较2024年增加。</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sz w:val="32"/>
          <w:szCs w:val="32"/>
          <w:lang w:eastAsia="zh-CN"/>
        </w:rPr>
        <w:drawing>
          <wp:anchor distT="0" distB="0" distL="114300" distR="114300" simplePos="0" relativeHeight="251662336" behindDoc="0" locked="0" layoutInCell="1" allowOverlap="1">
            <wp:simplePos x="0" y="0"/>
            <wp:positionH relativeFrom="column">
              <wp:posOffset>276225</wp:posOffset>
            </wp:positionH>
            <wp:positionV relativeFrom="paragraph">
              <wp:posOffset>216535</wp:posOffset>
            </wp:positionV>
            <wp:extent cx="4624070" cy="2306320"/>
            <wp:effectExtent l="4445" t="4445" r="19685" b="1333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万元，主要用于以下方面：一般公共服务支出</w:t>
      </w:r>
      <w:r>
        <w:rPr>
          <w:rFonts w:hint="eastAsia" w:eastAsia="仿宋_GB2312" w:cs="仿宋_GB2312"/>
          <w:color w:val="auto"/>
          <w:kern w:val="2"/>
          <w:sz w:val="32"/>
          <w:szCs w:val="32"/>
          <w:highlight w:val="none"/>
          <w:lang w:val="en-US" w:eastAsia="zh-CN" w:bidi="ar-SA"/>
        </w:rPr>
        <w:t>1015.89</w:t>
      </w:r>
      <w:r>
        <w:rPr>
          <w:rFonts w:hint="eastAsia" w:ascii="Times New Roman" w:hAnsi="Times New Roman" w:eastAsia="仿宋_GB2312" w:cs="仿宋_GB2312"/>
          <w:color w:val="auto"/>
          <w:kern w:val="2"/>
          <w:sz w:val="32"/>
          <w:szCs w:val="32"/>
          <w:highlight w:val="none"/>
          <w:lang w:val="en-US" w:eastAsia="zh-CN" w:bidi="ar-SA"/>
        </w:rPr>
        <w:t>万元，占7</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%；社会保障和就业支出259.</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万元，占2</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kern w:val="2"/>
          <w:sz w:val="33"/>
          <w:szCs w:val="33"/>
          <w:lang w:val="en-US" w:eastAsia="zh-CN" w:bidi="ar-SA"/>
        </w:rPr>
        <w:drawing>
          <wp:anchor distT="0" distB="0" distL="114300" distR="114300" simplePos="0" relativeHeight="251663360" behindDoc="0" locked="0" layoutInCell="1" allowOverlap="1">
            <wp:simplePos x="0" y="0"/>
            <wp:positionH relativeFrom="column">
              <wp:posOffset>438150</wp:posOffset>
            </wp:positionH>
            <wp:positionV relativeFrom="paragraph">
              <wp:posOffset>114300</wp:posOffset>
            </wp:positionV>
            <wp:extent cx="4505960" cy="2393315"/>
            <wp:effectExtent l="4445" t="4445" r="23495" b="2159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8460"/>
      <w:bookmarkStart w:id="40" w:name="_Toc15377444"/>
      <w:bookmarkStart w:id="41"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年度一般公共预算财政拨款支出决算数为965.33万元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1.一般公共服务：①2012901行政运行支出：支出决算为</w:t>
      </w:r>
      <w:r>
        <w:rPr>
          <w:rFonts w:hint="eastAsia" w:eastAsia="仿宋_GB2312" w:cs="仿宋_GB2312"/>
          <w:color w:val="auto"/>
          <w:kern w:val="2"/>
          <w:sz w:val="32"/>
          <w:szCs w:val="32"/>
          <w:highlight w:val="none"/>
          <w:lang w:val="en-US" w:eastAsia="zh-CN" w:bidi="ar-SA"/>
        </w:rPr>
        <w:t>6.3</w:t>
      </w:r>
      <w:r>
        <w:rPr>
          <w:rFonts w:hint="eastAsia" w:ascii="Times New Roman" w:hAnsi="Times New Roman" w:eastAsia="仿宋_GB2312" w:cs="仿宋_GB2312"/>
          <w:color w:val="auto"/>
          <w:kern w:val="2"/>
          <w:sz w:val="32"/>
          <w:szCs w:val="32"/>
          <w:highlight w:val="none"/>
          <w:lang w:val="en-US" w:eastAsia="zh-CN" w:bidi="ar-SA"/>
        </w:rPr>
        <w:t>万元，完成预算100%；②2012902一般行政管理事务：支出决算为</w:t>
      </w:r>
      <w:r>
        <w:rPr>
          <w:rFonts w:hint="eastAsia" w:eastAsia="仿宋_GB2312" w:cs="仿宋_GB2312"/>
          <w:color w:val="auto"/>
          <w:kern w:val="2"/>
          <w:sz w:val="32"/>
          <w:szCs w:val="32"/>
          <w:highlight w:val="none"/>
          <w:lang w:val="en-US" w:eastAsia="zh-CN" w:bidi="ar-SA"/>
        </w:rPr>
        <w:t>364.65</w:t>
      </w:r>
      <w:r>
        <w:rPr>
          <w:rFonts w:hint="eastAsia" w:ascii="Times New Roman" w:hAnsi="Times New Roman" w:eastAsia="仿宋_GB2312" w:cs="仿宋_GB2312"/>
          <w:color w:val="auto"/>
          <w:kern w:val="2"/>
          <w:sz w:val="32"/>
          <w:szCs w:val="32"/>
          <w:highlight w:val="none"/>
          <w:lang w:val="en-US" w:eastAsia="zh-CN" w:bidi="ar-SA"/>
        </w:rPr>
        <w:t>万元，完成预算100%；③2012999其他群众团体事务支出：支出决算为</w:t>
      </w:r>
      <w:r>
        <w:rPr>
          <w:rFonts w:hint="eastAsia" w:eastAsia="仿宋_GB2312" w:cs="仿宋_GB2312"/>
          <w:color w:val="auto"/>
          <w:kern w:val="2"/>
          <w:sz w:val="32"/>
          <w:szCs w:val="32"/>
          <w:highlight w:val="none"/>
          <w:lang w:val="en-US" w:eastAsia="zh-CN" w:bidi="ar-SA"/>
        </w:rPr>
        <w:t>642.78</w:t>
      </w:r>
      <w:r>
        <w:rPr>
          <w:rFonts w:hint="eastAsia" w:ascii="Times New Roman" w:hAnsi="Times New Roman" w:eastAsia="仿宋_GB2312" w:cs="仿宋_GB2312"/>
          <w:color w:val="auto"/>
          <w:kern w:val="2"/>
          <w:sz w:val="32"/>
          <w:szCs w:val="32"/>
          <w:highlight w:val="none"/>
          <w:lang w:val="en-US" w:eastAsia="zh-CN" w:bidi="ar-SA"/>
        </w:rPr>
        <w:t>万元，完成预算100%；④2013299其他组织事务支出：支出决算为</w:t>
      </w:r>
      <w:r>
        <w:rPr>
          <w:rFonts w:hint="eastAsia" w:eastAsia="仿宋_GB2312" w:cs="仿宋_GB2312"/>
          <w:color w:val="auto"/>
          <w:kern w:val="2"/>
          <w:sz w:val="32"/>
          <w:szCs w:val="32"/>
          <w:highlight w:val="none"/>
          <w:lang w:val="en-US" w:eastAsia="zh-CN" w:bidi="ar-SA"/>
        </w:rPr>
        <w:t>2.17</w:t>
      </w:r>
      <w:r>
        <w:rPr>
          <w:rFonts w:hint="eastAsia" w:ascii="Times New Roman" w:hAnsi="Times New Roman" w:eastAsia="仿宋_GB2312" w:cs="仿宋_GB2312"/>
          <w:color w:val="auto"/>
          <w:kern w:val="2"/>
          <w:sz w:val="32"/>
          <w:szCs w:val="32"/>
          <w:highlight w:val="none"/>
          <w:lang w:val="en-US" w:eastAsia="zh-CN" w:bidi="ar-SA"/>
        </w:rPr>
        <w:t>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：①2080501行政单位离退休：支出决算为159.07万元，完成预算100%；②2080502事业单位离退休：支出决算为100.46万元，完成预算100%。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42" w:name="_Toc15396608"/>
      <w:bookmarkStart w:id="43" w:name="_Toc15377214"/>
      <w:bookmarkStart w:id="44" w:name="_Toc27033"/>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2"/>
      <w:bookmarkEnd w:id="43"/>
      <w:bookmarkEnd w:id="44"/>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年度一般公共预算财政拨款基本支出265.</w:t>
      </w:r>
      <w:r>
        <w:rPr>
          <w:rFonts w:hint="eastAsia" w:eastAsia="仿宋_GB2312" w:cs="仿宋_GB2312"/>
          <w:color w:val="auto"/>
          <w:kern w:val="2"/>
          <w:sz w:val="32"/>
          <w:szCs w:val="32"/>
          <w:highlight w:val="none"/>
          <w:lang w:val="en-US" w:eastAsia="zh-CN" w:bidi="ar-SA"/>
        </w:rPr>
        <w:t>83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人员经费2</w:t>
      </w:r>
      <w:r>
        <w:rPr>
          <w:rFonts w:hint="eastAsia" w:eastAsia="仿宋_GB2312" w:cs="仿宋_GB2312"/>
          <w:color w:val="auto"/>
          <w:kern w:val="2"/>
          <w:sz w:val="32"/>
          <w:szCs w:val="32"/>
          <w:highlight w:val="none"/>
          <w:lang w:val="en-US" w:eastAsia="zh-CN" w:bidi="ar-SA"/>
        </w:rPr>
        <w:t>61.31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元，主要包括：离</w:t>
      </w:r>
      <w:r>
        <w:rPr>
          <w:rFonts w:hint="eastAsia" w:eastAsia="仿宋_GB2312" w:cs="仿宋_GB2312"/>
          <w:color w:val="auto"/>
          <w:kern w:val="2"/>
          <w:sz w:val="32"/>
          <w:szCs w:val="32"/>
          <w:highlight w:val="none"/>
          <w:lang w:val="en-US" w:eastAsia="zh-CN" w:bidi="ar-SA"/>
        </w:rPr>
        <w:t>退</w:t>
      </w:r>
      <w:r>
        <w:rPr>
          <w:rFonts w:hint="eastAsia" w:ascii="Times New Roman" w:hAnsi="Times New Roman" w:eastAsia="仿宋_GB2312" w:cs="仿宋_GB2312"/>
          <w:color w:val="auto"/>
          <w:kern w:val="2"/>
          <w:sz w:val="32"/>
          <w:szCs w:val="32"/>
          <w:highlight w:val="none"/>
          <w:lang w:val="en-US" w:eastAsia="zh-CN" w:bidi="ar-SA"/>
        </w:rPr>
        <w:t>休费、生活补助、医疗费补助。</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4.52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元，主要包括：福利费、其他商品和服务支出。</w:t>
      </w:r>
    </w:p>
    <w:p>
      <w:pPr>
        <w:spacing w:line="600" w:lineRule="exact"/>
        <w:ind w:firstLine="640"/>
        <w:outlineLvl w:val="1"/>
        <w:rPr>
          <w:rStyle w:val="30"/>
          <w:rFonts w:ascii="Times New Roman" w:hAnsi="Times New Roman" w:eastAsia="黑体"/>
          <w:b w:val="0"/>
          <w:color w:val="auto"/>
          <w:highlight w:val="none"/>
        </w:rPr>
      </w:pPr>
      <w:bookmarkStart w:id="45" w:name="_Toc26337"/>
      <w:bookmarkStart w:id="46" w:name="_Toc15377215"/>
      <w:bookmarkStart w:id="4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5"/>
      <w:bookmarkEnd w:id="46"/>
      <w:bookmarkEnd w:id="4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年度“三公”经费财政拨款支出决算为0</w:t>
      </w:r>
      <w:r>
        <w:rPr>
          <w:rFonts w:hint="eastAsia" w:ascii="仿宋_GB2312" w:hAnsi="仿宋_GB2312" w:eastAsia="仿宋_GB2312" w:cs="仿宋_GB2312"/>
          <w:color w:val="auto"/>
          <w:kern w:val="2"/>
          <w:sz w:val="32"/>
          <w:szCs w:val="32"/>
          <w:highlight w:val="none"/>
          <w:lang w:val="en-US" w:eastAsia="zh-CN" w:bidi="ar-SA"/>
        </w:rPr>
        <w:t>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年度“三公”经费财政拨款支出决算中，因公出国（境）费支出决算0万元；公务用车购置及运行维护费支出决算0万元；公务接待费支出决算0万元。</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因公出国（境）支出决算与2024年持平。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公务用车购置及运行维护费</w:t>
      </w:r>
      <w:r>
        <w:rPr>
          <w:rFonts w:hint="eastAsia" w:eastAsia="仿宋_GB2312" w:cs="仿宋_GB2312"/>
          <w:color w:val="auto"/>
          <w:kern w:val="2"/>
          <w:sz w:val="32"/>
          <w:szCs w:val="32"/>
          <w:highlight w:val="none"/>
          <w:lang w:val="en-US" w:eastAsia="zh-CN" w:bidi="ar-SA"/>
        </w:rPr>
        <w:t>支出决算与2024年持平。</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Start w:id="50" w:name="_Toc15396610"/>
      <w:bookmarkStart w:id="51" w:name="_Toc15377218"/>
    </w:p>
    <w:p>
      <w:pPr>
        <w:spacing w:line="600" w:lineRule="exact"/>
        <w:ind w:firstLine="640"/>
        <w:outlineLvl w:val="1"/>
        <w:rPr>
          <w:rStyle w:val="30"/>
          <w:rFonts w:ascii="Times New Roman" w:hAnsi="Times New Roman" w:eastAsia="黑体"/>
          <w:color w:val="auto"/>
          <w:highlight w:val="none"/>
        </w:rPr>
      </w:pPr>
      <w:bookmarkStart w:id="52" w:name="_Toc4659"/>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0"/>
      <w:bookmarkEnd w:id="51"/>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3" w:name="_Toc15396611"/>
      <w:bookmarkStart w:id="54" w:name="_Toc1453"/>
      <w:bookmarkStart w:id="5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3"/>
      <w:bookmarkEnd w:id="54"/>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年度国有资本经营预算财政拨款支出0</w:t>
      </w:r>
      <w:r>
        <w:rPr>
          <w:rFonts w:hint="eastAsia" w:ascii="仿宋_GB2312" w:hAnsi="仿宋_GB2312"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6" w:name="_Toc28193"/>
      <w:bookmarkStart w:id="57" w:name="_Toc15396612"/>
      <w:bookmarkStart w:id="58"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6"/>
      <w:bookmarkEnd w:id="57"/>
      <w:bookmarkEnd w:id="58"/>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2"/>
      <w:r>
        <w:rPr>
          <w:rFonts w:hint="eastAsia" w:ascii="Times New Roman" w:hAnsi="Times New Roman" w:eastAsia="楷体_GB2312" w:cs="楷体_GB2312"/>
          <w:b/>
          <w:color w:val="auto"/>
          <w:sz w:val="32"/>
          <w:szCs w:val="32"/>
          <w:highlight w:val="none"/>
        </w:rPr>
        <w:t>（一）机关运行经费支出情况</w:t>
      </w:r>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攀枝花市总工会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4.52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9.08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2025年收到的</w:t>
      </w:r>
      <w:r>
        <w:rPr>
          <w:rFonts w:hint="eastAsia" w:ascii="Times New Roman" w:hAnsi="Times New Roman" w:eastAsia="仿宋_GB2312" w:cs="仿宋_GB2312"/>
          <w:color w:val="auto"/>
          <w:kern w:val="2"/>
          <w:sz w:val="32"/>
          <w:szCs w:val="32"/>
          <w:highlight w:val="none"/>
          <w:lang w:val="en-US" w:eastAsia="zh-CN" w:bidi="ar-SA"/>
        </w:rPr>
        <w:t>离退休人员党建经费及公用经费</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3"/>
      <w:r>
        <w:rPr>
          <w:rFonts w:hint="eastAsia" w:ascii="Times New Roman" w:hAnsi="Times New Roman" w:eastAsia="楷体_GB2312" w:cs="楷体_GB2312"/>
          <w:b/>
          <w:color w:val="auto"/>
          <w:sz w:val="32"/>
          <w:szCs w:val="32"/>
          <w:highlight w:val="none"/>
        </w:rPr>
        <w:t>（二）政府采购支出情况</w:t>
      </w:r>
      <w:bookmarkEnd w:id="6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年度，四川省攀枝花市总工会政府采购支出总额0万元。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24"/>
      <w:r>
        <w:rPr>
          <w:rFonts w:hint="eastAsia" w:ascii="Times New Roman" w:hAnsi="Times New Roman" w:eastAsia="楷体_GB2312" w:cs="楷体_GB2312"/>
          <w:b/>
          <w:color w:val="auto"/>
          <w:sz w:val="32"/>
          <w:szCs w:val="32"/>
          <w:highlight w:val="none"/>
        </w:rPr>
        <w:t>（三）国有资产占有使用情况</w:t>
      </w:r>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年12月31日，四川省攀枝花市总工会共有车辆0辆，其中：主要负责人用车0辆、机要通信用车0辆、应急保障用车0辆、其他用车0辆。单价100万元（含）以上设备（不含车辆）0台（套）。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根据预算绩效管理要求，攀枝花市总工会在202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劳模专项经费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2" w:name="_Toc15377225"/>
      <w:bookmarkStart w:id="63" w:name="_Toc17036"/>
      <w:bookmarkStart w:id="64" w:name="_Toc15396613"/>
      <w:bookmarkStart w:id="65" w:name="_Toc2689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2"/>
      <w:bookmarkEnd w:id="63"/>
      <w:bookmarkEnd w:id="64"/>
      <w:bookmarkEnd w:id="65"/>
    </w:p>
    <w:p>
      <w:pPr>
        <w:spacing w:line="600" w:lineRule="exact"/>
        <w:jc w:val="left"/>
        <w:rPr>
          <w:rFonts w:ascii="Times New Roman" w:hAnsi="Times New Roman"/>
          <w:b/>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2.年初结转和结余：指以前年度尚未完成、结转到本年按有关规定继续使用的资金。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4.一般公共服务（类）群众团体事务（款）其他群众团体事务（项）：指其他用于群众团体事务方面的支出。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5.一般公共服务（类）组织事务（款）其他组织事务（项）：指其他用于中国共产党组织部门的事务支出。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6.社会保障和就业（类）行政事业单位养老（款）行政单位离退休（项）：指行政单位（包括实行公务员管理的事业单位）开支的离退休经费。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7.社会保障和就业（类）行政事业单位养老（款）事业单位离退休（项）：指事业单位开支的离退休经费。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8.社会保障和就业（类）抚恤（款）死亡抚恤（项）：指按规定用于烈士和牺牲、病故人员家属的一次性和定期抚恤金、丧葬补助费以及烈士褒扬金。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10.项目支出：指在基本支出之外为完成特定行政任务和事业发展目标所发生的支出。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7"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p>
    <w:p>
      <w:pPr>
        <w:pStyle w:val="6"/>
        <w:rPr>
          <w:rFonts w:hint="eastAsia" w:ascii="Times New Roman" w:hAnsi="Times New Roman" w:cs="宋体"/>
          <w:color w:val="FF0000"/>
          <w:kern w:val="0"/>
          <w:sz w:val="32"/>
          <w:szCs w:val="32"/>
          <w:highlight w:val="yellow"/>
          <w:shd w:val="clear" w:color="auto" w:fill="FFFFFF"/>
          <w:lang w:val="zh-CN"/>
        </w:rPr>
      </w:pP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部门</w:t>
      </w:r>
      <w:r>
        <w:rPr>
          <w:rFonts w:hint="eastAsia" w:ascii="Times New Roman" w:hAnsi="Times New Roman" w:eastAsia="仿宋_GB2312" w:cs="仿宋_GB2312"/>
          <w:b w:val="0"/>
          <w:bCs w:val="0"/>
          <w:kern w:val="0"/>
          <w:position w:val="0"/>
          <w:sz w:val="32"/>
          <w:szCs w:val="32"/>
          <w:highlight w:val="none"/>
          <w:lang w:val="en-US" w:eastAsia="zh-CN" w:bidi="ar-SA"/>
        </w:rPr>
        <w:t>预算项目支出绩效自评表（202</w:t>
      </w: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en-US" w:eastAsia="zh-CN" w:bidi="ar-SA"/>
        </w:rPr>
        <w:t>年度）</w:t>
      </w:r>
      <w:r>
        <w:rPr>
          <w:rFonts w:hint="eastAsia" w:eastAsia="仿宋_GB2312" w:cs="仿宋_GB2312"/>
          <w:b w:val="0"/>
          <w:bCs w:val="0"/>
          <w:kern w:val="0"/>
          <w:position w:val="0"/>
          <w:sz w:val="32"/>
          <w:szCs w:val="32"/>
          <w:highlight w:val="none"/>
          <w:lang w:val="en-US" w:eastAsia="zh-CN" w:bidi="ar-SA"/>
        </w:rPr>
        <w:t>见附件3。</w:t>
      </w:r>
    </w:p>
    <w:p>
      <w:pPr>
        <w:rPr>
          <w:rFonts w:hint="eastAsia" w:ascii="Times New Roman" w:hAnsi="Times New Roman" w:eastAsia="仿宋_GB2312" w:cs="仿宋_GB2312"/>
          <w:b w:val="0"/>
          <w:bCs w:val="0"/>
          <w:kern w:val="0"/>
          <w:position w:val="0"/>
          <w:sz w:val="32"/>
          <w:szCs w:val="32"/>
          <w:highlight w:val="none"/>
          <w:lang w:val="en-US" w:eastAsia="zh-CN" w:bidi="ar-SA"/>
        </w:rPr>
      </w:pPr>
      <w:bookmarkStart w:id="6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6"/>
      <w:bookmarkEnd w:id="68"/>
      <w:bookmarkStart w:id="6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0"/>
      <w:r>
        <w:rPr>
          <w:rFonts w:hint="eastAsia" w:ascii="Times New Roman" w:hAnsi="Times New Roman" w:eastAsia="仿宋_GB2312" w:cs="仿宋_GB2312"/>
          <w:color w:val="auto"/>
          <w:sz w:val="32"/>
          <w:szCs w:val="32"/>
          <w:highlight w:val="none"/>
        </w:rPr>
        <w:t>二、收入决算表</w:t>
      </w:r>
      <w:bookmarkEnd w:id="7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1"/>
      <w:r>
        <w:rPr>
          <w:rFonts w:hint="eastAsia" w:ascii="Times New Roman" w:hAnsi="Times New Roman" w:eastAsia="仿宋_GB2312" w:cs="仿宋_GB2312"/>
          <w:color w:val="auto"/>
          <w:sz w:val="32"/>
          <w:szCs w:val="32"/>
          <w:highlight w:val="none"/>
        </w:rPr>
        <w:t>三、支出决算表</w:t>
      </w:r>
      <w:bookmarkEnd w:id="7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2"/>
      <w:r>
        <w:rPr>
          <w:rFonts w:hint="eastAsia" w:ascii="Times New Roman" w:hAnsi="Times New Roman" w:eastAsia="仿宋_GB2312" w:cs="仿宋_GB2312"/>
          <w:color w:val="auto"/>
          <w:sz w:val="32"/>
          <w:szCs w:val="32"/>
          <w:highlight w:val="none"/>
        </w:rPr>
        <w:t>四、财政拨款收入支出决算总表</w:t>
      </w:r>
      <w:bookmarkEnd w:id="7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3"/>
      <w:r>
        <w:rPr>
          <w:rFonts w:hint="eastAsia" w:ascii="Times New Roman" w:hAnsi="Times New Roman" w:eastAsia="仿宋_GB2312" w:cs="仿宋_GB2312"/>
          <w:color w:val="auto"/>
          <w:sz w:val="32"/>
          <w:szCs w:val="32"/>
          <w:highlight w:val="none"/>
        </w:rPr>
        <w:t>五、财政拨款支出决算明细表</w:t>
      </w:r>
      <w:bookmarkEnd w:id="73"/>
      <w:bookmarkStart w:id="7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5"/>
      <w:r>
        <w:rPr>
          <w:rFonts w:hint="eastAsia" w:ascii="Times New Roman" w:hAnsi="Times New Roman" w:eastAsia="仿宋_GB2312" w:cs="仿宋_GB2312"/>
          <w:color w:val="auto"/>
          <w:sz w:val="32"/>
          <w:szCs w:val="32"/>
          <w:highlight w:val="none"/>
        </w:rPr>
        <w:t>七、一般公共预算财政拨款支出决算明细表</w:t>
      </w:r>
      <w:bookmarkEnd w:id="7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6"/>
      <w:r>
        <w:rPr>
          <w:rFonts w:hint="eastAsia" w:ascii="Times New Roman" w:hAnsi="Times New Roman" w:eastAsia="仿宋_GB2312" w:cs="仿宋_GB2312"/>
          <w:color w:val="auto"/>
          <w:sz w:val="32"/>
          <w:szCs w:val="32"/>
          <w:highlight w:val="none"/>
        </w:rPr>
        <w:t>八、一般公共预算财政拨款基本支出决算表</w:t>
      </w:r>
      <w:bookmarkEnd w:id="7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7"/>
      <w:r>
        <w:rPr>
          <w:rFonts w:hint="eastAsia" w:ascii="Times New Roman" w:hAnsi="Times New Roman" w:eastAsia="仿宋_GB2312" w:cs="仿宋_GB2312"/>
          <w:color w:val="auto"/>
          <w:sz w:val="32"/>
          <w:szCs w:val="32"/>
          <w:highlight w:val="none"/>
        </w:rPr>
        <w:t>九、一般公共预算财政拨款项目支出决算表</w:t>
      </w:r>
      <w:bookmarkEnd w:id="7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28"/>
      <w:r>
        <w:rPr>
          <w:rFonts w:hint="eastAsia" w:ascii="Times New Roman" w:hAnsi="Times New Roman" w:eastAsia="仿宋_GB2312" w:cs="仿宋_GB2312"/>
          <w:color w:val="auto"/>
          <w:sz w:val="32"/>
          <w:szCs w:val="32"/>
          <w:highlight w:val="none"/>
        </w:rPr>
        <w:t>十、</w:t>
      </w:r>
      <w:bookmarkEnd w:id="78"/>
      <w:r>
        <w:rPr>
          <w:rFonts w:hint="eastAsia" w:ascii="Times New Roman" w:hAnsi="Times New Roman" w:eastAsia="仿宋_GB2312" w:cs="仿宋_GB2312"/>
          <w:color w:val="auto"/>
          <w:sz w:val="32"/>
          <w:szCs w:val="32"/>
          <w:highlight w:val="none"/>
        </w:rPr>
        <w:t>政府性基金预算财政拨款收入支出决算表</w:t>
      </w:r>
      <w:r>
        <w:rPr>
          <w:rFonts w:hint="eastAsia" w:eastAsia="仿宋_GB2312" w:cs="仿宋_GB2312"/>
          <w:color w:val="auto"/>
          <w:sz w:val="32"/>
          <w:szCs w:val="32"/>
          <w:highlight w:val="none"/>
          <w:lang w:eastAsia="zh-CN"/>
        </w:rPr>
        <w:t>（此表无数据）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9"/>
      <w:r>
        <w:rPr>
          <w:rFonts w:hint="eastAsia" w:ascii="Times New Roman" w:hAnsi="Times New Roman" w:eastAsia="仿宋_GB2312" w:cs="仿宋_GB2312"/>
          <w:color w:val="auto"/>
          <w:sz w:val="32"/>
          <w:szCs w:val="32"/>
          <w:highlight w:val="none"/>
        </w:rPr>
        <w:t>十一、</w:t>
      </w:r>
      <w:bookmarkEnd w:id="7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30"/>
      <w:r>
        <w:rPr>
          <w:rFonts w:hint="eastAsia" w:ascii="Times New Roman" w:hAnsi="Times New Roman" w:eastAsia="仿宋_GB2312" w:cs="仿宋_GB2312"/>
          <w:color w:val="auto"/>
          <w:sz w:val="32"/>
          <w:szCs w:val="32"/>
          <w:highlight w:val="none"/>
        </w:rPr>
        <w:t>十二、</w:t>
      </w:r>
      <w:bookmarkEnd w:id="80"/>
      <w:r>
        <w:rPr>
          <w:rFonts w:hint="eastAsia" w:ascii="Times New Roman" w:hAnsi="Times New Roman" w:eastAsia="仿宋_GB2312" w:cs="仿宋_GB2312"/>
          <w:color w:val="auto"/>
          <w:sz w:val="32"/>
          <w:szCs w:val="32"/>
          <w:highlight w:val="none"/>
          <w:lang w:eastAsia="zh-CN"/>
        </w:rPr>
        <w:t>国有资本经营预算财政拨款支出决算表（此表无数据）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1" w:name="_Toc15396631"/>
      <w:r>
        <w:rPr>
          <w:rFonts w:hint="eastAsia" w:ascii="Times New Roman" w:hAnsi="Times New Roman" w:eastAsia="仿宋_GB2312" w:cs="仿宋_GB2312"/>
          <w:color w:val="auto"/>
          <w:sz w:val="32"/>
          <w:szCs w:val="32"/>
          <w:highlight w:val="none"/>
        </w:rPr>
        <w:t>十三、</w:t>
      </w:r>
      <w:bookmarkEnd w:id="81"/>
      <w:r>
        <w:rPr>
          <w:rFonts w:hint="eastAsia" w:ascii="Times New Roman" w:hAnsi="Times New Roman" w:eastAsia="仿宋_GB2312" w:cs="仿宋_GB2312"/>
          <w:color w:val="auto"/>
          <w:sz w:val="32"/>
          <w:szCs w:val="32"/>
          <w:highlight w:val="none"/>
          <w:lang w:eastAsia="zh-CN"/>
        </w:rPr>
        <w:t>财政拨款“三公”经费支出决算表（此表无数据）</w:t>
      </w:r>
    </w:p>
    <w:p>
      <w:pPr>
        <w:rPr>
          <w:rFonts w:hint="eastAsia" w:ascii="Times New Roman" w:hAnsi="Times New Roman"/>
          <w:lang w:eastAsia="zh-CN"/>
        </w:rPr>
      </w:pPr>
    </w:p>
    <w:sectPr>
      <w:footerReference r:id="rId10" w:type="first"/>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a1OYW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wGtTmFgIAABUEAAAOAAAAAAAA&#10;AAEAIAAAAB8BAABkcnMvZTJvRG9jLnhtbFBLBQYAAAAABgAGAFkBAACn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67C6"/>
    <w:multiLevelType w:val="singleLevel"/>
    <w:tmpl w:val="013C67C6"/>
    <w:lvl w:ilvl="0" w:tentative="0">
      <w:start w:val="1"/>
      <w:numFmt w:val="chineseCounting"/>
      <w:suff w:val="nothing"/>
      <w:lvlText w:val="%1、"/>
      <w:lvlJc w:val="left"/>
      <w:rPr>
        <w:rFonts w:hint="eastAsia"/>
      </w:rPr>
    </w:lvl>
  </w:abstractNum>
  <w:abstractNum w:abstractNumId="1">
    <w:nsid w:val="4EF66FAC"/>
    <w:multiLevelType w:val="singleLevel"/>
    <w:tmpl w:val="4EF66FA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2858"/>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20CEF"/>
    <w:rsid w:val="02FEBE30"/>
    <w:rsid w:val="03E77005"/>
    <w:rsid w:val="040079DC"/>
    <w:rsid w:val="04916F1E"/>
    <w:rsid w:val="04CE22CC"/>
    <w:rsid w:val="061E35DE"/>
    <w:rsid w:val="066E0107"/>
    <w:rsid w:val="07996F6E"/>
    <w:rsid w:val="07DFD8BA"/>
    <w:rsid w:val="07E00A7E"/>
    <w:rsid w:val="085A2C71"/>
    <w:rsid w:val="090962DA"/>
    <w:rsid w:val="09867E8F"/>
    <w:rsid w:val="0A2032A3"/>
    <w:rsid w:val="0A633C97"/>
    <w:rsid w:val="0B657ED8"/>
    <w:rsid w:val="0B6B6744"/>
    <w:rsid w:val="0C8151B2"/>
    <w:rsid w:val="0CA8290A"/>
    <w:rsid w:val="0D110C4F"/>
    <w:rsid w:val="0D35B1ED"/>
    <w:rsid w:val="0E254B6B"/>
    <w:rsid w:val="0EF21A00"/>
    <w:rsid w:val="0F98263C"/>
    <w:rsid w:val="101860EC"/>
    <w:rsid w:val="101F47CC"/>
    <w:rsid w:val="10C055FF"/>
    <w:rsid w:val="110727F2"/>
    <w:rsid w:val="11694EBD"/>
    <w:rsid w:val="11772AA4"/>
    <w:rsid w:val="118107EC"/>
    <w:rsid w:val="12E24EE2"/>
    <w:rsid w:val="134F4A53"/>
    <w:rsid w:val="13A879AB"/>
    <w:rsid w:val="13D50BC4"/>
    <w:rsid w:val="14B17F78"/>
    <w:rsid w:val="165E0673"/>
    <w:rsid w:val="16B831D5"/>
    <w:rsid w:val="16BB723D"/>
    <w:rsid w:val="1712246D"/>
    <w:rsid w:val="17E50567"/>
    <w:rsid w:val="186504BB"/>
    <w:rsid w:val="18733E84"/>
    <w:rsid w:val="190A7209"/>
    <w:rsid w:val="19A445FC"/>
    <w:rsid w:val="1BE8440E"/>
    <w:rsid w:val="1BF41B7A"/>
    <w:rsid w:val="1CB60611"/>
    <w:rsid w:val="1D155CEE"/>
    <w:rsid w:val="1D1638FE"/>
    <w:rsid w:val="1E0D475B"/>
    <w:rsid w:val="1E312DEB"/>
    <w:rsid w:val="1E740ACF"/>
    <w:rsid w:val="1FCC08C6"/>
    <w:rsid w:val="1FF35744"/>
    <w:rsid w:val="1FF6BC77"/>
    <w:rsid w:val="207D1B7A"/>
    <w:rsid w:val="20D9162C"/>
    <w:rsid w:val="2186353C"/>
    <w:rsid w:val="22A25680"/>
    <w:rsid w:val="23860B96"/>
    <w:rsid w:val="240371BF"/>
    <w:rsid w:val="244F3473"/>
    <w:rsid w:val="24C97D99"/>
    <w:rsid w:val="256B13EC"/>
    <w:rsid w:val="25A718F0"/>
    <w:rsid w:val="25BB59F6"/>
    <w:rsid w:val="260F557C"/>
    <w:rsid w:val="26970054"/>
    <w:rsid w:val="281408E2"/>
    <w:rsid w:val="28E72B1C"/>
    <w:rsid w:val="29F756A2"/>
    <w:rsid w:val="29FD04D3"/>
    <w:rsid w:val="2AA467D8"/>
    <w:rsid w:val="2AD0185D"/>
    <w:rsid w:val="2B3B360F"/>
    <w:rsid w:val="2BFF7BC6"/>
    <w:rsid w:val="2C8A61B5"/>
    <w:rsid w:val="2D1D4A17"/>
    <w:rsid w:val="2DF04E50"/>
    <w:rsid w:val="2E586DFA"/>
    <w:rsid w:val="2F040D46"/>
    <w:rsid w:val="2F6B035B"/>
    <w:rsid w:val="2FAE5751"/>
    <w:rsid w:val="2FB1A395"/>
    <w:rsid w:val="2FD9A7D8"/>
    <w:rsid w:val="2FDBF714"/>
    <w:rsid w:val="30AB6865"/>
    <w:rsid w:val="319F7F4E"/>
    <w:rsid w:val="32BD1EF1"/>
    <w:rsid w:val="3304709D"/>
    <w:rsid w:val="33A773CB"/>
    <w:rsid w:val="34603775"/>
    <w:rsid w:val="349D6851"/>
    <w:rsid w:val="34F07218"/>
    <w:rsid w:val="359B3784"/>
    <w:rsid w:val="36AA5135"/>
    <w:rsid w:val="36BE0DA7"/>
    <w:rsid w:val="376B6AA6"/>
    <w:rsid w:val="376D39B2"/>
    <w:rsid w:val="37E16F03"/>
    <w:rsid w:val="37F53A3B"/>
    <w:rsid w:val="389B6C89"/>
    <w:rsid w:val="38D469F0"/>
    <w:rsid w:val="39627CCD"/>
    <w:rsid w:val="397BAF1F"/>
    <w:rsid w:val="3AB79AF3"/>
    <w:rsid w:val="3AE834C0"/>
    <w:rsid w:val="3B7EF35A"/>
    <w:rsid w:val="3B9E6A3C"/>
    <w:rsid w:val="3B9FDB6C"/>
    <w:rsid w:val="3BA3768B"/>
    <w:rsid w:val="3BF5BC2F"/>
    <w:rsid w:val="3C8A1A01"/>
    <w:rsid w:val="3CEBA265"/>
    <w:rsid w:val="3D98207C"/>
    <w:rsid w:val="3D9A77B3"/>
    <w:rsid w:val="3DEE7CF3"/>
    <w:rsid w:val="3E166C6B"/>
    <w:rsid w:val="3E740A63"/>
    <w:rsid w:val="3E78745D"/>
    <w:rsid w:val="3EE17838"/>
    <w:rsid w:val="3F55381A"/>
    <w:rsid w:val="3F7F7599"/>
    <w:rsid w:val="3FF4CAE0"/>
    <w:rsid w:val="3FF7B227"/>
    <w:rsid w:val="40181D19"/>
    <w:rsid w:val="40F053F7"/>
    <w:rsid w:val="417920A2"/>
    <w:rsid w:val="44E268DA"/>
    <w:rsid w:val="450D13D7"/>
    <w:rsid w:val="45506656"/>
    <w:rsid w:val="468B6BD0"/>
    <w:rsid w:val="476833B2"/>
    <w:rsid w:val="48684EBF"/>
    <w:rsid w:val="486A6C7A"/>
    <w:rsid w:val="496E5B8B"/>
    <w:rsid w:val="4A627F82"/>
    <w:rsid w:val="4B0E749A"/>
    <w:rsid w:val="4B2477C4"/>
    <w:rsid w:val="4B4F25DA"/>
    <w:rsid w:val="4B500246"/>
    <w:rsid w:val="4BE068DB"/>
    <w:rsid w:val="4C2548E4"/>
    <w:rsid w:val="4CC64F56"/>
    <w:rsid w:val="4D577224"/>
    <w:rsid w:val="4DBF1CEB"/>
    <w:rsid w:val="4DF0007C"/>
    <w:rsid w:val="4E692684"/>
    <w:rsid w:val="4EAB630A"/>
    <w:rsid w:val="4EC34792"/>
    <w:rsid w:val="4ECE2238"/>
    <w:rsid w:val="4F833267"/>
    <w:rsid w:val="4FE9BD67"/>
    <w:rsid w:val="4FFB052F"/>
    <w:rsid w:val="51842E46"/>
    <w:rsid w:val="52497B10"/>
    <w:rsid w:val="52631564"/>
    <w:rsid w:val="533D4C00"/>
    <w:rsid w:val="537E6D0A"/>
    <w:rsid w:val="53F70A34"/>
    <w:rsid w:val="53F74C96"/>
    <w:rsid w:val="54BC0090"/>
    <w:rsid w:val="55170BA8"/>
    <w:rsid w:val="553218C9"/>
    <w:rsid w:val="567E1AA5"/>
    <w:rsid w:val="56E47B74"/>
    <w:rsid w:val="57175D52"/>
    <w:rsid w:val="57BA1646"/>
    <w:rsid w:val="57BD3DD4"/>
    <w:rsid w:val="57F164E0"/>
    <w:rsid w:val="58352818"/>
    <w:rsid w:val="5AF92295"/>
    <w:rsid w:val="5B250254"/>
    <w:rsid w:val="5BDD79E6"/>
    <w:rsid w:val="5BF561CA"/>
    <w:rsid w:val="5BFF5DFC"/>
    <w:rsid w:val="5CBD248D"/>
    <w:rsid w:val="5CC66EF0"/>
    <w:rsid w:val="5CD71FC4"/>
    <w:rsid w:val="5D1F11B5"/>
    <w:rsid w:val="5D695134"/>
    <w:rsid w:val="5DAE1B18"/>
    <w:rsid w:val="5DE7D9E5"/>
    <w:rsid w:val="5ECEC941"/>
    <w:rsid w:val="5FBF9FF3"/>
    <w:rsid w:val="5FCD4E2C"/>
    <w:rsid w:val="5FEF394A"/>
    <w:rsid w:val="5FF67715"/>
    <w:rsid w:val="60975DE2"/>
    <w:rsid w:val="60A800F7"/>
    <w:rsid w:val="62BF3928"/>
    <w:rsid w:val="63B3701E"/>
    <w:rsid w:val="647F5392"/>
    <w:rsid w:val="65E66580"/>
    <w:rsid w:val="664B1D71"/>
    <w:rsid w:val="664B4E8E"/>
    <w:rsid w:val="668636D4"/>
    <w:rsid w:val="67277B67"/>
    <w:rsid w:val="67AA3209"/>
    <w:rsid w:val="698D0931"/>
    <w:rsid w:val="699454D5"/>
    <w:rsid w:val="6A5F268D"/>
    <w:rsid w:val="6A7FE5F3"/>
    <w:rsid w:val="6AC91545"/>
    <w:rsid w:val="6B053271"/>
    <w:rsid w:val="6BDD78B3"/>
    <w:rsid w:val="6C4A05C8"/>
    <w:rsid w:val="6C8742B8"/>
    <w:rsid w:val="6CBA14E3"/>
    <w:rsid w:val="6DBF5E93"/>
    <w:rsid w:val="6DC164CD"/>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504805"/>
    <w:rsid w:val="707376FB"/>
    <w:rsid w:val="712A28F1"/>
    <w:rsid w:val="715C0E4B"/>
    <w:rsid w:val="71992E7C"/>
    <w:rsid w:val="72233669"/>
    <w:rsid w:val="72734D90"/>
    <w:rsid w:val="72955DC0"/>
    <w:rsid w:val="73160E6D"/>
    <w:rsid w:val="732D1B74"/>
    <w:rsid w:val="7332FE48"/>
    <w:rsid w:val="73AB61DA"/>
    <w:rsid w:val="73AD73D5"/>
    <w:rsid w:val="73B6EB34"/>
    <w:rsid w:val="73FA497D"/>
    <w:rsid w:val="744731E5"/>
    <w:rsid w:val="74BBD01D"/>
    <w:rsid w:val="74ED5379"/>
    <w:rsid w:val="758518B4"/>
    <w:rsid w:val="75DEEEC2"/>
    <w:rsid w:val="75E32345"/>
    <w:rsid w:val="76E3355F"/>
    <w:rsid w:val="76FF5125"/>
    <w:rsid w:val="776F6FFA"/>
    <w:rsid w:val="778769C8"/>
    <w:rsid w:val="77A75DCA"/>
    <w:rsid w:val="77DC22F5"/>
    <w:rsid w:val="77ED700C"/>
    <w:rsid w:val="77F45452"/>
    <w:rsid w:val="783E271A"/>
    <w:rsid w:val="78616DE9"/>
    <w:rsid w:val="78E84DF7"/>
    <w:rsid w:val="78E875D7"/>
    <w:rsid w:val="79086DAD"/>
    <w:rsid w:val="791E7A43"/>
    <w:rsid w:val="797A5918"/>
    <w:rsid w:val="799D2FE5"/>
    <w:rsid w:val="79D7FD79"/>
    <w:rsid w:val="79EE5BA4"/>
    <w:rsid w:val="7A894339"/>
    <w:rsid w:val="7AA55FA4"/>
    <w:rsid w:val="7AD284E8"/>
    <w:rsid w:val="7AFF7572"/>
    <w:rsid w:val="7B6C7DFB"/>
    <w:rsid w:val="7BBFBED0"/>
    <w:rsid w:val="7BC3E394"/>
    <w:rsid w:val="7C1F3737"/>
    <w:rsid w:val="7CBFC87B"/>
    <w:rsid w:val="7CFE0F48"/>
    <w:rsid w:val="7D272ABC"/>
    <w:rsid w:val="7D3F758A"/>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7FFB590F"/>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收、支决算总计变动情况</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965.33</c:v>
                </c:pt>
                <c:pt idx="1">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1275.42</c:v>
                </c:pt>
                <c:pt idx="1">
                  <c:v>1275.42</c:v>
                </c:pt>
              </c:numCache>
            </c:numRef>
          </c:val>
        </c:ser>
        <c:dLbls>
          <c:showLegendKey val="0"/>
          <c:showVal val="1"/>
          <c:showCatName val="0"/>
          <c:showSerName val="0"/>
          <c:showPercent val="0"/>
          <c:showBubbleSize val="0"/>
        </c:dLbls>
        <c:gapWidth val="219"/>
        <c:overlap val="-27"/>
        <c:axId val="758069340"/>
        <c:axId val="386128868"/>
      </c:barChart>
      <c:catAx>
        <c:axId val="7580693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28868"/>
        <c:crosses val="autoZero"/>
        <c:auto val="1"/>
        <c:lblAlgn val="ctr"/>
        <c:lblOffset val="100"/>
        <c:noMultiLvlLbl val="0"/>
      </c:catAx>
      <c:valAx>
        <c:axId val="3861288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0693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Sheet1!$A$2</c:f>
              <c:strCache>
                <c:ptCount val="1"/>
                <c:pt idx="0">
                  <c:v>本年收入</c:v>
                </c:pt>
              </c:strCache>
            </c:strRef>
          </c:tx>
          <c:spPr/>
          <c:explosion val="0"/>
          <c:dPt>
            <c:idx val="0"/>
            <c:bubble3D val="0"/>
            <c:spPr>
              <a:solidFill>
                <a:schemeClr val="accent1"/>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一般公共预算财政拨款收入</c:v>
                </c:pt>
              </c:strCache>
            </c:strRef>
          </c:cat>
          <c:val>
            <c:numRef>
              <c:f>Sheet1!$B$2</c:f>
              <c:numCache>
                <c:formatCode>General</c:formatCode>
                <c:ptCount val="1"/>
                <c:pt idx="0">
                  <c:v>273.86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045164417486242"/>
          <c:y val="0.79897497741086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265.54</c:v>
                </c:pt>
                <c:pt idx="1">
                  <c:v>699.8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manualLayout>
          <c:layoutTarget val="inner"/>
          <c:xMode val="edge"/>
          <c:yMode val="edge"/>
          <c:x val="0.0722951680672269"/>
          <c:y val="0.147463625639009"/>
          <c:w val="0.900393907563025"/>
          <c:h val="0.666024380652772"/>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财政拨款总收入</c:v>
                </c:pt>
                <c:pt idx="1">
                  <c:v>财政拨款总支出</c:v>
                </c:pt>
              </c:strCache>
            </c:strRef>
          </c:cat>
          <c:val>
            <c:numRef>
              <c:f>Sheet1!$B$2:$B$3</c:f>
              <c:numCache>
                <c:formatCode>General</c:formatCode>
                <c:ptCount val="2"/>
                <c:pt idx="0">
                  <c:v>965.33</c:v>
                </c:pt>
                <c:pt idx="1">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财政拨款总收入</c:v>
                </c:pt>
                <c:pt idx="1">
                  <c:v>财政拨款总支出</c:v>
                </c:pt>
              </c:strCache>
            </c:strRef>
          </c:cat>
          <c:val>
            <c:numRef>
              <c:f>Sheet1!$C$2:$C$3</c:f>
              <c:numCache>
                <c:formatCode>General</c:formatCode>
                <c:ptCount val="2"/>
                <c:pt idx="0">
                  <c:v>1275.42</c:v>
                </c:pt>
                <c:pt idx="1">
                  <c:v>1275.42</c:v>
                </c:pt>
              </c:numCache>
            </c:numRef>
          </c:val>
        </c:ser>
        <c:dLbls>
          <c:showLegendKey val="0"/>
          <c:showVal val="1"/>
          <c:showCatName val="0"/>
          <c:showSerName val="0"/>
          <c:showPercent val="0"/>
          <c:showBubbleSize val="0"/>
        </c:dLbls>
        <c:gapWidth val="219"/>
        <c:overlap val="-27"/>
        <c:axId val="758069340"/>
        <c:axId val="386128868"/>
      </c:barChart>
      <c:catAx>
        <c:axId val="7580693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28868"/>
        <c:crosses val="autoZero"/>
        <c:auto val="1"/>
        <c:lblAlgn val="ctr"/>
        <c:lblOffset val="100"/>
        <c:noMultiLvlLbl val="0"/>
      </c:catAx>
      <c:valAx>
        <c:axId val="3861288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0693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076847020049437"/>
          <c:y val="0.21613436123348"/>
          <c:w val="0.894589398516891"/>
          <c:h val="0.590693832599119"/>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1275.42</c:v>
                </c:pt>
              </c:numCache>
            </c:numRef>
          </c:val>
        </c:ser>
        <c:dLbls>
          <c:showLegendKey val="0"/>
          <c:showVal val="1"/>
          <c:showCatName val="0"/>
          <c:showSerName val="0"/>
          <c:showPercent val="0"/>
          <c:showBubbleSize val="0"/>
        </c:dLbls>
        <c:gapWidth val="219"/>
        <c:overlap val="-27"/>
        <c:axId val="817357738"/>
        <c:axId val="87193509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173577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935091"/>
        <c:crosses val="autoZero"/>
        <c:auto val="1"/>
        <c:lblAlgn val="ctr"/>
        <c:lblOffset val="100"/>
        <c:noMultiLvlLbl val="0"/>
      </c:catAx>
      <c:valAx>
        <c:axId val="8719350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3577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社会保障和就业支出</c:v>
                </c:pt>
                <c:pt idx="1">
                  <c:v>一般公共服务支出</c:v>
                </c:pt>
              </c:strCache>
            </c:strRef>
          </c:cat>
          <c:val>
            <c:numRef>
              <c:f>Sheet1!$B$2:$B$3</c:f>
              <c:numCache>
                <c:formatCode>General</c:formatCode>
                <c:ptCount val="2"/>
                <c:pt idx="0">
                  <c:v>259.53</c:v>
                </c:pt>
                <c:pt idx="1">
                  <c:v>1015.89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4060</Words>
  <Characters>4448</Characters>
  <Lines>61</Lines>
  <Paragraphs>17</Paragraphs>
  <TotalTime>11</TotalTime>
  <ScaleCrop>false</ScaleCrop>
  <LinksUpToDate>false</LinksUpToDate>
  <CharactersWithSpaces>4516</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2026-09-02T02:54:20Z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y fmtid="{D5CDD505-2E9C-101B-9397-08002B2CF9AE}" pid="3" name="ICV">
    <vt:lpwstr>04787F2533EB45DC91BCDE4AB213247F</vt:lpwstr>
  </property>
  <property fmtid="{D5CDD505-2E9C-101B-9397-08002B2CF9AE}" pid="4" name="KSOTemplateDocerSaveRecord">
    <vt:lpwstr>eyJoZGlkIjoiOGM1OWMxMDNjN2VjMGI4NjkyZTgyZjNhOGZkNGQ3MzgiLCJ1c2VySWQiOiIxNDQyNTg2NzE4In0=</vt:lpwstr>
  </property>
</Properties>
</file>