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EBC67">
      <w:pPr>
        <w:pStyle w:val="5"/>
        <w:spacing w:before="93"/>
        <w:jc w:val="center"/>
        <w:rPr>
          <w:rFonts w:hint="eastAsia" w:ascii="Times New Roman" w:eastAsia="方正小标宋简体"/>
          <w:kern w:val="2"/>
          <w:sz w:val="44"/>
          <w:szCs w:val="44"/>
        </w:rPr>
      </w:pPr>
      <w:bookmarkStart w:id="0" w:name="_Toc15396597"/>
      <w:bookmarkStart w:id="1" w:name="_Toc15377193"/>
      <w:bookmarkStart w:id="2" w:name="_Toc15396475"/>
      <w:bookmarkStart w:id="3" w:name="_Toc15377425"/>
      <w:bookmarkStart w:id="4" w:name="_Toc15378441"/>
      <w:bookmarkStart w:id="5" w:name="_Toc15306267"/>
    </w:p>
    <w:p w14:paraId="70BE5091">
      <w:pPr>
        <w:pStyle w:val="5"/>
        <w:spacing w:before="93"/>
        <w:jc w:val="center"/>
        <w:rPr>
          <w:rFonts w:hint="eastAsia" w:ascii="Times New Roman" w:eastAsia="方正小标宋简体"/>
          <w:kern w:val="2"/>
          <w:sz w:val="44"/>
          <w:szCs w:val="44"/>
        </w:rPr>
      </w:pPr>
    </w:p>
    <w:p w14:paraId="2D19C536">
      <w:pPr>
        <w:pStyle w:val="5"/>
        <w:spacing w:before="93"/>
        <w:jc w:val="center"/>
        <w:rPr>
          <w:rFonts w:hint="eastAsia" w:ascii="Times New Roman" w:eastAsia="方正小标宋简体"/>
          <w:kern w:val="2"/>
          <w:sz w:val="44"/>
          <w:szCs w:val="44"/>
        </w:rPr>
      </w:pPr>
    </w:p>
    <w:p w14:paraId="59BE3EA9">
      <w:pPr>
        <w:pStyle w:val="5"/>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rPr>
        <w:t>2025年度</w:t>
      </w:r>
      <w:r>
        <w:rPr>
          <w:rFonts w:hint="eastAsia" w:ascii="Times New Roman" w:eastAsia="方正小标宋简体"/>
          <w:kern w:val="2"/>
          <w:sz w:val="44"/>
          <w:szCs w:val="44"/>
          <w:lang w:eastAsia="zh-CN"/>
        </w:rPr>
        <w:t>四川省</w:t>
      </w:r>
    </w:p>
    <w:p w14:paraId="7EC8E09C">
      <w:pPr>
        <w:pStyle w:val="5"/>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攀枝花市人民政府驻成都办事处</w:t>
      </w:r>
    </w:p>
    <w:p w14:paraId="417E32CB">
      <w:pPr>
        <w:pStyle w:val="5"/>
        <w:spacing w:before="93"/>
        <w:jc w:val="center"/>
        <w:rPr>
          <w:rFonts w:eastAsia="黑体"/>
          <w:sz w:val="48"/>
          <w:szCs w:val="48"/>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ascii="Times New Roman" w:eastAsia="方正小标宋简体"/>
          <w:kern w:val="2"/>
          <w:sz w:val="44"/>
          <w:szCs w:val="44"/>
          <w:lang w:eastAsia="zh-CN"/>
        </w:rPr>
        <w:t>单位决算</w:t>
      </w:r>
    </w:p>
    <w:bookmarkEnd w:id="0"/>
    <w:bookmarkEnd w:id="1"/>
    <w:bookmarkEnd w:id="2"/>
    <w:bookmarkEnd w:id="3"/>
    <w:bookmarkEnd w:id="4"/>
    <w:bookmarkEnd w:id="5"/>
    <w:p w14:paraId="692B38CC">
      <w:pPr>
        <w:widowControl/>
        <w:jc w:val="center"/>
        <w:rPr>
          <w:rFonts w:eastAsia="黑体"/>
          <w:sz w:val="48"/>
          <w:szCs w:val="48"/>
        </w:rPr>
      </w:pPr>
      <w:r>
        <w:rPr>
          <w:rFonts w:hint="eastAsia" w:eastAsia="黑体"/>
          <w:sz w:val="48"/>
          <w:szCs w:val="48"/>
        </w:rPr>
        <w:t>目录</w:t>
      </w:r>
    </w:p>
    <w:p w14:paraId="5F259F13">
      <w:pPr>
        <w:widowControl/>
        <w:jc w:val="center"/>
        <w:rPr>
          <w:rFonts w:eastAsia="黑体" w:cstheme="minorBidi"/>
          <w:sz w:val="28"/>
          <w:szCs w:val="28"/>
        </w:rPr>
      </w:pPr>
    </w:p>
    <w:p w14:paraId="4B3F964B">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p w14:paraId="72939A08"/>
    <w:p w14:paraId="731E1E29">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lang w:val="en-US" w:eastAsia="zh-CN"/>
        </w:rPr>
        <w:t>..................................................................1</w:t>
      </w:r>
    </w:p>
    <w:p w14:paraId="6BB9E4E2">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一、部门职责</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w:t>
      </w:r>
    </w:p>
    <w:p w14:paraId="7C6A30FE">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二、机构设置</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2</w:t>
      </w:r>
    </w:p>
    <w:p w14:paraId="3B0F8461">
      <w:pPr>
        <w:pStyle w:val="12"/>
        <w:adjustRightInd w:val="0"/>
        <w:snapToGrid w:val="0"/>
        <w:spacing w:before="0" w:line="560" w:lineRule="exact"/>
        <w:jc w:val="left"/>
        <w:rPr>
          <w:rFonts w:hint="default"/>
          <w:lang w:val="en-US"/>
        </w:rPr>
      </w:pPr>
      <w:r>
        <w:rPr>
          <w:rFonts w:hint="eastAsia" w:ascii="Times New Roman" w:hAnsi="Times New Roman" w:eastAsia="黑体" w:cs="黑体"/>
          <w:sz w:val="32"/>
          <w:szCs w:val="32"/>
        </w:rPr>
        <w:t>第二部分 2025年度部门决算情况说明</w:t>
      </w:r>
      <w:r>
        <w:rPr>
          <w:rFonts w:hint="eastAsia" w:ascii="Times New Roman" w:hAnsi="Times New Roman" w:eastAsia="黑体" w:cs="黑体"/>
          <w:sz w:val="32"/>
          <w:szCs w:val="32"/>
          <w:lang w:val="en-US" w:eastAsia="zh-CN"/>
        </w:rPr>
        <w:t>.................................3</w:t>
      </w:r>
    </w:p>
    <w:p w14:paraId="2C47C21B">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一、收入支出决算总体情况说明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w:t>
      </w:r>
    </w:p>
    <w:p w14:paraId="7D247313">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w:t>
      </w:r>
    </w:p>
    <w:p w14:paraId="34141EC3">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4</w:t>
      </w:r>
    </w:p>
    <w:p w14:paraId="63E72F2C">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四、财政拨款收入支出决算总体情况说明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5</w:t>
      </w:r>
    </w:p>
    <w:p w14:paraId="535CE112">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五、一般公共预算财政拨款支出决算情况说明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5</w:t>
      </w:r>
    </w:p>
    <w:p w14:paraId="1CF3E24C">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8</w:t>
      </w:r>
    </w:p>
    <w:p w14:paraId="12D409A4">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9</w:t>
      </w:r>
    </w:p>
    <w:p w14:paraId="23BEE12C">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10</w:t>
      </w:r>
    </w:p>
    <w:p w14:paraId="7067D1A9">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九、国有资本经营预算支出决算情况说明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10</w:t>
      </w:r>
    </w:p>
    <w:p w14:paraId="16F9DA82">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十、其他重要事项的情况说明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11</w:t>
      </w:r>
    </w:p>
    <w:p w14:paraId="79231ABE">
      <w:pPr>
        <w:pStyle w:val="12"/>
        <w:adjustRightInd w:val="0"/>
        <w:snapToGrid w:val="0"/>
        <w:spacing w:before="0" w:line="560" w:lineRule="exact"/>
        <w:jc w:val="left"/>
        <w:rPr>
          <w:rFonts w:hint="eastAsia"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................................................................1</w:t>
      </w:r>
      <w:r>
        <w:rPr>
          <w:rFonts w:hint="eastAsia" w:eastAsia="黑体" w:cs="黑体"/>
          <w:sz w:val="32"/>
          <w:szCs w:val="32"/>
          <w:lang w:val="en-US" w:eastAsia="zh-CN"/>
        </w:rPr>
        <w:t>2</w:t>
      </w:r>
    </w:p>
    <w:p w14:paraId="11CD2CFF">
      <w:pPr>
        <w:pStyle w:val="12"/>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16</w:t>
      </w:r>
    </w:p>
    <w:p w14:paraId="2750CF23">
      <w:pPr>
        <w:pStyle w:val="12"/>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........................................................................17</w:t>
      </w:r>
    </w:p>
    <w:p w14:paraId="2D0120C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hint="eastAsia" w:ascii="Times New Roman" w:hAnsi="Times New Roman" w:eastAsia="黑体" w:cs="黑体"/>
          <w:sz w:val="32"/>
          <w:szCs w:val="32"/>
          <w:lang w:val="en-US" w:eastAsia="zh-CN"/>
        </w:rPr>
        <w:t>..................................................17</w:t>
      </w:r>
    </w:p>
    <w:p w14:paraId="1FC8609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hint="eastAsia" w:ascii="Times New Roman" w:hAnsi="Times New Roman" w:eastAsia="黑体" w:cs="黑体"/>
          <w:sz w:val="32"/>
          <w:szCs w:val="32"/>
          <w:lang w:val="en-US" w:eastAsia="zh-CN"/>
        </w:rPr>
        <w:t>..............................................................17</w:t>
      </w:r>
    </w:p>
    <w:p w14:paraId="0C62ABD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hint="eastAsia" w:ascii="Times New Roman" w:hAnsi="Times New Roman" w:eastAsia="黑体" w:cs="黑体"/>
          <w:sz w:val="32"/>
          <w:szCs w:val="32"/>
          <w:lang w:val="en-US" w:eastAsia="zh-CN"/>
        </w:rPr>
        <w:t>..............................................................17</w:t>
      </w:r>
    </w:p>
    <w:p w14:paraId="56FEF63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..17</w:t>
      </w:r>
    </w:p>
    <w:p w14:paraId="2EF05D4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......17</w:t>
      </w:r>
    </w:p>
    <w:p w14:paraId="28E0B56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bookmarkStart w:id="61" w:name="_GoBack"/>
      <w:bookmarkEnd w:id="61"/>
      <w:r>
        <w:rPr>
          <w:rFonts w:hint="eastAsia" w:ascii="Times New Roman" w:hAnsi="Times New Roman" w:eastAsia="黑体" w:cs="黑体"/>
          <w:sz w:val="32"/>
          <w:szCs w:val="32"/>
          <w:lang w:val="en-US" w:eastAsia="zh-CN"/>
        </w:rPr>
        <w:t>....17</w:t>
      </w:r>
    </w:p>
    <w:p w14:paraId="1715418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..17</w:t>
      </w:r>
    </w:p>
    <w:p w14:paraId="3116F15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hint="eastAsia" w:ascii="Times New Roman" w:hAnsi="Times New Roman" w:eastAsia="黑体" w:cs="黑体"/>
          <w:sz w:val="32"/>
          <w:szCs w:val="32"/>
          <w:lang w:val="en-US" w:eastAsia="zh-CN"/>
        </w:rPr>
        <w:t>......17</w:t>
      </w:r>
    </w:p>
    <w:p w14:paraId="2F038B5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hint="eastAsia" w:ascii="Times New Roman" w:hAnsi="Times New Roman" w:eastAsia="黑体" w:cs="黑体"/>
          <w:sz w:val="32"/>
          <w:szCs w:val="32"/>
          <w:lang w:val="en-US" w:eastAsia="zh-CN"/>
        </w:rPr>
        <w:t>..............17</w:t>
      </w:r>
    </w:p>
    <w:p w14:paraId="06759EE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hint="eastAsia" w:ascii="Times New Roman" w:hAnsi="Times New Roman" w:eastAsia="黑体" w:cs="黑体"/>
          <w:sz w:val="32"/>
          <w:szCs w:val="32"/>
          <w:lang w:val="en-US" w:eastAsia="zh-CN"/>
        </w:rPr>
        <w:t>..........17</w:t>
      </w:r>
    </w:p>
    <w:p w14:paraId="47ADB75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rFonts w:hint="eastAsia" w:ascii="Times New Roman" w:hAnsi="Times New Roman" w:eastAsia="黑体" w:cs="黑体"/>
          <w:sz w:val="32"/>
          <w:szCs w:val="32"/>
          <w:lang w:val="en-US" w:eastAsia="zh-CN"/>
        </w:rPr>
        <w:t>..17</w:t>
      </w:r>
    </w:p>
    <w:p w14:paraId="6CD1C05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rPr>
          <w:rFonts w:hint="eastAsia" w:ascii="Times New Roman" w:hAnsi="Times New Roman" w:eastAsia="黑体" w:cs="黑体"/>
          <w:sz w:val="32"/>
          <w:szCs w:val="32"/>
          <w:lang w:val="en-US" w:eastAsia="zh-CN"/>
        </w:rPr>
        <w:t>..........17</w:t>
      </w:r>
    </w:p>
    <w:p w14:paraId="49A6D0A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....17</w:t>
      </w:r>
    </w:p>
    <w:p w14:paraId="1B996BBD">
      <w:pPr>
        <w:pStyle w:val="2"/>
        <w:jc w:val="center"/>
        <w:rPr>
          <w:rFonts w:hint="eastAsia" w:eastAsia="方正小标宋简体" w:cs="方正小标宋简体"/>
          <w:b w:val="0"/>
        </w:rPr>
      </w:pPr>
      <w:bookmarkStart w:id="6" w:name="_Toc15396599"/>
      <w:bookmarkStart w:id="7" w:name="_Toc15377196"/>
    </w:p>
    <w:p w14:paraId="5C4ECD22">
      <w:pPr>
        <w:pStyle w:val="2"/>
        <w:jc w:val="center"/>
        <w:rPr>
          <w:rFonts w:hint="eastAsia" w:eastAsia="方正小标宋简体" w:cs="方正小标宋简体"/>
          <w:b w:val="0"/>
        </w:rPr>
      </w:pPr>
    </w:p>
    <w:p w14:paraId="68D184BA">
      <w:pPr>
        <w:pStyle w:val="2"/>
        <w:jc w:val="center"/>
        <w:rPr>
          <w:rFonts w:hint="eastAsia" w:eastAsia="方正小标宋简体" w:cs="方正小标宋简体"/>
          <w:b w:val="0"/>
        </w:rPr>
      </w:pPr>
    </w:p>
    <w:p w14:paraId="43D86EF6">
      <w:pPr>
        <w:pStyle w:val="2"/>
        <w:jc w:val="both"/>
        <w:rPr>
          <w:rFonts w:hint="eastAsia" w:eastAsia="方正小标宋简体" w:cs="方正小标宋简体"/>
          <w:b w:val="0"/>
        </w:rPr>
      </w:pPr>
    </w:p>
    <w:p w14:paraId="1B061321">
      <w:pPr>
        <w:rPr>
          <w:rFonts w:hint="eastAsia" w:eastAsia="方正小标宋简体" w:cs="方正小标宋简体"/>
          <w:b w:val="0"/>
        </w:rPr>
      </w:pPr>
    </w:p>
    <w:p w14:paraId="5B4B5CE8">
      <w:pPr>
        <w:rPr>
          <w:rFonts w:hint="eastAsia" w:eastAsia="方正小标宋简体" w:cs="方正小标宋简体"/>
          <w:b w:val="0"/>
        </w:rPr>
      </w:pPr>
    </w:p>
    <w:p w14:paraId="3187C83E">
      <w:pPr>
        <w:rPr>
          <w:rFonts w:hint="eastAsia" w:eastAsia="方正小标宋简体" w:cs="方正小标宋简体"/>
          <w:b w:val="0"/>
        </w:rPr>
      </w:pPr>
    </w:p>
    <w:p w14:paraId="461E5814">
      <w:pPr>
        <w:rPr>
          <w:rFonts w:hint="eastAsia" w:eastAsia="方正小标宋简体" w:cs="方正小标宋简体"/>
          <w:b w:val="0"/>
        </w:rPr>
      </w:pPr>
    </w:p>
    <w:p w14:paraId="7603666F">
      <w:pPr>
        <w:rPr>
          <w:rFonts w:hint="eastAsia" w:eastAsia="方正小标宋简体" w:cs="方正小标宋简体"/>
          <w:b w:val="0"/>
        </w:rPr>
      </w:pPr>
    </w:p>
    <w:p w14:paraId="14839634">
      <w:pPr>
        <w:rPr>
          <w:rFonts w:hint="eastAsia" w:eastAsia="方正小标宋简体" w:cs="方正小标宋简体"/>
          <w:b w:val="0"/>
        </w:rPr>
      </w:pPr>
    </w:p>
    <w:p w14:paraId="1F701235">
      <w:pPr>
        <w:pStyle w:val="2"/>
        <w:jc w:val="center"/>
        <w:rPr>
          <w:rFonts w:hint="eastAsia" w:eastAsia="方正小标宋简体" w:cs="方正小标宋简体"/>
          <w:b w:val="0"/>
        </w:rPr>
        <w:sectPr>
          <w:footerReference r:id="rId7" w:type="first"/>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14:paraId="07D68F4A">
      <w:pPr>
        <w:pStyle w:val="2"/>
        <w:jc w:val="center"/>
        <w:rPr>
          <w:rFonts w:eastAsia="黑体"/>
          <w:sz w:val="32"/>
          <w:szCs w:val="32"/>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6"/>
      <w:bookmarkEnd w:id="7"/>
    </w:p>
    <w:p w14:paraId="02AEDE85">
      <w:pPr>
        <w:pStyle w:val="3"/>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792E9C8D">
      <w:pPr>
        <w:numPr>
          <w:ilvl w:val="0"/>
          <w:numId w:val="0"/>
        </w:num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负责川、渝地区的联络。负责与省级机关、重庆市、成都市的联系；积极向上争取政策、项目、资金；宣传介绍攀枝花的政治、经济和社会发展情况，促进城市间的相互了解和友好往来；参与我市在成都、重庆进行的有关重大活动的组织协调和服务工作。</w:t>
      </w:r>
    </w:p>
    <w:p w14:paraId="411E86D6">
      <w:pPr>
        <w:numPr>
          <w:ilvl w:val="0"/>
          <w:numId w:val="0"/>
        </w:num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（2）加强调查研究，收集、整理和传递重要的政务、经济信息，为市委、市政府决策提供参考依据，为市级部门、县（区）和企业提供信息咨询服务。</w:t>
      </w:r>
    </w:p>
    <w:p w14:paraId="481C5E07">
      <w:pPr>
        <w:numPr>
          <w:ilvl w:val="0"/>
          <w:numId w:val="0"/>
        </w:num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（3）开展招商引资和区域间经济、技术、人才、文化的交流与合作；围绕我市经济发展的支柱产业和重点项目，积极开展招商引资活动，着力引进技术和资金，同时协助市内企业拓展市外市场。</w:t>
      </w:r>
    </w:p>
    <w:p w14:paraId="68F36350">
      <w:pPr>
        <w:numPr>
          <w:ilvl w:val="0"/>
          <w:numId w:val="0"/>
        </w:num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（4）负责协调县（区）驻蓉办事处（联络处）的关系和业务指导。</w:t>
      </w:r>
    </w:p>
    <w:p w14:paraId="51D2BA38">
      <w:pPr>
        <w:numPr>
          <w:ilvl w:val="0"/>
          <w:numId w:val="0"/>
        </w:num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（5）负责市级领导赴蓉及途经成都的接待工作，为市级各部门、县（区）和企事业单位在成都开展业务活动提供咨询服务和工作方便。</w:t>
      </w:r>
      <w:r>
        <w:rPr>
          <w:rFonts w:hint="eastAsia" w:ascii="仿宋_GB2312" w:hAnsi="仿宋" w:eastAsia="仿宋_GB2312" w:cs="Times New Roman"/>
          <w:sz w:val="32"/>
          <w:szCs w:val="32"/>
          <w:lang w:val="en-US" w:eastAsia="zh-CN"/>
        </w:rPr>
        <w:br w:type="textWrapping"/>
      </w:r>
      <w:r>
        <w:rPr>
          <w:rFonts w:hint="eastAsia" w:ascii="仿宋_GB2312" w:hAnsi="仿宋" w:eastAsia="仿宋_GB2312" w:cs="Times New Roman"/>
          <w:sz w:val="32"/>
          <w:szCs w:val="32"/>
          <w:lang w:val="en-US" w:eastAsia="zh-CN"/>
        </w:rPr>
        <w:t>      （6）负责与攀枝花调到成都和离退休后到成都定居的领导和干部的联系，为我市的经济建设和社会发展服务。</w:t>
      </w:r>
    </w:p>
    <w:p w14:paraId="05C49588">
      <w:pPr>
        <w:numPr>
          <w:ilvl w:val="0"/>
          <w:numId w:val="0"/>
        </w:num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（7）协助市级有关部门做好本市人员到蓉上访的处置工作。</w:t>
      </w:r>
    </w:p>
    <w:p w14:paraId="76795F1B">
      <w:p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（8）负责对办事处及所属单位的财产进行监督管理，保证国有资产保值增值。</w:t>
      </w:r>
      <w:r>
        <w:rPr>
          <w:rFonts w:hint="eastAsia" w:ascii="仿宋_GB2312" w:hAnsi="仿宋" w:eastAsia="仿宋_GB2312" w:cs="Times New Roman"/>
          <w:sz w:val="32"/>
          <w:szCs w:val="32"/>
          <w:lang w:val="en-US" w:eastAsia="zh-CN"/>
        </w:rPr>
        <w:br w:type="textWrapping"/>
      </w:r>
      <w:r>
        <w:rPr>
          <w:rFonts w:hint="eastAsia" w:ascii="仿宋_GB2312" w:hAnsi="仿宋" w:eastAsia="仿宋_GB2312" w:cs="Times New Roman"/>
          <w:sz w:val="32"/>
          <w:szCs w:val="32"/>
          <w:lang w:val="en-US" w:eastAsia="zh-CN"/>
        </w:rPr>
        <w:t>      （9）承办市委、市政府和主管部门交办的其它事宜。</w:t>
      </w:r>
      <w:bookmarkStart w:id="8" w:name="_Toc15377200"/>
      <w:bookmarkStart w:id="9" w:name="_Toc15396601"/>
    </w:p>
    <w:p w14:paraId="0F758094">
      <w:pPr>
        <w:pStyle w:val="3"/>
        <w:ind w:firstLine="640" w:firstLineChars="200"/>
        <w:rPr>
          <w:rFonts w:hint="eastAsia" w:ascii="Times New Roman" w:hAnsi="Times New Roman" w:eastAsia="黑体"/>
          <w:b w:val="0"/>
        </w:rPr>
      </w:pPr>
      <w:r>
        <w:rPr>
          <w:rFonts w:hint="eastAsia" w:ascii="Times New Roman" w:hAnsi="Times New Roman" w:eastAsia="黑体"/>
          <w:b w:val="0"/>
        </w:rPr>
        <w:t>二、机构设置</w:t>
      </w:r>
      <w:bookmarkEnd w:id="8"/>
      <w:bookmarkEnd w:id="9"/>
    </w:p>
    <w:p w14:paraId="0F5182B3">
      <w:pPr>
        <w:pStyle w:val="3"/>
        <w:ind w:firstLine="640" w:firstLineChars="200"/>
        <w:rPr>
          <w:rFonts w:hint="eastAsia" w:ascii="仿宋_GB2312" w:hAnsi="仿宋" w:eastAsia="仿宋_GB2312" w:cs="Times New Roman"/>
          <w:b w:val="0"/>
          <w:bCs w:val="0"/>
          <w:kern w:val="2"/>
          <w:sz w:val="32"/>
          <w:szCs w:val="32"/>
          <w:lang w:val="en-US" w:eastAsia="zh-CN" w:bidi="ar-SA"/>
        </w:rPr>
      </w:pPr>
      <w:r>
        <w:rPr>
          <w:rFonts w:hint="eastAsia" w:ascii="仿宋_GB2312" w:hAnsi="仿宋" w:eastAsia="仿宋_GB2312" w:cs="Times New Roman"/>
          <w:b w:val="0"/>
          <w:bCs w:val="0"/>
          <w:kern w:val="2"/>
          <w:sz w:val="32"/>
          <w:szCs w:val="32"/>
          <w:lang w:val="en-US" w:eastAsia="zh-CN" w:bidi="ar-SA"/>
        </w:rPr>
        <w:t>攀枝花市人民政府驻成都办事处（以下简称市成办）2025年机构未发生变化，仍是内设处室“三科一办”，即党委办公室、综合科、经济联络信息科、接待管理科，另外还挂有“中共攀枝花市委组织部驻成都流动党员服务站”、“共青团攀枝花市委驻成都工作委员会”和“攀枝花市驻成都群众工作站”等三个牌子。</w:t>
      </w:r>
    </w:p>
    <w:p w14:paraId="6700F32D">
      <w:pPr>
        <w:pStyle w:val="2"/>
        <w:jc w:val="center"/>
        <w:rPr>
          <w:rFonts w:hint="eastAsia" w:eastAsia="方正小标宋简体" w:cs="方正小标宋简体"/>
          <w:b w:val="0"/>
        </w:rPr>
      </w:pPr>
      <w:bookmarkStart w:id="10" w:name="_Toc15396602"/>
      <w:bookmarkStart w:id="11" w:name="_Toc15377204"/>
    </w:p>
    <w:p w14:paraId="3EFADAD9">
      <w:pPr>
        <w:rPr>
          <w:rFonts w:hint="eastAsia" w:eastAsia="方正小标宋简体" w:cs="方正小标宋简体"/>
          <w:b w:val="0"/>
        </w:rPr>
      </w:pPr>
      <w:r>
        <w:rPr>
          <w:rFonts w:hint="eastAsia" w:eastAsia="方正小标宋简体" w:cs="方正小标宋简体"/>
          <w:b w:val="0"/>
        </w:rPr>
        <w:br w:type="page"/>
      </w:r>
    </w:p>
    <w:p w14:paraId="79CDE06D">
      <w:pPr>
        <w:pStyle w:val="2"/>
        <w:jc w:val="center"/>
      </w:pPr>
      <w:r>
        <w:rPr>
          <w:rFonts w:hint="eastAsia" w:eastAsia="方正小标宋简体" w:cs="方正小标宋简体"/>
          <w:b w:val="0"/>
        </w:rPr>
        <w:t>第二部分  2025年度部门决算情况说明</w:t>
      </w:r>
      <w:bookmarkEnd w:id="10"/>
      <w:bookmarkEnd w:id="11"/>
    </w:p>
    <w:p w14:paraId="06421C44">
      <w:pPr>
        <w:pStyle w:val="27"/>
        <w:spacing w:line="600" w:lineRule="exact"/>
        <w:ind w:firstLine="640"/>
        <w:outlineLvl w:val="1"/>
        <w:rPr>
          <w:rStyle w:val="29"/>
          <w:rFonts w:ascii="Times New Roman" w:hAnsi="Times New Roman" w:eastAsia="黑体"/>
          <w:b w:val="0"/>
        </w:rPr>
      </w:pPr>
      <w:bookmarkStart w:id="12" w:name="_Toc15377205"/>
      <w:bookmarkStart w:id="13"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2"/>
      <w:bookmarkEnd w:id="13"/>
    </w:p>
    <w:p w14:paraId="7D573720">
      <w:pPr>
        <w:numPr>
          <w:ilvl w:val="0"/>
          <w:numId w:val="0"/>
        </w:num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593.72</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45.68</w:t>
      </w:r>
      <w:r>
        <w:rPr>
          <w:rFonts w:hint="eastAsia" w:eastAsia="仿宋_GB2312" w:cs="仿宋_GB2312"/>
          <w:sz w:val="32"/>
          <w:szCs w:val="32"/>
        </w:rPr>
        <w:t>万元，增长</w:t>
      </w:r>
      <w:r>
        <w:rPr>
          <w:rFonts w:hint="eastAsia" w:eastAsia="仿宋_GB2312" w:cs="仿宋_GB2312"/>
          <w:sz w:val="32"/>
          <w:szCs w:val="32"/>
          <w:lang w:val="en-US" w:eastAsia="zh-CN"/>
        </w:rPr>
        <w:t>8.34</w:t>
      </w:r>
      <w:r>
        <w:rPr>
          <w:rFonts w:hint="eastAsia" w:eastAsia="仿宋_GB2312" w:cs="仿宋_GB2312"/>
          <w:sz w:val="32"/>
          <w:szCs w:val="32"/>
        </w:rPr>
        <w:t>%。主要变动原因是</w:t>
      </w:r>
      <w:r>
        <w:rPr>
          <w:rFonts w:hint="eastAsia" w:eastAsia="仿宋_GB2312" w:cs="仿宋_GB2312"/>
          <w:sz w:val="32"/>
          <w:szCs w:val="32"/>
          <w:lang w:eastAsia="zh-CN"/>
        </w:rPr>
        <w:t>本年度</w:t>
      </w:r>
      <w:r>
        <w:rPr>
          <w:rFonts w:hint="eastAsia" w:eastAsia="仿宋_GB2312" w:cs="仿宋_GB2312"/>
          <w:sz w:val="32"/>
          <w:szCs w:val="32"/>
          <w:lang w:val="en-US" w:eastAsia="zh-CN"/>
        </w:rPr>
        <w:t>调入2人，相应的人员经费和公用经费增加</w:t>
      </w:r>
      <w:r>
        <w:rPr>
          <w:rFonts w:hint="eastAsia" w:ascii="仿宋_GB2312" w:hAnsi="仿宋" w:eastAsia="仿宋_GB2312" w:cs="Times New Roman"/>
          <w:sz w:val="32"/>
          <w:szCs w:val="32"/>
          <w:lang w:val="en-US" w:eastAsia="zh-CN"/>
        </w:rPr>
        <w:t>。</w:t>
      </w:r>
    </w:p>
    <w:p w14:paraId="10B15A40">
      <w:pPr>
        <w:numPr>
          <w:ilvl w:val="0"/>
          <w:numId w:val="0"/>
        </w:numPr>
        <w:snapToGrid w:val="0"/>
        <w:spacing w:line="240" w:lineRule="auto"/>
        <w:jc w:val="center"/>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drawing>
          <wp:inline distT="0" distB="0" distL="114300" distR="114300">
            <wp:extent cx="5104765" cy="2904490"/>
            <wp:effectExtent l="0" t="0" r="635" b="10160"/>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10"/>
                    <a:stretch>
                      <a:fillRect/>
                    </a:stretch>
                  </pic:blipFill>
                  <pic:spPr>
                    <a:xfrm>
                      <a:off x="0" y="0"/>
                      <a:ext cx="5104765" cy="2904490"/>
                    </a:xfrm>
                    <a:prstGeom prst="rect">
                      <a:avLst/>
                    </a:prstGeom>
                  </pic:spPr>
                </pic:pic>
              </a:graphicData>
            </a:graphic>
          </wp:inline>
        </w:drawing>
      </w:r>
    </w:p>
    <w:p w14:paraId="27805118">
      <w:pPr>
        <w:pStyle w:val="27"/>
        <w:spacing w:line="600" w:lineRule="exact"/>
        <w:ind w:left="0" w:leftChars="0" w:firstLine="0" w:firstLineChars="0"/>
        <w:jc w:val="center"/>
        <w:outlineLvl w:val="1"/>
        <w:rPr>
          <w:rFonts w:eastAsia="仿宋_GB2312" w:cs="仿宋_GB2312"/>
          <w:sz w:val="32"/>
          <w:szCs w:val="32"/>
        </w:rPr>
      </w:pPr>
      <w:r>
        <w:rPr>
          <w:rFonts w:hint="eastAsia" w:eastAsia="仿宋_GB2312" w:cs="仿宋_GB2312"/>
          <w:sz w:val="32"/>
          <w:szCs w:val="32"/>
        </w:rPr>
        <w:t>（图1：收入、支出决算总计变动情况图）</w:t>
      </w:r>
    </w:p>
    <w:p w14:paraId="47FF5CC1">
      <w:pPr>
        <w:pStyle w:val="27"/>
        <w:spacing w:line="600" w:lineRule="exact"/>
        <w:ind w:firstLine="640"/>
        <w:outlineLvl w:val="1"/>
        <w:rPr>
          <w:rFonts w:eastAsia="黑体"/>
          <w:sz w:val="32"/>
          <w:szCs w:val="32"/>
        </w:rPr>
      </w:pPr>
      <w:bookmarkStart w:id="14" w:name="_Toc15377206"/>
      <w:bookmarkStart w:id="15" w:name="_Toc15396604"/>
      <w:r>
        <w:rPr>
          <w:rFonts w:hint="eastAsia" w:eastAsia="黑体"/>
          <w:sz w:val="32"/>
          <w:szCs w:val="32"/>
        </w:rPr>
        <w:t>二、收入决算情况说明</w:t>
      </w:r>
      <w:bookmarkEnd w:id="14"/>
      <w:bookmarkEnd w:id="15"/>
    </w:p>
    <w:p w14:paraId="18891E21">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593.72</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593.72</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%；政府性基金预算财政拨款收入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%；国有资本经营预算财政拨款收入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%；上级补助收入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%；事业收入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%；附属单位上缴收入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%；其他收入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14:paraId="3028CC27">
      <w:pPr>
        <w:pStyle w:val="27"/>
        <w:spacing w:line="240" w:lineRule="auto"/>
        <w:ind w:left="0" w:leftChars="0" w:firstLine="0" w:firstLineChars="0"/>
        <w:jc w:val="center"/>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700" cy="2838450"/>
            <wp:effectExtent l="0" t="0" r="0" b="0"/>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11"/>
                    <a:stretch>
                      <a:fillRect/>
                    </a:stretch>
                  </pic:blipFill>
                  <pic:spPr>
                    <a:xfrm>
                      <a:off x="0" y="0"/>
                      <a:ext cx="4838700" cy="2838450"/>
                    </a:xfrm>
                    <a:prstGeom prst="rect">
                      <a:avLst/>
                    </a:prstGeom>
                  </pic:spPr>
                </pic:pic>
              </a:graphicData>
            </a:graphic>
          </wp:inline>
        </w:drawing>
      </w:r>
    </w:p>
    <w:p w14:paraId="301B4031">
      <w:pPr>
        <w:pStyle w:val="27"/>
        <w:spacing w:line="600" w:lineRule="exact"/>
        <w:ind w:left="0" w:leftChars="0" w:firstLine="0" w:firstLineChars="0"/>
        <w:jc w:val="center"/>
        <w:outlineLvl w:val="1"/>
        <w:rPr>
          <w:rFonts w:eastAsia="仿宋_GB2312" w:cs="仿宋_GB2312"/>
          <w:sz w:val="32"/>
          <w:szCs w:val="32"/>
        </w:rPr>
      </w:pPr>
      <w:r>
        <w:rPr>
          <w:rFonts w:hint="eastAsia" w:eastAsia="仿宋_GB2312" w:cs="仿宋_GB2312"/>
          <w:sz w:val="32"/>
          <w:szCs w:val="32"/>
        </w:rPr>
        <w:t>（图2：收入决算结构图）</w:t>
      </w:r>
    </w:p>
    <w:p w14:paraId="72B325EE">
      <w:pPr>
        <w:pStyle w:val="27"/>
        <w:spacing w:line="600" w:lineRule="exact"/>
        <w:ind w:firstLine="640"/>
        <w:outlineLvl w:val="1"/>
        <w:rPr>
          <w:rStyle w:val="29"/>
          <w:rFonts w:ascii="Times New Roman" w:hAnsi="Times New Roman" w:eastAsia="黑体"/>
          <w:b w:val="0"/>
        </w:rPr>
      </w:pPr>
      <w:bookmarkStart w:id="16" w:name="_Toc15377207"/>
      <w:bookmarkStart w:id="17" w:name="_Toc15396605"/>
      <w:r>
        <w:rPr>
          <w:rFonts w:hint="eastAsia" w:eastAsia="黑体"/>
          <w:sz w:val="32"/>
          <w:szCs w:val="32"/>
        </w:rPr>
        <w:t>三、支</w:t>
      </w:r>
      <w:r>
        <w:rPr>
          <w:rStyle w:val="29"/>
          <w:rFonts w:hint="eastAsia" w:ascii="Times New Roman" w:hAnsi="Times New Roman" w:eastAsia="黑体"/>
          <w:b w:val="0"/>
        </w:rPr>
        <w:t>出决算情况说明</w:t>
      </w:r>
      <w:bookmarkEnd w:id="16"/>
      <w:bookmarkEnd w:id="17"/>
    </w:p>
    <w:p w14:paraId="34BA2E6A">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2025年度本年支出合计</w:t>
      </w:r>
      <w:r>
        <w:rPr>
          <w:rFonts w:hint="eastAsia" w:eastAsia="仿宋_GB2312" w:cs="仿宋_GB2312"/>
          <w:sz w:val="32"/>
          <w:szCs w:val="32"/>
          <w:lang w:val="en-US" w:eastAsia="zh-CN"/>
        </w:rPr>
        <w:t>593.72</w:t>
      </w:r>
      <w:r>
        <w:rPr>
          <w:rFonts w:hint="eastAsia" w:eastAsia="仿宋_GB2312" w:cs="仿宋_GB2312"/>
          <w:sz w:val="32"/>
          <w:szCs w:val="32"/>
        </w:rPr>
        <w:t>万元，其中：基本支出</w:t>
      </w:r>
      <w:r>
        <w:rPr>
          <w:rFonts w:hint="eastAsia" w:eastAsia="仿宋_GB2312" w:cs="仿宋_GB2312"/>
          <w:sz w:val="32"/>
          <w:szCs w:val="32"/>
          <w:lang w:val="en-US" w:eastAsia="zh-CN"/>
        </w:rPr>
        <w:t>585.72</w:t>
      </w:r>
      <w:r>
        <w:rPr>
          <w:rFonts w:hint="eastAsia" w:eastAsia="仿宋_GB2312" w:cs="仿宋_GB2312"/>
          <w:sz w:val="32"/>
          <w:szCs w:val="32"/>
        </w:rPr>
        <w:t>万元，占</w:t>
      </w:r>
      <w:r>
        <w:rPr>
          <w:rFonts w:hint="eastAsia" w:eastAsia="仿宋_GB2312" w:cs="仿宋_GB2312"/>
          <w:sz w:val="32"/>
          <w:szCs w:val="32"/>
          <w:lang w:val="en-US" w:eastAsia="zh-CN"/>
        </w:rPr>
        <w:t>98.65</w:t>
      </w:r>
      <w:r>
        <w:rPr>
          <w:rFonts w:hint="eastAsia" w:eastAsia="仿宋_GB2312" w:cs="仿宋_GB2312"/>
          <w:sz w:val="32"/>
          <w:szCs w:val="32"/>
        </w:rPr>
        <w:t>%；项目支出</w:t>
      </w:r>
      <w:r>
        <w:rPr>
          <w:rFonts w:hint="eastAsia" w:eastAsia="仿宋_GB2312" w:cs="仿宋_GB2312"/>
          <w:sz w:val="32"/>
          <w:szCs w:val="32"/>
          <w:lang w:val="en-US" w:eastAsia="zh-CN"/>
        </w:rPr>
        <w:t>8</w:t>
      </w:r>
      <w:r>
        <w:rPr>
          <w:rFonts w:hint="eastAsia" w:eastAsia="仿宋_GB2312" w:cs="仿宋_GB2312"/>
          <w:sz w:val="32"/>
          <w:szCs w:val="32"/>
        </w:rPr>
        <w:t>万元，占</w:t>
      </w:r>
      <w:r>
        <w:rPr>
          <w:rFonts w:hint="eastAsia" w:eastAsia="仿宋_GB2312" w:cs="仿宋_GB2312"/>
          <w:sz w:val="32"/>
          <w:szCs w:val="32"/>
          <w:lang w:val="en-US" w:eastAsia="zh-CN"/>
        </w:rPr>
        <w:t>1.35</w:t>
      </w:r>
      <w:r>
        <w:rPr>
          <w:rFonts w:hint="eastAsia" w:eastAsia="仿宋_GB2312" w:cs="仿宋_GB2312"/>
          <w:sz w:val="32"/>
          <w:szCs w:val="32"/>
        </w:rPr>
        <w:t>%；上缴上级支出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%；对附属单位补助支出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14:paraId="51CC60BD">
      <w:pPr>
        <w:pStyle w:val="27"/>
        <w:spacing w:line="240" w:lineRule="auto"/>
        <w:ind w:left="0" w:leftChars="0" w:firstLine="0" w:firstLineChars="0"/>
        <w:jc w:val="center"/>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700" cy="2838450"/>
            <wp:effectExtent l="0" t="0" r="0" b="0"/>
            <wp:docPr id="4" name="图片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
                    <pic:cNvPicPr>
                      <a:picLocks noChangeAspect="1"/>
                    </pic:cNvPicPr>
                  </pic:nvPicPr>
                  <pic:blipFill>
                    <a:blip r:embed="rId12"/>
                    <a:stretch>
                      <a:fillRect/>
                    </a:stretch>
                  </pic:blipFill>
                  <pic:spPr>
                    <a:xfrm>
                      <a:off x="0" y="0"/>
                      <a:ext cx="4838700" cy="2838450"/>
                    </a:xfrm>
                    <a:prstGeom prst="rect">
                      <a:avLst/>
                    </a:prstGeom>
                  </pic:spPr>
                </pic:pic>
              </a:graphicData>
            </a:graphic>
          </wp:inline>
        </w:drawing>
      </w:r>
    </w:p>
    <w:p w14:paraId="50E9A3B7">
      <w:pPr>
        <w:pStyle w:val="27"/>
        <w:spacing w:line="600" w:lineRule="exact"/>
        <w:ind w:left="0" w:leftChars="0" w:firstLine="0" w:firstLineChars="0"/>
        <w:jc w:val="center"/>
        <w:outlineLvl w:val="1"/>
        <w:rPr>
          <w:rFonts w:eastAsia="仿宋_GB2312" w:cs="仿宋_GB2312"/>
          <w:sz w:val="32"/>
          <w:szCs w:val="32"/>
        </w:rPr>
      </w:pPr>
      <w:r>
        <w:rPr>
          <w:rFonts w:hint="eastAsia" w:eastAsia="仿宋_GB2312" w:cs="仿宋_GB2312"/>
          <w:sz w:val="32"/>
          <w:szCs w:val="32"/>
        </w:rPr>
        <w:t>（图3：支出决算结构图）</w:t>
      </w:r>
    </w:p>
    <w:p w14:paraId="5BC5C5E1">
      <w:pPr>
        <w:spacing w:line="600" w:lineRule="exact"/>
        <w:ind w:firstLine="640" w:firstLineChars="200"/>
        <w:outlineLvl w:val="1"/>
        <w:rPr>
          <w:rStyle w:val="29"/>
          <w:rFonts w:ascii="Times New Roman" w:hAnsi="Times New Roman" w:eastAsia="黑体"/>
          <w:b w:val="0"/>
        </w:rPr>
      </w:pPr>
      <w:bookmarkStart w:id="18" w:name="_Toc15377208"/>
      <w:bookmarkStart w:id="19"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18"/>
      <w:bookmarkEnd w:id="19"/>
    </w:p>
    <w:p w14:paraId="7B2CD665">
      <w:pPr>
        <w:spacing w:line="600" w:lineRule="exact"/>
        <w:ind w:firstLine="640"/>
        <w:rPr>
          <w:rFonts w:hint="eastAsia" w:ascii="仿宋_GB2312" w:hAnsi="仿宋" w:eastAsia="仿宋_GB2312" w:cs="Times New Roman"/>
          <w:sz w:val="32"/>
          <w:szCs w:val="32"/>
          <w:lang w:val="en-US"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593.72</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45.68</w:t>
      </w:r>
      <w:r>
        <w:rPr>
          <w:rFonts w:hint="eastAsia" w:eastAsia="仿宋_GB2312" w:cs="仿宋_GB2312"/>
          <w:sz w:val="32"/>
          <w:szCs w:val="32"/>
        </w:rPr>
        <w:t>万元，增长</w:t>
      </w:r>
      <w:r>
        <w:rPr>
          <w:rFonts w:hint="eastAsia" w:eastAsia="仿宋_GB2312" w:cs="仿宋_GB2312"/>
          <w:sz w:val="32"/>
          <w:szCs w:val="32"/>
          <w:lang w:val="en-US" w:eastAsia="zh-CN"/>
        </w:rPr>
        <w:t>8.34</w:t>
      </w:r>
      <w:r>
        <w:rPr>
          <w:rFonts w:hint="eastAsia" w:eastAsia="仿宋_GB2312" w:cs="仿宋_GB2312"/>
          <w:sz w:val="32"/>
          <w:szCs w:val="32"/>
        </w:rPr>
        <w:t>%。主要变动原因是</w:t>
      </w:r>
      <w:r>
        <w:rPr>
          <w:rFonts w:hint="eastAsia" w:eastAsia="仿宋_GB2312" w:cs="仿宋_GB2312"/>
          <w:sz w:val="32"/>
          <w:szCs w:val="32"/>
          <w:lang w:eastAsia="zh-CN"/>
        </w:rPr>
        <w:t>本年度</w:t>
      </w:r>
      <w:r>
        <w:rPr>
          <w:rFonts w:hint="eastAsia" w:eastAsia="仿宋_GB2312" w:cs="仿宋_GB2312"/>
          <w:sz w:val="32"/>
          <w:szCs w:val="32"/>
          <w:lang w:val="en-US" w:eastAsia="zh-CN"/>
        </w:rPr>
        <w:t>调入2人，相应的人员经费和公用经费增加</w:t>
      </w:r>
      <w:r>
        <w:rPr>
          <w:rFonts w:hint="eastAsia" w:ascii="仿宋_GB2312" w:hAnsi="仿宋" w:eastAsia="仿宋_GB2312" w:cs="Times New Roman"/>
          <w:sz w:val="32"/>
          <w:szCs w:val="32"/>
          <w:lang w:val="en-US" w:eastAsia="zh-CN"/>
        </w:rPr>
        <w:t>。</w:t>
      </w:r>
    </w:p>
    <w:p w14:paraId="4F2934C6">
      <w:pPr>
        <w:spacing w:line="240" w:lineRule="auto"/>
        <w:jc w:val="center"/>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drawing>
          <wp:inline distT="0" distB="0" distL="114300" distR="114300">
            <wp:extent cx="5139690" cy="2924175"/>
            <wp:effectExtent l="0" t="0" r="3810" b="9525"/>
            <wp:docPr id="5" name="图片 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
                    <pic:cNvPicPr>
                      <a:picLocks noChangeAspect="1"/>
                    </pic:cNvPicPr>
                  </pic:nvPicPr>
                  <pic:blipFill>
                    <a:blip r:embed="rId13"/>
                    <a:stretch>
                      <a:fillRect/>
                    </a:stretch>
                  </pic:blipFill>
                  <pic:spPr>
                    <a:xfrm>
                      <a:off x="0" y="0"/>
                      <a:ext cx="5139690" cy="2924175"/>
                    </a:xfrm>
                    <a:prstGeom prst="rect">
                      <a:avLst/>
                    </a:prstGeom>
                  </pic:spPr>
                </pic:pic>
              </a:graphicData>
            </a:graphic>
          </wp:inline>
        </w:drawing>
      </w:r>
    </w:p>
    <w:p w14:paraId="25A9C2E2">
      <w:pPr>
        <w:spacing w:line="600" w:lineRule="exact"/>
        <w:jc w:val="center"/>
        <w:rPr>
          <w:rFonts w:eastAsia="仿宋_GB2312" w:cs="仿宋_GB2312"/>
          <w:sz w:val="32"/>
          <w:szCs w:val="32"/>
        </w:rPr>
      </w:pPr>
      <w:r>
        <w:rPr>
          <w:rFonts w:hint="eastAsia" w:eastAsia="仿宋_GB2312" w:cs="仿宋_GB2312"/>
          <w:sz w:val="32"/>
          <w:szCs w:val="32"/>
        </w:rPr>
        <w:t>（图4：财政拨款收、支决算总计变动情况）</w:t>
      </w:r>
    </w:p>
    <w:p w14:paraId="77E8B7B4">
      <w:pPr>
        <w:spacing w:line="600" w:lineRule="exact"/>
        <w:ind w:firstLine="640" w:firstLineChars="200"/>
        <w:outlineLvl w:val="1"/>
        <w:rPr>
          <w:rStyle w:val="29"/>
          <w:rFonts w:ascii="Times New Roman" w:hAnsi="Times New Roman" w:eastAsia="黑体"/>
          <w:b w:val="0"/>
        </w:rPr>
      </w:pPr>
      <w:bookmarkStart w:id="20" w:name="_Toc15377209"/>
      <w:bookmarkStart w:id="21"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0"/>
      <w:bookmarkEnd w:id="21"/>
    </w:p>
    <w:p w14:paraId="3F1B0846">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1A8ADAE8">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593.72</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45.68</w:t>
      </w:r>
      <w:r>
        <w:rPr>
          <w:rFonts w:hint="eastAsia" w:eastAsia="仿宋_GB2312" w:cs="仿宋_GB2312"/>
          <w:sz w:val="32"/>
          <w:szCs w:val="32"/>
        </w:rPr>
        <w:t>万元，增长</w:t>
      </w:r>
      <w:r>
        <w:rPr>
          <w:rFonts w:hint="eastAsia" w:eastAsia="仿宋_GB2312" w:cs="仿宋_GB2312"/>
          <w:sz w:val="32"/>
          <w:szCs w:val="32"/>
          <w:lang w:val="en-US" w:eastAsia="zh-CN"/>
        </w:rPr>
        <w:t>8.34</w:t>
      </w:r>
      <w:r>
        <w:rPr>
          <w:rFonts w:hint="eastAsia" w:eastAsia="仿宋_GB2312" w:cs="仿宋_GB2312"/>
          <w:sz w:val="32"/>
          <w:szCs w:val="32"/>
        </w:rPr>
        <w:t>%。主要变动原因是</w:t>
      </w:r>
      <w:r>
        <w:rPr>
          <w:rFonts w:hint="eastAsia" w:eastAsia="仿宋_GB2312" w:cs="仿宋_GB2312"/>
          <w:sz w:val="32"/>
          <w:szCs w:val="32"/>
          <w:lang w:eastAsia="zh-CN"/>
        </w:rPr>
        <w:t>本年度</w:t>
      </w:r>
      <w:r>
        <w:rPr>
          <w:rFonts w:hint="eastAsia" w:eastAsia="仿宋_GB2312" w:cs="仿宋_GB2312"/>
          <w:sz w:val="32"/>
          <w:szCs w:val="32"/>
          <w:lang w:val="en-US" w:eastAsia="zh-CN"/>
        </w:rPr>
        <w:t>调入2人，相应的人员经费和公用经费增加</w:t>
      </w:r>
      <w:r>
        <w:rPr>
          <w:rFonts w:hint="eastAsia" w:ascii="仿宋_GB2312" w:hAnsi="仿宋" w:eastAsia="仿宋_GB2312" w:cs="Times New Roman"/>
          <w:sz w:val="32"/>
          <w:szCs w:val="32"/>
          <w:lang w:val="en-US" w:eastAsia="zh-CN"/>
        </w:rPr>
        <w:t>。</w:t>
      </w:r>
    </w:p>
    <w:p w14:paraId="7244763D">
      <w:pPr>
        <w:spacing w:line="600" w:lineRule="exact"/>
        <w:ind w:firstLine="640"/>
        <w:rPr>
          <w:rFonts w:eastAsia="仿宋_GB2312" w:cs="仿宋_GB2312"/>
          <w:sz w:val="32"/>
          <w:szCs w:val="32"/>
        </w:rPr>
      </w:pPr>
    </w:p>
    <w:p w14:paraId="6C839034">
      <w:pPr>
        <w:spacing w:line="600" w:lineRule="exact"/>
        <w:ind w:firstLine="640"/>
        <w:rPr>
          <w:rFonts w:eastAsia="仿宋_GB2312" w:cs="仿宋_GB2312"/>
          <w:sz w:val="32"/>
          <w:szCs w:val="32"/>
        </w:rPr>
      </w:pPr>
    </w:p>
    <w:p w14:paraId="05418E88">
      <w:pPr>
        <w:spacing w:line="600" w:lineRule="exact"/>
        <w:ind w:firstLine="640"/>
        <w:rPr>
          <w:rFonts w:eastAsia="仿宋_GB2312" w:cs="仿宋_GB2312"/>
          <w:sz w:val="32"/>
          <w:szCs w:val="32"/>
        </w:rPr>
      </w:pPr>
    </w:p>
    <w:p w14:paraId="04F01EAD">
      <w:pPr>
        <w:spacing w:line="240" w:lineRule="auto"/>
        <w:jc w:val="center"/>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700" cy="2752725"/>
            <wp:effectExtent l="0" t="0" r="0" b="9525"/>
            <wp:docPr id="7" name="图片 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
                    <pic:cNvPicPr>
                      <a:picLocks noChangeAspect="1"/>
                    </pic:cNvPicPr>
                  </pic:nvPicPr>
                  <pic:blipFill>
                    <a:blip r:embed="rId14"/>
                    <a:stretch>
                      <a:fillRect/>
                    </a:stretch>
                  </pic:blipFill>
                  <pic:spPr>
                    <a:xfrm>
                      <a:off x="0" y="0"/>
                      <a:ext cx="4838700" cy="2752725"/>
                    </a:xfrm>
                    <a:prstGeom prst="rect">
                      <a:avLst/>
                    </a:prstGeom>
                  </pic:spPr>
                </pic:pic>
              </a:graphicData>
            </a:graphic>
          </wp:inline>
        </w:drawing>
      </w:r>
    </w:p>
    <w:p w14:paraId="2B333DEF">
      <w:pPr>
        <w:spacing w:line="600" w:lineRule="exact"/>
        <w:jc w:val="center"/>
        <w:rPr>
          <w:rFonts w:eastAsia="仿宋_GB2312" w:cs="仿宋_GB2312"/>
          <w:sz w:val="32"/>
          <w:szCs w:val="32"/>
        </w:rPr>
      </w:pPr>
      <w:r>
        <w:rPr>
          <w:rFonts w:hint="eastAsia" w:eastAsia="仿宋_GB2312" w:cs="仿宋_GB2312"/>
          <w:sz w:val="32"/>
          <w:szCs w:val="32"/>
        </w:rPr>
        <w:t>（图5：一般公共预算财政拨款支出决算变动情况）</w:t>
      </w:r>
    </w:p>
    <w:p w14:paraId="672D79E6">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7FB3A26A">
      <w:pPr>
        <w:numPr>
          <w:ilvl w:val="0"/>
          <w:numId w:val="0"/>
        </w:numPr>
        <w:snapToGrid w:val="0"/>
        <w:spacing w:line="560" w:lineRule="exact"/>
        <w:ind w:firstLine="640" w:firstLineChars="200"/>
        <w:jc w:val="both"/>
        <w:rPr>
          <w:rFonts w:hint="eastAsia" w:ascii="Times New Roman" w:hAnsi="Times New Roman" w:eastAsia="仿宋_GB2312" w:cs="仿宋_GB2312"/>
          <w:sz w:val="32"/>
          <w:szCs w:val="32"/>
          <w:lang w:val="en-US"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593.72</w:t>
      </w:r>
      <w:r>
        <w:rPr>
          <w:rFonts w:hint="eastAsia" w:eastAsia="仿宋_GB2312" w:cs="仿宋_GB2312"/>
          <w:sz w:val="32"/>
          <w:szCs w:val="32"/>
        </w:rPr>
        <w:t>万元，主要用于以下方面：一般公共服务支出</w:t>
      </w:r>
      <w:r>
        <w:rPr>
          <w:rFonts w:hint="eastAsia" w:eastAsia="仿宋_GB2312" w:cs="仿宋_GB2312"/>
          <w:sz w:val="32"/>
          <w:szCs w:val="32"/>
          <w:lang w:val="en-US" w:eastAsia="zh-CN"/>
        </w:rPr>
        <w:t>322.78</w:t>
      </w:r>
      <w:r>
        <w:rPr>
          <w:rFonts w:hint="eastAsia" w:eastAsia="仿宋_GB2312" w:cs="仿宋_GB2312"/>
          <w:sz w:val="32"/>
          <w:szCs w:val="32"/>
        </w:rPr>
        <w:t>万元，占</w:t>
      </w:r>
      <w:r>
        <w:rPr>
          <w:rFonts w:hint="eastAsia" w:eastAsia="仿宋_GB2312" w:cs="仿宋_GB2312"/>
          <w:sz w:val="32"/>
          <w:szCs w:val="32"/>
          <w:lang w:val="en-US" w:eastAsia="zh-CN"/>
        </w:rPr>
        <w:t>54.37</w:t>
      </w:r>
      <w:r>
        <w:rPr>
          <w:rFonts w:hint="eastAsia" w:eastAsia="仿宋_GB2312" w:cs="仿宋_GB2312"/>
          <w:sz w:val="32"/>
          <w:szCs w:val="32"/>
        </w:rPr>
        <w:t>%；</w:t>
      </w:r>
      <w:r>
        <w:rPr>
          <w:rFonts w:hint="eastAsia" w:ascii="Times New Roman" w:hAnsi="Times New Roman" w:eastAsia="仿宋_GB2312" w:cs="仿宋_GB2312"/>
          <w:sz w:val="32"/>
          <w:szCs w:val="32"/>
          <w:lang w:val="en-US" w:eastAsia="zh-CN"/>
        </w:rPr>
        <w:t>社会保障和就业支出220.61万元，占总收入37.16%；卫生健康支出24.91万元，占总收入4.2%；住房保障支出25.42万元，占总收入4.28%。</w:t>
      </w:r>
    </w:p>
    <w:p w14:paraId="7E05AA27">
      <w:pPr>
        <w:numPr>
          <w:ilvl w:val="0"/>
          <w:numId w:val="0"/>
        </w:numPr>
        <w:snapToGrid w:val="0"/>
        <w:spacing w:line="240" w:lineRule="auto"/>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drawing>
          <wp:inline distT="0" distB="0" distL="114300" distR="114300">
            <wp:extent cx="4838700" cy="2838450"/>
            <wp:effectExtent l="0" t="0" r="0" b="0"/>
            <wp:docPr id="8" name="图片 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
                    <pic:cNvPicPr>
                      <a:picLocks noChangeAspect="1"/>
                    </pic:cNvPicPr>
                  </pic:nvPicPr>
                  <pic:blipFill>
                    <a:blip r:embed="rId15"/>
                    <a:stretch>
                      <a:fillRect/>
                    </a:stretch>
                  </pic:blipFill>
                  <pic:spPr>
                    <a:xfrm>
                      <a:off x="0" y="0"/>
                      <a:ext cx="4838700" cy="2838450"/>
                    </a:xfrm>
                    <a:prstGeom prst="rect">
                      <a:avLst/>
                    </a:prstGeom>
                  </pic:spPr>
                </pic:pic>
              </a:graphicData>
            </a:graphic>
          </wp:inline>
        </w:drawing>
      </w:r>
    </w:p>
    <w:p w14:paraId="4670BF87">
      <w:pPr>
        <w:spacing w:line="600" w:lineRule="exact"/>
        <w:jc w:val="center"/>
        <w:rPr>
          <w:rFonts w:eastAsia="仿宋_GB2312" w:cs="仿宋_GB2312"/>
          <w:sz w:val="32"/>
          <w:szCs w:val="32"/>
        </w:rPr>
      </w:pPr>
      <w:r>
        <w:rPr>
          <w:rFonts w:hint="eastAsia" w:eastAsia="仿宋_GB2312" w:cs="仿宋_GB2312"/>
          <w:sz w:val="32"/>
          <w:szCs w:val="32"/>
        </w:rPr>
        <w:t>（图6：一般公共预算财政拨款支出决算结构）</w:t>
      </w:r>
    </w:p>
    <w:p w14:paraId="6FAFB325">
      <w:pPr>
        <w:spacing w:line="600" w:lineRule="exact"/>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7F01CD34">
      <w:pPr>
        <w:spacing w:line="600" w:lineRule="exact"/>
        <w:ind w:firstLine="640"/>
        <w:rPr>
          <w:rFonts w:eastAsia="仿宋_GB2312" w:cs="仿宋_GB2312"/>
          <w:sz w:val="32"/>
          <w:szCs w:val="32"/>
        </w:rPr>
      </w:pPr>
      <w:bookmarkStart w:id="25" w:name="_Toc15378460"/>
      <w:bookmarkStart w:id="26" w:name="_Toc15377213"/>
      <w:bookmarkStart w:id="27" w:name="_Toc15377444"/>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593.72万元，完成预算100%，</w:t>
      </w:r>
      <w:r>
        <w:rPr>
          <w:rFonts w:hint="eastAsia" w:eastAsia="仿宋_GB2312" w:cs="仿宋_GB2312"/>
          <w:sz w:val="32"/>
          <w:szCs w:val="32"/>
        </w:rPr>
        <w:t>其中：</w:t>
      </w:r>
    </w:p>
    <w:p w14:paraId="1B95DBE2">
      <w:pPr>
        <w:spacing w:line="600" w:lineRule="exact"/>
        <w:ind w:firstLine="640"/>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1、一般公共服务支出（类）政府办公厅室及相关机构事务（款）一般行政管理事务（项）支出8万元，完成预算100%。</w:t>
      </w:r>
    </w:p>
    <w:p w14:paraId="46F480CF">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2、一般公共服务支出（类）政府办公厅室及相关机构事务（款）行政运行（项）支出314.78万元，完成预算100%。</w:t>
      </w:r>
    </w:p>
    <w:p w14:paraId="28BE1204">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3、社会保障和就业支出（类）行政事业单位养老支出（款）行政单位离退休（项）支出124.77万元，完成预算100%。</w:t>
      </w:r>
    </w:p>
    <w:p w14:paraId="2C2033B2">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4、社会保障和就业支出（类）行政事业单位养老支出（款）机关事业单位基本养老保险缴费支出（项）支出31.94万元，完成预算100%。</w:t>
      </w:r>
    </w:p>
    <w:p w14:paraId="6CBF9F27">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5、社会保障和就业支出（类）行政事业单位养老支出（款）机关事业单位职业年金缴费支出（项）支出26.36万元，完成预算100%。</w:t>
      </w:r>
    </w:p>
    <w:p w14:paraId="3759538A">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6、社会保障和就业支出（类）抚恤（款）死亡抚恤（项）支出36.67万元，完成预算100%。</w:t>
      </w:r>
    </w:p>
    <w:p w14:paraId="20C8E626">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7、社会保障和就业支出（类）其他社会保障和就业支出（款）其他社会保障和就业支出（项）0.88万元，完成预算100%。</w:t>
      </w:r>
    </w:p>
    <w:p w14:paraId="632475F0">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8、卫生健康支出（类）行政事业单位医疗（款）行政单位医疗（项）支出15.77万元，完成预算100%。</w:t>
      </w:r>
    </w:p>
    <w:p w14:paraId="22317295">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9、卫生健康支出（类）行政事业单位医疗（款）公务员医疗补助（项）支出1.53万元，完成预算100%。</w:t>
      </w:r>
    </w:p>
    <w:p w14:paraId="536CD606">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10、卫生健康支出（类）行政事业单位医疗（款）其他行政事业单位医疗支出（项）支出5.93万元，完成预算100%。</w:t>
      </w:r>
    </w:p>
    <w:p w14:paraId="68823D81">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11、卫生健康支出（类）其他卫生健康支出（款）其他卫生健康支出（项）支出0.77万元，完成预算100%。</w:t>
      </w:r>
    </w:p>
    <w:p w14:paraId="21603A87">
      <w:pPr>
        <w:spacing w:line="600" w:lineRule="exact"/>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12、住房保障支出（类）住房改革支出（款）住房公积金（项）支出25.42万元，完成预算100%。</w:t>
      </w:r>
    </w:p>
    <w:bookmarkEnd w:id="25"/>
    <w:bookmarkEnd w:id="26"/>
    <w:bookmarkEnd w:id="27"/>
    <w:p w14:paraId="0E193DCA">
      <w:pPr>
        <w:tabs>
          <w:tab w:val="right" w:pos="8306"/>
        </w:tabs>
        <w:spacing w:line="600" w:lineRule="exact"/>
        <w:ind w:firstLine="640"/>
        <w:outlineLvl w:val="1"/>
        <w:rPr>
          <w:rStyle w:val="29"/>
          <w:rFonts w:ascii="Times New Roman" w:hAnsi="Times New Roman"/>
        </w:rPr>
      </w:pPr>
      <w:bookmarkStart w:id="28" w:name="_Toc15396608"/>
      <w:bookmarkStart w:id="29"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28"/>
      <w:bookmarkEnd w:id="29"/>
      <w:r>
        <w:rPr>
          <w:rStyle w:val="29"/>
          <w:rFonts w:ascii="Times New Roman" w:hAnsi="Times New Roman" w:eastAsia="黑体"/>
          <w:b w:val="0"/>
        </w:rPr>
        <w:tab/>
      </w:r>
    </w:p>
    <w:p w14:paraId="4ABB5F7A">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585.72</w:t>
      </w:r>
      <w:r>
        <w:rPr>
          <w:rFonts w:hint="eastAsia" w:eastAsia="仿宋_GB2312" w:cs="仿宋_GB2312"/>
          <w:sz w:val="32"/>
          <w:szCs w:val="32"/>
        </w:rPr>
        <w:t>万元，其中：</w:t>
      </w:r>
    </w:p>
    <w:p w14:paraId="7AEB9CE1">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497.87</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87.85</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EDC34F6">
      <w:pPr>
        <w:spacing w:line="600" w:lineRule="exact"/>
        <w:ind w:firstLine="640"/>
        <w:outlineLvl w:val="1"/>
        <w:rPr>
          <w:rStyle w:val="29"/>
          <w:rFonts w:ascii="Times New Roman" w:hAnsi="Times New Roman" w:eastAsia="黑体"/>
          <w:b w:val="0"/>
        </w:rPr>
      </w:pPr>
      <w:bookmarkStart w:id="30" w:name="_Toc15377215"/>
      <w:bookmarkStart w:id="31"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0"/>
      <w:bookmarkEnd w:id="31"/>
    </w:p>
    <w:p w14:paraId="421D4A46">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（一）财政拨款“三公”经费支出决算总体情况说明</w:t>
      </w:r>
      <w:bookmarkEnd w:id="32"/>
    </w:p>
    <w:p w14:paraId="6E4712EE">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22.6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%，较上年度持平</w:t>
      </w:r>
      <w:r>
        <w:rPr>
          <w:rFonts w:hint="eastAsia" w:eastAsia="仿宋_GB2312" w:cs="仿宋_GB2312"/>
          <w:sz w:val="32"/>
          <w:szCs w:val="32"/>
          <w:lang w:eastAsia="zh-CN"/>
        </w:rPr>
        <w:t>。</w:t>
      </w:r>
    </w:p>
    <w:p w14:paraId="0822DDBD">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（二）财政拨款“三公”经费支出决算具体情况说明</w:t>
      </w:r>
      <w:bookmarkEnd w:id="33"/>
    </w:p>
    <w:p w14:paraId="469E25E5">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5.1</w:t>
      </w:r>
      <w:r>
        <w:rPr>
          <w:rFonts w:hint="eastAsia" w:eastAsia="仿宋_GB2312" w:cs="仿宋_GB2312"/>
          <w:sz w:val="32"/>
          <w:szCs w:val="32"/>
        </w:rPr>
        <w:t>万元，占</w:t>
      </w:r>
      <w:r>
        <w:rPr>
          <w:rFonts w:hint="eastAsia" w:eastAsia="仿宋_GB2312" w:cs="仿宋_GB2312"/>
          <w:sz w:val="32"/>
          <w:szCs w:val="32"/>
          <w:lang w:val="en-US" w:eastAsia="zh-CN"/>
        </w:rPr>
        <w:t>22.57</w:t>
      </w:r>
      <w:r>
        <w:rPr>
          <w:rFonts w:hint="eastAsia" w:eastAsia="仿宋_GB2312" w:cs="仿宋_GB2312"/>
          <w:sz w:val="32"/>
          <w:szCs w:val="32"/>
        </w:rPr>
        <w:t>%；公务接待费支出决算</w:t>
      </w:r>
      <w:r>
        <w:rPr>
          <w:rFonts w:hint="eastAsia" w:eastAsia="仿宋_GB2312" w:cs="仿宋_GB2312"/>
          <w:sz w:val="32"/>
          <w:szCs w:val="32"/>
          <w:lang w:val="en-US" w:eastAsia="zh-CN"/>
        </w:rPr>
        <w:t>17.5</w:t>
      </w:r>
      <w:r>
        <w:rPr>
          <w:rFonts w:hint="eastAsia" w:eastAsia="仿宋_GB2312" w:cs="仿宋_GB2312"/>
          <w:sz w:val="32"/>
          <w:szCs w:val="32"/>
        </w:rPr>
        <w:t>万元，占</w:t>
      </w:r>
      <w:r>
        <w:rPr>
          <w:rFonts w:hint="eastAsia" w:eastAsia="仿宋_GB2312" w:cs="仿宋_GB2312"/>
          <w:sz w:val="32"/>
          <w:szCs w:val="32"/>
          <w:lang w:val="en-US" w:eastAsia="zh-CN"/>
        </w:rPr>
        <w:t>77.43</w:t>
      </w:r>
      <w:r>
        <w:rPr>
          <w:rFonts w:hint="eastAsia" w:eastAsia="仿宋_GB2312" w:cs="仿宋_GB2312"/>
          <w:sz w:val="32"/>
          <w:szCs w:val="32"/>
        </w:rPr>
        <w:t>%。具体情况如下：</w:t>
      </w:r>
    </w:p>
    <w:p w14:paraId="0E091550">
      <w:pPr>
        <w:spacing w:line="240" w:lineRule="auto"/>
        <w:jc w:val="center"/>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160645" cy="3027680"/>
            <wp:effectExtent l="0" t="0" r="1905" b="0"/>
            <wp:docPr id="1" name="图片 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
                    <pic:cNvPicPr>
                      <a:picLocks noChangeAspect="1"/>
                    </pic:cNvPicPr>
                  </pic:nvPicPr>
                  <pic:blipFill>
                    <a:blip r:embed="rId16"/>
                    <a:stretch>
                      <a:fillRect/>
                    </a:stretch>
                  </pic:blipFill>
                  <pic:spPr>
                    <a:xfrm>
                      <a:off x="0" y="0"/>
                      <a:ext cx="5160645" cy="3027680"/>
                    </a:xfrm>
                    <a:prstGeom prst="rect">
                      <a:avLst/>
                    </a:prstGeom>
                  </pic:spPr>
                </pic:pic>
              </a:graphicData>
            </a:graphic>
          </wp:inline>
        </w:drawing>
      </w:r>
    </w:p>
    <w:p w14:paraId="3814B777">
      <w:pPr>
        <w:spacing w:line="600" w:lineRule="exact"/>
        <w:jc w:val="center"/>
        <w:rPr>
          <w:rFonts w:eastAsia="仿宋_GB2312" w:cs="仿宋_GB2312"/>
          <w:sz w:val="32"/>
          <w:szCs w:val="32"/>
        </w:rPr>
      </w:pPr>
      <w:r>
        <w:rPr>
          <w:rFonts w:hint="eastAsia" w:eastAsia="仿宋_GB2312" w:cs="仿宋_GB2312"/>
          <w:sz w:val="32"/>
          <w:szCs w:val="32"/>
        </w:rPr>
        <w:t>（图7：财政拨款“三公”经费支出结构）</w:t>
      </w:r>
    </w:p>
    <w:p w14:paraId="4E2B7699">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w:t>
      </w:r>
      <w:r>
        <w:rPr>
          <w:rFonts w:hint="eastAsia" w:eastAsia="仿宋_GB2312" w:cs="仿宋_GB2312"/>
          <w:sz w:val="32"/>
          <w:szCs w:val="32"/>
          <w:lang w:eastAsia="zh-CN"/>
        </w:rPr>
        <w:t>与上年度持平。</w:t>
      </w:r>
    </w:p>
    <w:p w14:paraId="16270467">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5.1</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sz w:val="32"/>
          <w:szCs w:val="32"/>
          <w:lang w:eastAsia="zh-CN"/>
        </w:rPr>
        <w:t>与</w:t>
      </w:r>
      <w:r>
        <w:rPr>
          <w:rFonts w:hint="eastAsia" w:eastAsia="仿宋_GB2312" w:cs="仿宋_GB2312"/>
          <w:sz w:val="32"/>
          <w:szCs w:val="32"/>
        </w:rPr>
        <w:t>上年度</w:t>
      </w:r>
      <w:r>
        <w:rPr>
          <w:rFonts w:hint="eastAsia" w:eastAsia="仿宋_GB2312" w:cs="仿宋_GB2312"/>
          <w:sz w:val="32"/>
          <w:szCs w:val="32"/>
          <w:lang w:eastAsia="zh-CN"/>
        </w:rPr>
        <w:t>持平。</w:t>
      </w:r>
    </w:p>
    <w:p w14:paraId="6DAD3F24">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3</w:t>
      </w:r>
      <w:r>
        <w:rPr>
          <w:rFonts w:hint="eastAsia" w:eastAsia="仿宋_GB2312" w:cs="仿宋_GB2312"/>
          <w:sz w:val="32"/>
          <w:szCs w:val="32"/>
        </w:rPr>
        <w:t>辆，其中：轿车</w:t>
      </w:r>
      <w:r>
        <w:rPr>
          <w:rFonts w:hint="eastAsia" w:eastAsia="仿宋_GB2312" w:cs="仿宋_GB2312"/>
          <w:sz w:val="32"/>
          <w:szCs w:val="32"/>
          <w:lang w:val="en-US" w:eastAsia="zh-CN"/>
        </w:rPr>
        <w:t>2</w:t>
      </w:r>
      <w:r>
        <w:rPr>
          <w:rFonts w:hint="eastAsia" w:eastAsia="仿宋_GB2312" w:cs="仿宋_GB2312"/>
          <w:sz w:val="32"/>
          <w:szCs w:val="32"/>
        </w:rPr>
        <w:t>辆、越野车</w:t>
      </w:r>
      <w:r>
        <w:rPr>
          <w:rFonts w:hint="eastAsia" w:eastAsia="仿宋_GB2312" w:cs="仿宋_GB2312"/>
          <w:sz w:val="32"/>
          <w:szCs w:val="32"/>
          <w:lang w:val="en-US" w:eastAsia="zh-CN"/>
        </w:rPr>
        <w:t>1</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248CC5CB">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5.1</w:t>
      </w:r>
      <w:r>
        <w:rPr>
          <w:rFonts w:hint="eastAsia" w:eastAsia="仿宋_GB2312" w:cs="仿宋_GB2312"/>
          <w:sz w:val="32"/>
          <w:szCs w:val="32"/>
        </w:rPr>
        <w:t>万元。主要用于</w:t>
      </w:r>
      <w:r>
        <w:rPr>
          <w:rFonts w:hint="eastAsia" w:eastAsia="仿宋_GB2312" w:cs="仿宋_GB2312"/>
          <w:sz w:val="32"/>
          <w:szCs w:val="32"/>
          <w:lang w:eastAsia="zh-CN"/>
        </w:rPr>
        <w:t>公务车日常</w:t>
      </w:r>
      <w:r>
        <w:rPr>
          <w:rFonts w:hint="eastAsia" w:eastAsia="仿宋_GB2312" w:cs="仿宋_GB2312"/>
          <w:sz w:val="32"/>
          <w:szCs w:val="32"/>
        </w:rPr>
        <w:t>所需的公务用车燃料费、维修费、过路过桥费、保险费等支出。</w:t>
      </w:r>
    </w:p>
    <w:p w14:paraId="35D6A3B6">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17.5</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w:t>
      </w:r>
      <w:r>
        <w:rPr>
          <w:rFonts w:hint="eastAsia" w:eastAsia="仿宋_GB2312" w:cs="仿宋_GB2312"/>
          <w:sz w:val="32"/>
          <w:szCs w:val="32"/>
          <w:lang w:eastAsia="zh-CN"/>
        </w:rPr>
        <w:t>与</w:t>
      </w:r>
      <w:r>
        <w:rPr>
          <w:rFonts w:hint="eastAsia" w:eastAsia="仿宋_GB2312" w:cs="仿宋_GB2312"/>
          <w:sz w:val="32"/>
          <w:szCs w:val="32"/>
        </w:rPr>
        <w:t>上年度</w:t>
      </w:r>
      <w:r>
        <w:rPr>
          <w:rFonts w:hint="eastAsia" w:eastAsia="仿宋_GB2312" w:cs="仿宋_GB2312"/>
          <w:sz w:val="32"/>
          <w:szCs w:val="32"/>
          <w:lang w:eastAsia="zh-CN"/>
        </w:rPr>
        <w:t>持平</w:t>
      </w:r>
      <w:r>
        <w:rPr>
          <w:rFonts w:hint="eastAsia" w:eastAsia="仿宋_GB2312" w:cs="仿宋_GB2312"/>
          <w:sz w:val="32"/>
          <w:szCs w:val="32"/>
        </w:rPr>
        <w:t>。其中：</w:t>
      </w:r>
    </w:p>
    <w:p w14:paraId="172D43BD">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17.5</w:t>
      </w:r>
      <w:r>
        <w:rPr>
          <w:rFonts w:hint="eastAsia" w:eastAsia="仿宋_GB2312" w:cs="仿宋_GB2312"/>
          <w:sz w:val="32"/>
          <w:szCs w:val="32"/>
        </w:rPr>
        <w:t>万元，主要用于执行公务、开展业务活动开支的交通费、住宿费、用餐费等。国内公务接待</w:t>
      </w:r>
      <w:r>
        <w:rPr>
          <w:rFonts w:hint="eastAsia" w:eastAsia="仿宋_GB2312" w:cs="仿宋_GB2312"/>
          <w:sz w:val="32"/>
          <w:szCs w:val="32"/>
          <w:lang w:val="en-US" w:eastAsia="zh-CN"/>
        </w:rPr>
        <w:t>691</w:t>
      </w:r>
      <w:r>
        <w:rPr>
          <w:rFonts w:hint="eastAsia" w:eastAsia="仿宋_GB2312" w:cs="仿宋_GB2312"/>
          <w:sz w:val="32"/>
          <w:szCs w:val="32"/>
        </w:rPr>
        <w:t>批次，</w:t>
      </w:r>
      <w:r>
        <w:rPr>
          <w:rFonts w:hint="eastAsia" w:eastAsia="仿宋_GB2312" w:cs="仿宋_GB2312"/>
          <w:sz w:val="32"/>
          <w:szCs w:val="32"/>
          <w:lang w:val="en-US" w:eastAsia="zh-CN"/>
        </w:rPr>
        <w:t>1536</w:t>
      </w:r>
      <w:r>
        <w:rPr>
          <w:rFonts w:hint="eastAsia" w:eastAsia="仿宋_GB2312" w:cs="仿宋_GB2312"/>
          <w:sz w:val="32"/>
          <w:szCs w:val="32"/>
        </w:rPr>
        <w:t>人次，共计支出</w:t>
      </w:r>
      <w:r>
        <w:rPr>
          <w:rFonts w:hint="eastAsia" w:eastAsia="仿宋_GB2312" w:cs="仿宋_GB2312"/>
          <w:sz w:val="32"/>
          <w:szCs w:val="32"/>
          <w:lang w:val="en-US" w:eastAsia="zh-CN"/>
        </w:rPr>
        <w:t>17.5</w:t>
      </w:r>
      <w:r>
        <w:rPr>
          <w:rFonts w:hint="eastAsia" w:eastAsia="仿宋_GB2312" w:cs="仿宋_GB2312"/>
          <w:sz w:val="32"/>
          <w:szCs w:val="32"/>
        </w:rPr>
        <w:t>万元。</w:t>
      </w:r>
    </w:p>
    <w:p w14:paraId="49ACFB14">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w:t>
      </w:r>
      <w:bookmarkStart w:id="34" w:name="_Toc15377218"/>
      <w:bookmarkStart w:id="35" w:name="_Toc15396610"/>
    </w:p>
    <w:p w14:paraId="1F41F58B">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34"/>
      <w:bookmarkEnd w:id="35"/>
    </w:p>
    <w:p w14:paraId="6FAC0173">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w:t>
      </w:r>
      <w:r>
        <w:rPr>
          <w:rFonts w:hint="eastAsia" w:eastAsia="仿宋_GB2312" w:cs="仿宋_GB2312"/>
          <w:sz w:val="32"/>
          <w:szCs w:val="32"/>
          <w:lang w:eastAsia="zh-CN"/>
        </w:rPr>
        <w:t>持平</w:t>
      </w:r>
      <w:r>
        <w:rPr>
          <w:rFonts w:hint="eastAsia" w:eastAsia="仿宋_GB2312" w:cs="仿宋_GB2312"/>
          <w:b/>
          <w:bCs/>
          <w:sz w:val="32"/>
          <w:szCs w:val="32"/>
          <w:lang w:eastAsia="zh-CN"/>
        </w:rPr>
        <w:t>。</w:t>
      </w:r>
    </w:p>
    <w:p w14:paraId="7A649CEA">
      <w:pPr>
        <w:spacing w:line="600" w:lineRule="exact"/>
        <w:ind w:left="630"/>
        <w:outlineLvl w:val="1"/>
        <w:rPr>
          <w:rStyle w:val="29"/>
          <w:rFonts w:ascii="Times New Roman" w:hAnsi="Times New Roman" w:eastAsia="黑体"/>
          <w:b w:val="0"/>
        </w:rPr>
      </w:pPr>
      <w:bookmarkStart w:id="36" w:name="_Toc15377219"/>
      <w:bookmarkStart w:id="37" w:name="_Toc15396611"/>
      <w:r>
        <w:rPr>
          <w:rStyle w:val="29"/>
          <w:rFonts w:hint="eastAsia" w:ascii="Times New Roman" w:hAnsi="Times New Roman" w:eastAsia="黑体"/>
          <w:b w:val="0"/>
        </w:rPr>
        <w:t>九、国有资本经营预算支出决算情况说明</w:t>
      </w:r>
      <w:bookmarkEnd w:id="36"/>
      <w:bookmarkEnd w:id="37"/>
    </w:p>
    <w:p w14:paraId="3C2FB353">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w:t>
      </w:r>
      <w:r>
        <w:rPr>
          <w:rFonts w:hint="eastAsia" w:eastAsia="仿宋_GB2312" w:cs="仿宋_GB2312"/>
          <w:sz w:val="32"/>
          <w:szCs w:val="32"/>
          <w:lang w:eastAsia="zh-CN"/>
        </w:rPr>
        <w:t>持平。</w:t>
      </w:r>
    </w:p>
    <w:p w14:paraId="24A27EF7">
      <w:pPr>
        <w:spacing w:line="600" w:lineRule="exact"/>
        <w:ind w:left="630"/>
        <w:outlineLvl w:val="1"/>
        <w:rPr>
          <w:rStyle w:val="29"/>
          <w:rFonts w:hint="eastAsia" w:ascii="Times New Roman" w:hAnsi="Times New Roman" w:eastAsia="黑体"/>
          <w:b w:val="0"/>
        </w:rPr>
      </w:pPr>
      <w:bookmarkStart w:id="38" w:name="_Toc15396612"/>
      <w:bookmarkStart w:id="39" w:name="_Toc15377221"/>
    </w:p>
    <w:p w14:paraId="27DF051B">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十、其他重要事项的情况说明</w:t>
      </w:r>
      <w:bookmarkEnd w:id="38"/>
      <w:bookmarkEnd w:id="39"/>
    </w:p>
    <w:p w14:paraId="559B9128">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047C198C">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2025年度，机关运行经费支出</w:t>
      </w:r>
      <w:r>
        <w:rPr>
          <w:rFonts w:hint="eastAsia" w:eastAsia="仿宋_GB2312" w:cs="仿宋_GB2312"/>
          <w:sz w:val="32"/>
          <w:szCs w:val="32"/>
          <w:lang w:val="en-US" w:eastAsia="zh-CN"/>
        </w:rPr>
        <w:t>87.85</w:t>
      </w:r>
      <w:r>
        <w:rPr>
          <w:rFonts w:hint="eastAsia" w:eastAsia="仿宋_GB2312" w:cs="仿宋_GB2312"/>
          <w:sz w:val="32"/>
          <w:szCs w:val="32"/>
        </w:rPr>
        <w:t>万元，比上年度增减少</w:t>
      </w:r>
      <w:r>
        <w:rPr>
          <w:rFonts w:hint="eastAsia" w:eastAsia="仿宋_GB2312" w:cs="仿宋_GB2312"/>
          <w:sz w:val="32"/>
          <w:szCs w:val="32"/>
          <w:lang w:val="en-US" w:eastAsia="zh-CN"/>
        </w:rPr>
        <w:t>10.16</w:t>
      </w:r>
      <w:r>
        <w:rPr>
          <w:rFonts w:hint="eastAsia" w:eastAsia="仿宋_GB2312" w:cs="仿宋_GB2312"/>
          <w:sz w:val="32"/>
          <w:szCs w:val="32"/>
        </w:rPr>
        <w:t>万元，下降</w:t>
      </w:r>
      <w:r>
        <w:rPr>
          <w:rFonts w:hint="eastAsia" w:eastAsia="仿宋_GB2312" w:cs="仿宋_GB2312"/>
          <w:sz w:val="32"/>
          <w:szCs w:val="32"/>
          <w:lang w:val="en-US" w:eastAsia="zh-CN"/>
        </w:rPr>
        <w:t>10.36</w:t>
      </w:r>
      <w:r>
        <w:rPr>
          <w:rFonts w:hint="eastAsia" w:eastAsia="仿宋_GB2312" w:cs="仿宋_GB2312"/>
          <w:sz w:val="32"/>
          <w:szCs w:val="32"/>
        </w:rPr>
        <w:t>%。主要原因是</w:t>
      </w:r>
      <w:r>
        <w:rPr>
          <w:rFonts w:hint="eastAsia" w:eastAsia="仿宋_GB2312" w:cs="仿宋_GB2312"/>
          <w:sz w:val="32"/>
          <w:szCs w:val="32"/>
          <w:lang w:eastAsia="zh-CN"/>
        </w:rPr>
        <w:t>公用经费减少。</w:t>
      </w:r>
    </w:p>
    <w:p w14:paraId="022D6DFE">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59DB9A2D">
      <w:pPr>
        <w:spacing w:line="600" w:lineRule="exact"/>
        <w:ind w:firstLine="640"/>
        <w:rPr>
          <w:rFonts w:eastAsia="仿宋_GB2312" w:cs="仿宋_GB2312"/>
          <w:sz w:val="32"/>
          <w:szCs w:val="32"/>
        </w:rPr>
      </w:pPr>
      <w:r>
        <w:rPr>
          <w:rFonts w:hint="eastAsia" w:eastAsia="仿宋_GB2312" w:cs="仿宋_GB2312"/>
          <w:sz w:val="32"/>
          <w:szCs w:val="32"/>
        </w:rPr>
        <w:t>2025年度，政府采购支出总额</w:t>
      </w:r>
      <w:r>
        <w:rPr>
          <w:rFonts w:hint="eastAsia" w:eastAsia="仿宋_GB2312" w:cs="仿宋_GB2312"/>
          <w:sz w:val="32"/>
          <w:szCs w:val="32"/>
          <w:lang w:val="en-US" w:eastAsia="zh-CN"/>
        </w:rPr>
        <w:t>0</w:t>
      </w:r>
      <w:r>
        <w:rPr>
          <w:rFonts w:hint="eastAsia"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0</w:t>
      </w:r>
      <w:r>
        <w:rPr>
          <w:rFonts w:hint="eastAsia" w:eastAsia="仿宋_GB2312" w:cs="仿宋_GB2312"/>
          <w:sz w:val="32"/>
          <w:szCs w:val="32"/>
        </w:rPr>
        <w:t>万元。授予中小企业合同金额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%，其中：授予小微企业合同金额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w:t>
      </w:r>
    </w:p>
    <w:p w14:paraId="7B7A3EBF">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14:paraId="3DE05025">
      <w:pPr>
        <w:spacing w:line="600" w:lineRule="exact"/>
        <w:ind w:firstLine="640"/>
        <w:rPr>
          <w:rFonts w:eastAsia="仿宋_GB2312" w:cs="仿宋_GB2312"/>
          <w:sz w:val="32"/>
          <w:szCs w:val="32"/>
        </w:rPr>
      </w:pPr>
      <w:r>
        <w:rPr>
          <w:rFonts w:hint="eastAsia" w:eastAsia="仿宋_GB2312" w:cs="仿宋_GB2312"/>
          <w:sz w:val="32"/>
          <w:szCs w:val="32"/>
        </w:rPr>
        <w:t>截至2025年12月31日，共有车辆</w:t>
      </w:r>
      <w:r>
        <w:rPr>
          <w:rFonts w:hint="eastAsia" w:eastAsia="仿宋_GB2312" w:cs="仿宋_GB2312"/>
          <w:sz w:val="32"/>
          <w:szCs w:val="32"/>
          <w:lang w:val="en-US" w:eastAsia="zh-CN"/>
        </w:rPr>
        <w:t>3</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3</w:t>
      </w:r>
      <w:r>
        <w:rPr>
          <w:rFonts w:hint="eastAsia" w:eastAsia="仿宋_GB2312" w:cs="仿宋_GB2312"/>
          <w:sz w:val="32"/>
          <w:szCs w:val="32"/>
        </w:rPr>
        <w:t>辆，其他用车主要是用于</w:t>
      </w:r>
      <w:r>
        <w:rPr>
          <w:rFonts w:hint="eastAsia" w:eastAsia="仿宋_GB2312" w:cs="仿宋_GB2312"/>
          <w:sz w:val="32"/>
          <w:szCs w:val="32"/>
          <w:lang w:eastAsia="zh-CN"/>
        </w:rPr>
        <w:t>日常业务工作</w:t>
      </w:r>
      <w:r>
        <w:rPr>
          <w:rFonts w:hint="eastAsia" w:eastAsia="仿宋_GB2312" w:cs="仿宋_GB2312"/>
          <w:sz w:val="32"/>
          <w:szCs w:val="32"/>
        </w:rPr>
        <w:t>。</w:t>
      </w:r>
    </w:p>
    <w:p w14:paraId="77C11845">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91CFEDE">
      <w:pPr>
        <w:spacing w:line="600" w:lineRule="exact"/>
        <w:ind w:firstLine="640"/>
        <w:rPr>
          <w:rFonts w:eastAsia="仿宋_GB2312" w:cs="仿宋_GB2312"/>
          <w:sz w:val="32"/>
          <w:szCs w:val="32"/>
        </w:rPr>
      </w:pPr>
      <w:r>
        <w:rPr>
          <w:rFonts w:hint="eastAsia" w:eastAsia="仿宋_GB2312" w:cs="仿宋_GB2312"/>
          <w:sz w:val="32"/>
          <w:szCs w:val="32"/>
        </w:rPr>
        <w:t>根据预算绩效管理要求在2025年度，组织对</w:t>
      </w:r>
      <w:r>
        <w:rPr>
          <w:rFonts w:hint="eastAsia" w:eastAsia="仿宋_GB2312" w:cs="仿宋_GB2312"/>
          <w:sz w:val="32"/>
          <w:szCs w:val="32"/>
          <w:lang w:eastAsia="zh-CN"/>
        </w:rPr>
        <w:t>信访维稳及招商引资活动经费</w:t>
      </w:r>
      <w:r>
        <w:rPr>
          <w:rFonts w:hint="eastAsia" w:eastAsia="仿宋_GB2312" w:cs="仿宋_GB2312"/>
          <w:sz w:val="32"/>
          <w:szCs w:val="32"/>
        </w:rPr>
        <w:t>项目涉及金额</w:t>
      </w:r>
      <w:r>
        <w:rPr>
          <w:rFonts w:hint="eastAsia" w:eastAsia="仿宋_GB2312" w:cs="仿宋_GB2312"/>
          <w:sz w:val="32"/>
          <w:szCs w:val="32"/>
          <w:lang w:val="en-US" w:eastAsia="zh-CN"/>
        </w:rPr>
        <w:t>8</w:t>
      </w:r>
      <w:r>
        <w:rPr>
          <w:rFonts w:hint="eastAsia" w:eastAsia="仿宋_GB2312" w:cs="仿宋_GB2312"/>
          <w:sz w:val="32"/>
          <w:szCs w:val="32"/>
        </w:rPr>
        <w:t>万元开展了事前绩效评估，对</w:t>
      </w:r>
      <w:r>
        <w:rPr>
          <w:rFonts w:hint="eastAsia" w:eastAsia="仿宋_GB2312" w:cs="仿宋_GB2312"/>
          <w:sz w:val="32"/>
          <w:szCs w:val="32"/>
          <w:lang w:eastAsia="zh-CN"/>
        </w:rPr>
        <w:t>该</w:t>
      </w:r>
      <w:r>
        <w:rPr>
          <w:rFonts w:hint="eastAsia" w:eastAsia="仿宋_GB2312" w:cs="仿宋_GB2312"/>
          <w:sz w:val="32"/>
          <w:szCs w:val="32"/>
        </w:rPr>
        <w:t>项目编制了绩效目标，预算执行过程中，</w:t>
      </w:r>
      <w:r>
        <w:rPr>
          <w:rFonts w:hint="eastAsia" w:eastAsia="仿宋_GB2312" w:cs="仿宋_GB2312"/>
          <w:sz w:val="32"/>
          <w:szCs w:val="32"/>
          <w:lang w:eastAsia="zh-CN"/>
        </w:rPr>
        <w:t>对其</w:t>
      </w:r>
      <w:r>
        <w:rPr>
          <w:rFonts w:hint="eastAsia" w:eastAsia="仿宋_GB2312" w:cs="仿宋_GB2312"/>
          <w:sz w:val="32"/>
          <w:szCs w:val="32"/>
        </w:rPr>
        <w:t>开展绩效监控。</w:t>
      </w:r>
    </w:p>
    <w:p w14:paraId="692D063E">
      <w:pPr>
        <w:spacing w:line="600" w:lineRule="exact"/>
        <w:ind w:firstLine="640"/>
        <w:rPr>
          <w:rFonts w:eastAsia="仿宋_GB2312" w:cs="仿宋_GB2312"/>
          <w:sz w:val="32"/>
          <w:szCs w:val="32"/>
        </w:rPr>
      </w:pPr>
    </w:p>
    <w:p w14:paraId="790A3DF0">
      <w:pPr>
        <w:spacing w:line="600" w:lineRule="exact"/>
        <w:rPr>
          <w:rFonts w:eastAsia="仿宋_GB2312" w:cs="仿宋_GB2312"/>
          <w:sz w:val="32"/>
          <w:szCs w:val="32"/>
        </w:rPr>
      </w:pPr>
    </w:p>
    <w:p w14:paraId="03BDAAB7">
      <w:pPr>
        <w:spacing w:line="600" w:lineRule="exact"/>
        <w:jc w:val="center"/>
        <w:outlineLvl w:val="0"/>
        <w:rPr>
          <w:rFonts w:eastAsia="黑体"/>
          <w:sz w:val="44"/>
          <w:szCs w:val="44"/>
        </w:rPr>
      </w:pPr>
      <w:bookmarkStart w:id="43" w:name="_Toc15377225"/>
      <w:bookmarkStart w:id="44" w:name="_Toc15396613"/>
      <w:r>
        <w:rPr>
          <w:rFonts w:hint="eastAsia" w:eastAsia="黑体"/>
          <w:sz w:val="44"/>
          <w:szCs w:val="44"/>
        </w:rPr>
        <w:t>第三部分  名词解释</w:t>
      </w:r>
      <w:bookmarkEnd w:id="43"/>
      <w:bookmarkEnd w:id="44"/>
    </w:p>
    <w:p w14:paraId="013F26C6">
      <w:pPr>
        <w:spacing w:line="600" w:lineRule="exact"/>
        <w:jc w:val="left"/>
        <w:rPr>
          <w:b/>
          <w:sz w:val="44"/>
          <w:szCs w:val="44"/>
        </w:rPr>
      </w:pPr>
    </w:p>
    <w:p w14:paraId="75C24978">
      <w:pPr>
        <w:spacing w:line="600" w:lineRule="exact"/>
        <w:ind w:firstLine="640" w:firstLineChars="20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1.财政拨款收入：指单位从同级财政部门取得的财政预算资金。</w:t>
      </w:r>
    </w:p>
    <w:p w14:paraId="04C98C2C">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 xml:space="preserve">2.年初结转和结余：指以前年度尚未完成、结转到本年按有关规定继续使用的资金。 </w:t>
      </w:r>
    </w:p>
    <w:p w14:paraId="4061B835">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3.年末结转和结余：指单位按有关规定结转到下年或以后年度继续使用的资金。</w:t>
      </w:r>
    </w:p>
    <w:p w14:paraId="60D70949">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4.一般公共服务（类）政府办公厅（室）及相关机构事务（款）行政运行（项）：指反映行政单位（包括实行公务员管理的事业单位）的基本支出。</w:t>
      </w:r>
    </w:p>
    <w:p w14:paraId="376C65BA">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5.一般公共服务（类）政府办公厅（室）及相关机构事务（款）一般行政管理事务（项）：指反映行政单位（包括实行公务员管理的事业单位）未单独设置项级科目的其他项目支出。</w:t>
      </w:r>
    </w:p>
    <w:p w14:paraId="5DC40259">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6.一般公共服务（类）政府办公厅（室）及相关机构事务（款）专项业务及机关事务管理（项）：指反映各级政府举行各类重大活动、召开重要会议（如国务院一类会议、国庆招待会、全国劳模大会）的支出，政府机关房地产管理、公务用车管理等方面的支出。</w:t>
      </w:r>
    </w:p>
    <w:p w14:paraId="62678703">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7.一般公共服务（类）政府办公厅（室）及相关机构事务（款）事业运行（项）：指反映事业单位的基本支出，不包括行政单位（包括实行公务员管理的事业单位）后勤服务中心、医务室等附属事业单位。</w:t>
      </w:r>
    </w:p>
    <w:p w14:paraId="4F2347F6">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8.社会保障和就业（类）行政事业单位养老支出（款）行政单位离退休（项）：指反映行政单位（包括实行公务员管理的事业单位）开支的离退休经费。</w:t>
      </w:r>
    </w:p>
    <w:p w14:paraId="5AE4A566">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9.社会保障和就业（类）行政事业单位养老支出（款）事业单位离退休（项）：指反映事业单位开支的离退休经费。</w:t>
      </w:r>
    </w:p>
    <w:p w14:paraId="7A0B1B8C">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10.社会保障和就业（类）行政事业单位养老支出（款）机关事业单位基本养老保险缴费支出（项）：指反映机关事业单位实施养老保险制度由单位缴纳的基本养老保险费支出。</w:t>
      </w:r>
    </w:p>
    <w:p w14:paraId="0578C9C3">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11.社会保障和就业（类）抚恤（款）死亡抚恤（项）</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指反映按规定用于烈士和牺牲、病故人员家属的一次性和定期抚恤金、丧葬补助费以及烈士褒扬金。</w:t>
      </w:r>
    </w:p>
    <w:p w14:paraId="1ABCAE26">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12.社会保障和就业（类）其他社会保障和就业支出（款）其他社会保障和就业支出（项）</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指反映除上述项目以外其他用于社会保障和就业方面的支出。</w:t>
      </w:r>
    </w:p>
    <w:p w14:paraId="35369928">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13.卫生健康（类）行政事业单位医疗（款）行政单位医疗（项）：指反映财政部门安排的行政单位包括实行公务员管理的事业单位）基本医疗保险缴费经费，未参加医疗保险的行政单位的公费医疗经费，按国家规定享受离休人员、红军老战士待遇人员的医疗经费。</w:t>
      </w:r>
    </w:p>
    <w:p w14:paraId="3AC91D22">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14.卫生健康（类）行政事业单位医疗（款）事业单位医疗（项）：指反映财政部门安排的事业单位基本医疗保险缴费经费，未参加医疗保险的事业单位的公费医疗经费，按国家规定享受离休人员待遇的医疗经费。</w:t>
      </w:r>
    </w:p>
    <w:p w14:paraId="3F155176">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15.卫生健康（类）行政事业单位医疗（款）公务员医疗补助（项）：指反映财政部门安排的公务员医疗补助经费。</w:t>
      </w:r>
    </w:p>
    <w:p w14:paraId="24042E79">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16.卫生健康（类）行政事业单位医疗（款）其他行政事业单位医疗支出（项）：指反映除上述项目以外的其他用于行政事业单位医疗方面的支出。</w:t>
      </w:r>
    </w:p>
    <w:p w14:paraId="753CC9F4">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17.卫生健康（类）其他卫生健康支出（款）其他卫生健康支出（项）：指反映除上述项目以外其他用于卫生健康方面的支出。</w:t>
      </w:r>
    </w:p>
    <w:p w14:paraId="1A8A0C92">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18.住房保障支出（类）住房改革支出（款）住房公积金（项）：指反映行政事业单位按人力资源和社会保障部、财政部规定的基本工资和津贴补贴以及规定比例为职工缴纳的住房公积金。</w:t>
      </w:r>
    </w:p>
    <w:p w14:paraId="366D9C1F">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19.基本支出：指为保障机构正常运转、完成日常工作任务而发生的人员支出和公用支出。</w:t>
      </w:r>
    </w:p>
    <w:p w14:paraId="585F17FE">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 xml:space="preserve">20.项目支出：指在基本支出之外为完成特定行政任务和事业发展目标所发生的支出。 </w:t>
      </w:r>
    </w:p>
    <w:p w14:paraId="0453648D">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21.“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D8D8A6C">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D90B7F6">
      <w:pPr>
        <w:spacing w:line="600" w:lineRule="exact"/>
        <w:jc w:val="center"/>
        <w:rPr>
          <w:rFonts w:hint="eastAsia" w:eastAsia="黑体"/>
          <w:sz w:val="44"/>
          <w:szCs w:val="44"/>
        </w:rPr>
      </w:pPr>
      <w:bookmarkStart w:id="45" w:name="_Toc15396614"/>
      <w:bookmarkStart w:id="46" w:name="_Toc15377226"/>
    </w:p>
    <w:p w14:paraId="45CCD574">
      <w:pPr>
        <w:spacing w:line="600" w:lineRule="exact"/>
        <w:jc w:val="center"/>
        <w:rPr>
          <w:rFonts w:hint="eastAsia" w:eastAsia="黑体"/>
          <w:sz w:val="44"/>
          <w:szCs w:val="44"/>
        </w:rPr>
      </w:pPr>
    </w:p>
    <w:p w14:paraId="6962C6D8">
      <w:pPr>
        <w:spacing w:line="600" w:lineRule="exact"/>
        <w:jc w:val="center"/>
        <w:rPr>
          <w:rFonts w:hint="eastAsia" w:eastAsia="黑体"/>
          <w:sz w:val="44"/>
          <w:szCs w:val="44"/>
        </w:rPr>
      </w:pPr>
    </w:p>
    <w:p w14:paraId="4E198129">
      <w:pPr>
        <w:spacing w:line="600" w:lineRule="exact"/>
        <w:jc w:val="center"/>
        <w:rPr>
          <w:rFonts w:hint="eastAsia" w:eastAsia="黑体"/>
          <w:sz w:val="44"/>
          <w:szCs w:val="44"/>
        </w:rPr>
      </w:pPr>
    </w:p>
    <w:p w14:paraId="33EB8A1D">
      <w:pPr>
        <w:spacing w:line="600" w:lineRule="exact"/>
        <w:jc w:val="center"/>
        <w:rPr>
          <w:rFonts w:hint="eastAsia" w:eastAsia="黑体"/>
          <w:sz w:val="44"/>
          <w:szCs w:val="44"/>
        </w:rPr>
      </w:pPr>
    </w:p>
    <w:p w14:paraId="3BBBBC65">
      <w:pPr>
        <w:spacing w:line="600" w:lineRule="exact"/>
        <w:jc w:val="center"/>
        <w:rPr>
          <w:rFonts w:hint="eastAsia" w:eastAsia="黑体"/>
          <w:sz w:val="44"/>
          <w:szCs w:val="44"/>
        </w:rPr>
      </w:pPr>
    </w:p>
    <w:p w14:paraId="62555900">
      <w:pPr>
        <w:spacing w:line="600" w:lineRule="exact"/>
        <w:jc w:val="center"/>
        <w:rPr>
          <w:rFonts w:hint="eastAsia" w:eastAsia="黑体"/>
          <w:sz w:val="44"/>
          <w:szCs w:val="44"/>
        </w:rPr>
      </w:pPr>
    </w:p>
    <w:p w14:paraId="7ECC7BFD">
      <w:pPr>
        <w:spacing w:line="600" w:lineRule="exact"/>
        <w:jc w:val="center"/>
        <w:rPr>
          <w:rFonts w:hint="eastAsia" w:eastAsia="黑体"/>
          <w:sz w:val="44"/>
          <w:szCs w:val="44"/>
        </w:rPr>
      </w:pPr>
    </w:p>
    <w:p w14:paraId="3EB19110">
      <w:pPr>
        <w:spacing w:line="600" w:lineRule="exact"/>
        <w:jc w:val="center"/>
        <w:rPr>
          <w:rFonts w:hint="eastAsia" w:eastAsia="黑体"/>
          <w:sz w:val="44"/>
          <w:szCs w:val="44"/>
        </w:rPr>
      </w:pPr>
    </w:p>
    <w:p w14:paraId="39B05512">
      <w:pPr>
        <w:spacing w:line="600" w:lineRule="exact"/>
        <w:jc w:val="center"/>
        <w:rPr>
          <w:rFonts w:hint="eastAsia" w:eastAsia="黑体"/>
          <w:sz w:val="44"/>
          <w:szCs w:val="44"/>
        </w:rPr>
      </w:pPr>
    </w:p>
    <w:p w14:paraId="627DA999">
      <w:pPr>
        <w:spacing w:line="600" w:lineRule="exact"/>
        <w:jc w:val="center"/>
        <w:rPr>
          <w:rFonts w:hint="eastAsia" w:eastAsia="黑体"/>
          <w:sz w:val="44"/>
          <w:szCs w:val="44"/>
        </w:rPr>
      </w:pPr>
    </w:p>
    <w:p w14:paraId="5C74A46A">
      <w:pPr>
        <w:spacing w:line="600" w:lineRule="exact"/>
        <w:jc w:val="center"/>
        <w:rPr>
          <w:rFonts w:hint="eastAsia" w:eastAsia="黑体"/>
          <w:sz w:val="44"/>
          <w:szCs w:val="44"/>
        </w:rPr>
      </w:pPr>
    </w:p>
    <w:p w14:paraId="0ED899E8">
      <w:pPr>
        <w:spacing w:line="600" w:lineRule="exact"/>
        <w:jc w:val="center"/>
        <w:rPr>
          <w:rFonts w:hint="eastAsia" w:eastAsia="黑体"/>
          <w:sz w:val="44"/>
          <w:szCs w:val="44"/>
        </w:rPr>
      </w:pPr>
    </w:p>
    <w:p w14:paraId="01E873B1">
      <w:pPr>
        <w:spacing w:line="600" w:lineRule="exact"/>
        <w:jc w:val="center"/>
        <w:rPr>
          <w:rFonts w:hint="eastAsia" w:eastAsia="黑体"/>
          <w:sz w:val="44"/>
          <w:szCs w:val="44"/>
        </w:rPr>
      </w:pPr>
    </w:p>
    <w:p w14:paraId="4B42F9D8">
      <w:pPr>
        <w:spacing w:line="600" w:lineRule="exact"/>
        <w:jc w:val="center"/>
        <w:rPr>
          <w:rStyle w:val="28"/>
          <w:rFonts w:eastAsia="黑体"/>
          <w:b w:val="0"/>
        </w:rPr>
      </w:pPr>
      <w:r>
        <w:rPr>
          <w:rFonts w:hint="eastAsia" w:eastAsia="黑体"/>
          <w:sz w:val="44"/>
          <w:szCs w:val="44"/>
        </w:rPr>
        <w:t>第四部分  附件</w:t>
      </w:r>
      <w:bookmarkEnd w:id="45"/>
    </w:p>
    <w:p w14:paraId="0A303570">
      <w:pPr>
        <w:spacing w:line="600" w:lineRule="exact"/>
        <w:ind w:firstLine="640"/>
        <w:rPr>
          <w:rFonts w:hint="eastAsia" w:ascii="Times New Roman" w:hAnsi="Times New Roman" w:eastAsia="仿宋_GB2312" w:cs="仿宋_GB2312"/>
          <w:sz w:val="32"/>
          <w:szCs w:val="32"/>
          <w:lang w:val="en-US" w:eastAsia="zh-CN"/>
        </w:rPr>
      </w:pPr>
      <w:bookmarkStart w:id="47" w:name="_Toc15396618"/>
    </w:p>
    <w:p w14:paraId="19303FF6">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部门预算项目支出绩效自评表（2025年度）见附件3</w:t>
      </w:r>
    </w:p>
    <w:p w14:paraId="50DF7E72">
      <w:pPr>
        <w:widowControl/>
        <w:jc w:val="center"/>
        <w:rPr>
          <w:rFonts w:hint="eastAsia" w:eastAsia="黑体"/>
          <w:sz w:val="44"/>
          <w:szCs w:val="44"/>
        </w:rPr>
      </w:pPr>
    </w:p>
    <w:p w14:paraId="11B398B9">
      <w:pPr>
        <w:widowControl/>
        <w:jc w:val="both"/>
        <w:rPr>
          <w:rFonts w:hint="eastAsia" w:eastAsia="黑体"/>
          <w:sz w:val="44"/>
          <w:szCs w:val="44"/>
        </w:rPr>
      </w:pPr>
    </w:p>
    <w:p w14:paraId="37A560A7">
      <w:pPr>
        <w:widowControl/>
        <w:jc w:val="both"/>
        <w:rPr>
          <w:rFonts w:hint="eastAsia" w:eastAsia="黑体"/>
          <w:sz w:val="44"/>
          <w:szCs w:val="44"/>
        </w:rPr>
      </w:pPr>
    </w:p>
    <w:p w14:paraId="7201662E">
      <w:pPr>
        <w:widowControl/>
        <w:jc w:val="both"/>
        <w:rPr>
          <w:rFonts w:hint="eastAsia" w:eastAsia="黑体"/>
          <w:sz w:val="44"/>
          <w:szCs w:val="44"/>
        </w:rPr>
      </w:pPr>
    </w:p>
    <w:p w14:paraId="0091AA30">
      <w:pPr>
        <w:widowControl/>
        <w:jc w:val="both"/>
        <w:rPr>
          <w:rFonts w:hint="eastAsia" w:eastAsia="黑体"/>
          <w:sz w:val="44"/>
          <w:szCs w:val="44"/>
        </w:rPr>
      </w:pPr>
    </w:p>
    <w:p w14:paraId="5477F1AE">
      <w:pPr>
        <w:widowControl/>
        <w:jc w:val="both"/>
        <w:rPr>
          <w:rFonts w:hint="eastAsia" w:eastAsia="黑体"/>
          <w:sz w:val="44"/>
          <w:szCs w:val="44"/>
        </w:rPr>
      </w:pPr>
    </w:p>
    <w:p w14:paraId="58A41621">
      <w:pPr>
        <w:widowControl/>
        <w:jc w:val="both"/>
        <w:rPr>
          <w:rFonts w:hint="eastAsia" w:eastAsia="黑体"/>
          <w:sz w:val="44"/>
          <w:szCs w:val="44"/>
        </w:rPr>
      </w:pPr>
    </w:p>
    <w:p w14:paraId="76AA4D55">
      <w:pPr>
        <w:widowControl/>
        <w:jc w:val="both"/>
        <w:rPr>
          <w:rFonts w:hint="eastAsia" w:eastAsia="黑体"/>
          <w:sz w:val="44"/>
          <w:szCs w:val="44"/>
        </w:rPr>
      </w:pPr>
    </w:p>
    <w:p w14:paraId="336DC86C">
      <w:pPr>
        <w:widowControl/>
        <w:jc w:val="both"/>
        <w:rPr>
          <w:rFonts w:hint="eastAsia" w:eastAsia="黑体"/>
          <w:sz w:val="44"/>
          <w:szCs w:val="44"/>
        </w:rPr>
      </w:pPr>
    </w:p>
    <w:p w14:paraId="7A3F79EE">
      <w:pPr>
        <w:widowControl/>
        <w:jc w:val="both"/>
        <w:rPr>
          <w:rFonts w:hint="eastAsia" w:eastAsia="黑体"/>
          <w:sz w:val="44"/>
          <w:szCs w:val="44"/>
        </w:rPr>
      </w:pPr>
    </w:p>
    <w:p w14:paraId="40A43731">
      <w:pPr>
        <w:widowControl/>
        <w:jc w:val="both"/>
        <w:rPr>
          <w:rFonts w:hint="eastAsia" w:eastAsia="黑体"/>
          <w:sz w:val="44"/>
          <w:szCs w:val="44"/>
        </w:rPr>
      </w:pPr>
    </w:p>
    <w:p w14:paraId="1E9D6842">
      <w:pPr>
        <w:widowControl/>
        <w:jc w:val="both"/>
        <w:rPr>
          <w:rFonts w:hint="eastAsia" w:eastAsia="黑体"/>
          <w:sz w:val="44"/>
          <w:szCs w:val="44"/>
        </w:rPr>
      </w:pPr>
    </w:p>
    <w:p w14:paraId="2642E75B">
      <w:pPr>
        <w:widowControl/>
        <w:jc w:val="both"/>
        <w:rPr>
          <w:rFonts w:hint="eastAsia" w:eastAsia="黑体"/>
          <w:sz w:val="44"/>
          <w:szCs w:val="44"/>
        </w:rPr>
      </w:pPr>
    </w:p>
    <w:p w14:paraId="2BA60427">
      <w:pPr>
        <w:widowControl/>
        <w:jc w:val="both"/>
        <w:rPr>
          <w:rFonts w:hint="eastAsia" w:eastAsia="黑体"/>
          <w:sz w:val="44"/>
          <w:szCs w:val="44"/>
        </w:rPr>
      </w:pPr>
    </w:p>
    <w:p w14:paraId="4D8CABAA">
      <w:pPr>
        <w:widowControl/>
        <w:jc w:val="both"/>
        <w:rPr>
          <w:rFonts w:hint="eastAsia" w:eastAsia="黑体"/>
          <w:sz w:val="44"/>
          <w:szCs w:val="44"/>
        </w:rPr>
      </w:pPr>
    </w:p>
    <w:p w14:paraId="589A1CD9">
      <w:pPr>
        <w:widowControl/>
        <w:jc w:val="both"/>
        <w:rPr>
          <w:rFonts w:hint="eastAsia" w:eastAsia="黑体"/>
          <w:sz w:val="44"/>
          <w:szCs w:val="44"/>
        </w:rPr>
      </w:pPr>
    </w:p>
    <w:p w14:paraId="597036D7">
      <w:pPr>
        <w:widowControl/>
        <w:jc w:val="both"/>
        <w:rPr>
          <w:rFonts w:hint="eastAsia" w:eastAsia="黑体"/>
          <w:sz w:val="44"/>
          <w:szCs w:val="44"/>
        </w:rPr>
      </w:pPr>
    </w:p>
    <w:p w14:paraId="5CB32B12">
      <w:pPr>
        <w:widowControl/>
        <w:jc w:val="both"/>
        <w:rPr>
          <w:rFonts w:hint="eastAsia" w:eastAsia="黑体"/>
          <w:sz w:val="44"/>
          <w:szCs w:val="44"/>
        </w:rPr>
      </w:pPr>
    </w:p>
    <w:p w14:paraId="33F38B36">
      <w:pPr>
        <w:widowControl/>
        <w:jc w:val="both"/>
        <w:rPr>
          <w:rFonts w:hint="eastAsia" w:eastAsia="黑体"/>
          <w:sz w:val="44"/>
          <w:szCs w:val="44"/>
        </w:rPr>
      </w:pPr>
    </w:p>
    <w:p w14:paraId="22ECCEC8">
      <w:pPr>
        <w:widowControl/>
        <w:jc w:val="center"/>
        <w:rPr>
          <w:rFonts w:eastAsia="仿宋"/>
        </w:rPr>
      </w:pPr>
      <w:r>
        <w:rPr>
          <w:rFonts w:hint="eastAsia" w:eastAsia="黑体"/>
          <w:sz w:val="44"/>
          <w:szCs w:val="44"/>
        </w:rPr>
        <w:t>第</w:t>
      </w:r>
      <w:r>
        <w:rPr>
          <w:rStyle w:val="28"/>
          <w:rFonts w:hint="eastAsia" w:eastAsia="黑体"/>
          <w:b w:val="0"/>
        </w:rPr>
        <w:t>五部分 附表</w:t>
      </w:r>
      <w:bookmarkEnd w:id="46"/>
      <w:bookmarkEnd w:id="47"/>
      <w:bookmarkStart w:id="48" w:name="_Toc15396619"/>
    </w:p>
    <w:p w14:paraId="4010BFA2">
      <w:pPr>
        <w:pStyle w:val="14"/>
        <w:adjustRightInd w:val="0"/>
        <w:snapToGrid w:val="0"/>
        <w:spacing w:line="560" w:lineRule="exact"/>
        <w:jc w:val="left"/>
        <w:rPr>
          <w:rFonts w:eastAsia="仿宋_GB2312" w:cs="仿宋_GB2312"/>
          <w:sz w:val="32"/>
          <w:szCs w:val="32"/>
        </w:rPr>
      </w:pPr>
    </w:p>
    <w:p w14:paraId="3ABA3BF7">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8"/>
    </w:p>
    <w:p w14:paraId="0982B38C">
      <w:pPr>
        <w:pStyle w:val="14"/>
        <w:adjustRightInd w:val="0"/>
        <w:snapToGrid w:val="0"/>
        <w:spacing w:line="560" w:lineRule="exact"/>
        <w:jc w:val="left"/>
        <w:rPr>
          <w:rFonts w:eastAsia="仿宋_GB2312" w:cs="仿宋_GB2312"/>
          <w:sz w:val="32"/>
          <w:szCs w:val="32"/>
        </w:rPr>
      </w:pPr>
      <w:bookmarkStart w:id="49" w:name="_Toc15396620"/>
      <w:r>
        <w:rPr>
          <w:rFonts w:hint="eastAsia" w:eastAsia="仿宋_GB2312" w:cs="仿宋_GB2312"/>
          <w:sz w:val="32"/>
          <w:szCs w:val="32"/>
        </w:rPr>
        <w:t>二、收入决算表</w:t>
      </w:r>
      <w:bookmarkEnd w:id="49"/>
    </w:p>
    <w:p w14:paraId="6C8DBCBB">
      <w:pPr>
        <w:pStyle w:val="14"/>
        <w:adjustRightInd w:val="0"/>
        <w:snapToGrid w:val="0"/>
        <w:spacing w:line="560" w:lineRule="exact"/>
        <w:jc w:val="left"/>
        <w:rPr>
          <w:rFonts w:eastAsia="仿宋_GB2312" w:cs="仿宋_GB2312"/>
          <w:sz w:val="32"/>
          <w:szCs w:val="32"/>
        </w:rPr>
      </w:pPr>
      <w:bookmarkStart w:id="50" w:name="_Toc15396621"/>
      <w:r>
        <w:rPr>
          <w:rFonts w:hint="eastAsia" w:eastAsia="仿宋_GB2312" w:cs="仿宋_GB2312"/>
          <w:sz w:val="32"/>
          <w:szCs w:val="32"/>
        </w:rPr>
        <w:t>三、支出决算表</w:t>
      </w:r>
      <w:bookmarkEnd w:id="50"/>
    </w:p>
    <w:p w14:paraId="24D3F308">
      <w:pPr>
        <w:pStyle w:val="14"/>
        <w:adjustRightInd w:val="0"/>
        <w:snapToGrid w:val="0"/>
        <w:spacing w:line="560" w:lineRule="exact"/>
        <w:jc w:val="left"/>
        <w:rPr>
          <w:rFonts w:eastAsia="仿宋_GB2312" w:cs="仿宋_GB2312"/>
          <w:sz w:val="32"/>
          <w:szCs w:val="32"/>
        </w:rPr>
      </w:pPr>
      <w:bookmarkStart w:id="51" w:name="_Toc15396622"/>
      <w:r>
        <w:rPr>
          <w:rFonts w:hint="eastAsia" w:eastAsia="仿宋_GB2312" w:cs="仿宋_GB2312"/>
          <w:sz w:val="32"/>
          <w:szCs w:val="32"/>
        </w:rPr>
        <w:t>四、财政拨款收入支出决算总表</w:t>
      </w:r>
      <w:bookmarkEnd w:id="51"/>
    </w:p>
    <w:p w14:paraId="77C57495">
      <w:pPr>
        <w:pStyle w:val="14"/>
        <w:adjustRightInd w:val="0"/>
        <w:snapToGrid w:val="0"/>
        <w:spacing w:line="560" w:lineRule="exact"/>
        <w:jc w:val="left"/>
        <w:rPr>
          <w:rFonts w:eastAsia="仿宋_GB2312" w:cs="仿宋_GB2312"/>
          <w:sz w:val="32"/>
          <w:szCs w:val="32"/>
        </w:rPr>
      </w:pPr>
      <w:bookmarkStart w:id="52" w:name="_Toc15396623"/>
      <w:r>
        <w:rPr>
          <w:rFonts w:hint="eastAsia" w:eastAsia="仿宋_GB2312" w:cs="仿宋_GB2312"/>
          <w:sz w:val="32"/>
          <w:szCs w:val="32"/>
        </w:rPr>
        <w:t>五、财政拨款支出决算明细表</w:t>
      </w:r>
      <w:bookmarkEnd w:id="52"/>
      <w:bookmarkStart w:id="53" w:name="_Toc15396624"/>
    </w:p>
    <w:p w14:paraId="3C82CDC5">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3"/>
    </w:p>
    <w:p w14:paraId="6145F7E4">
      <w:pPr>
        <w:pStyle w:val="14"/>
        <w:adjustRightInd w:val="0"/>
        <w:snapToGrid w:val="0"/>
        <w:spacing w:line="560" w:lineRule="exact"/>
        <w:jc w:val="left"/>
        <w:rPr>
          <w:rFonts w:eastAsia="仿宋_GB2312" w:cs="仿宋_GB2312"/>
          <w:sz w:val="32"/>
          <w:szCs w:val="32"/>
        </w:rPr>
      </w:pPr>
      <w:bookmarkStart w:id="54" w:name="_Toc15396625"/>
      <w:r>
        <w:rPr>
          <w:rFonts w:hint="eastAsia" w:eastAsia="仿宋_GB2312" w:cs="仿宋_GB2312"/>
          <w:sz w:val="32"/>
          <w:szCs w:val="32"/>
        </w:rPr>
        <w:t>七、一般公共预算财政拨款支出决算明细表</w:t>
      </w:r>
      <w:bookmarkEnd w:id="54"/>
    </w:p>
    <w:p w14:paraId="6A333C08">
      <w:pPr>
        <w:pStyle w:val="14"/>
        <w:adjustRightInd w:val="0"/>
        <w:snapToGrid w:val="0"/>
        <w:spacing w:line="560" w:lineRule="exact"/>
        <w:jc w:val="left"/>
        <w:rPr>
          <w:rFonts w:eastAsia="仿宋_GB2312" w:cs="仿宋_GB2312"/>
          <w:sz w:val="32"/>
          <w:szCs w:val="32"/>
        </w:rPr>
      </w:pPr>
      <w:bookmarkStart w:id="55" w:name="_Toc15396626"/>
      <w:r>
        <w:rPr>
          <w:rFonts w:hint="eastAsia" w:eastAsia="仿宋_GB2312" w:cs="仿宋_GB2312"/>
          <w:sz w:val="32"/>
          <w:szCs w:val="32"/>
        </w:rPr>
        <w:t>八、一般公共预算财政拨款基本支出决算表</w:t>
      </w:r>
      <w:bookmarkEnd w:id="55"/>
    </w:p>
    <w:p w14:paraId="7B34BF4E">
      <w:pPr>
        <w:pStyle w:val="14"/>
        <w:adjustRightInd w:val="0"/>
        <w:snapToGrid w:val="0"/>
        <w:spacing w:line="560" w:lineRule="exact"/>
        <w:jc w:val="left"/>
        <w:rPr>
          <w:rFonts w:eastAsia="仿宋_GB2312" w:cs="仿宋_GB2312"/>
          <w:sz w:val="32"/>
          <w:szCs w:val="32"/>
        </w:rPr>
      </w:pPr>
      <w:bookmarkStart w:id="56" w:name="_Toc15396627"/>
      <w:r>
        <w:rPr>
          <w:rFonts w:hint="eastAsia" w:eastAsia="仿宋_GB2312" w:cs="仿宋_GB2312"/>
          <w:sz w:val="32"/>
          <w:szCs w:val="32"/>
        </w:rPr>
        <w:t>九、一般公共预算财政拨款项目支出决算表</w:t>
      </w:r>
      <w:bookmarkEnd w:id="56"/>
    </w:p>
    <w:p w14:paraId="4301DE69">
      <w:pPr>
        <w:pStyle w:val="14"/>
        <w:adjustRightInd w:val="0"/>
        <w:snapToGrid w:val="0"/>
        <w:spacing w:line="560" w:lineRule="exact"/>
        <w:jc w:val="left"/>
        <w:rPr>
          <w:rFonts w:eastAsia="仿宋_GB2312" w:cs="仿宋_GB2312"/>
          <w:sz w:val="32"/>
          <w:szCs w:val="32"/>
        </w:rPr>
      </w:pPr>
      <w:bookmarkStart w:id="57" w:name="_Toc15396628"/>
      <w:r>
        <w:rPr>
          <w:rFonts w:hint="eastAsia" w:eastAsia="仿宋_GB2312" w:cs="仿宋_GB2312"/>
          <w:sz w:val="32"/>
          <w:szCs w:val="32"/>
        </w:rPr>
        <w:t>十、</w:t>
      </w:r>
      <w:bookmarkEnd w:id="57"/>
      <w:r>
        <w:rPr>
          <w:rFonts w:hint="eastAsia" w:eastAsia="仿宋_GB2312" w:cs="仿宋_GB2312"/>
          <w:sz w:val="32"/>
          <w:szCs w:val="32"/>
        </w:rPr>
        <w:t>政府性基金预算财政拨款收入支出决算表</w:t>
      </w:r>
    </w:p>
    <w:p w14:paraId="21173EBD">
      <w:pPr>
        <w:pStyle w:val="14"/>
        <w:adjustRightInd w:val="0"/>
        <w:snapToGrid w:val="0"/>
        <w:spacing w:line="560" w:lineRule="exact"/>
        <w:jc w:val="left"/>
        <w:rPr>
          <w:rFonts w:eastAsia="仿宋_GB2312" w:cs="仿宋_GB2312"/>
          <w:sz w:val="32"/>
          <w:szCs w:val="32"/>
        </w:rPr>
      </w:pPr>
      <w:bookmarkStart w:id="58" w:name="_Toc15396629"/>
      <w:r>
        <w:rPr>
          <w:rFonts w:hint="eastAsia" w:eastAsia="仿宋_GB2312" w:cs="仿宋_GB2312"/>
          <w:sz w:val="32"/>
          <w:szCs w:val="32"/>
        </w:rPr>
        <w:t>十一、</w:t>
      </w:r>
      <w:bookmarkEnd w:id="58"/>
      <w:r>
        <w:rPr>
          <w:rFonts w:hint="eastAsia" w:eastAsia="仿宋_GB2312" w:cs="仿宋_GB2312"/>
          <w:sz w:val="32"/>
          <w:szCs w:val="32"/>
        </w:rPr>
        <w:t>国有资本经营预算财政拨款收入支出决算表</w:t>
      </w:r>
    </w:p>
    <w:p w14:paraId="58E4384A">
      <w:pPr>
        <w:pStyle w:val="14"/>
        <w:adjustRightInd w:val="0"/>
        <w:snapToGrid w:val="0"/>
        <w:spacing w:line="560" w:lineRule="exact"/>
        <w:jc w:val="left"/>
        <w:rPr>
          <w:rFonts w:eastAsia="仿宋_GB2312" w:cs="仿宋_GB2312"/>
          <w:sz w:val="32"/>
          <w:szCs w:val="32"/>
        </w:rPr>
      </w:pPr>
      <w:bookmarkStart w:id="59" w:name="_Toc15396630"/>
      <w:r>
        <w:rPr>
          <w:rFonts w:hint="eastAsia" w:eastAsia="仿宋_GB2312" w:cs="仿宋_GB2312"/>
          <w:sz w:val="32"/>
          <w:szCs w:val="32"/>
        </w:rPr>
        <w:t>十二、</w:t>
      </w:r>
      <w:bookmarkEnd w:id="59"/>
      <w:r>
        <w:rPr>
          <w:rFonts w:hint="eastAsia" w:eastAsia="仿宋_GB2312" w:cs="仿宋_GB2312"/>
          <w:sz w:val="32"/>
          <w:szCs w:val="32"/>
        </w:rPr>
        <w:t>国有资本经营预算财政拨款支出决算表</w:t>
      </w:r>
    </w:p>
    <w:p w14:paraId="45AAB477">
      <w:pPr>
        <w:pStyle w:val="14"/>
        <w:adjustRightInd w:val="0"/>
        <w:snapToGrid w:val="0"/>
        <w:spacing w:line="560" w:lineRule="exact"/>
        <w:jc w:val="left"/>
        <w:rPr>
          <w:rFonts w:eastAsia="仿宋_GB2312" w:cs="仿宋_GB2312"/>
          <w:sz w:val="32"/>
          <w:szCs w:val="32"/>
        </w:rPr>
      </w:pPr>
      <w:bookmarkStart w:id="60" w:name="_Toc15396631"/>
      <w:r>
        <w:rPr>
          <w:rFonts w:hint="eastAsia" w:eastAsia="仿宋_GB2312" w:cs="仿宋_GB2312"/>
          <w:sz w:val="32"/>
          <w:szCs w:val="32"/>
        </w:rPr>
        <w:t>十三、</w:t>
      </w:r>
      <w:bookmarkEnd w:id="60"/>
      <w:r>
        <w:rPr>
          <w:rFonts w:hint="eastAsia" w:eastAsia="仿宋_GB2312" w:cs="仿宋_GB2312"/>
          <w:sz w:val="32"/>
          <w:szCs w:val="32"/>
        </w:rPr>
        <w:t>财政拨款“三公”经费支出决算表</w:t>
      </w:r>
    </w:p>
    <w:p w14:paraId="40D2A39E"/>
    <w:sectPr>
      <w:footerReference r:id="rId8"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2EA22">
    <w:pPr>
      <w:pStyle w:val="10"/>
      <w:jc w:val="center"/>
    </w:pPr>
  </w:p>
  <w:p w14:paraId="1979267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45008">
    <w:pPr>
      <w:pStyle w:val="10"/>
      <w:jc w:val="center"/>
    </w:pPr>
  </w:p>
  <w:p w14:paraId="3E287D6A">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DF27">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A8468">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0EA8468">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F45B2">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62898">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3162898">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14FBD1DC">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D44B">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5A26C">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8A76A9"/>
    <w:multiLevelType w:val="singleLevel"/>
    <w:tmpl w:val="3C8A76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CB57F27"/>
    <w:rsid w:val="1D155CEE"/>
    <w:rsid w:val="1E740ACF"/>
    <w:rsid w:val="1FF35744"/>
    <w:rsid w:val="1FF6BC77"/>
    <w:rsid w:val="21962A9E"/>
    <w:rsid w:val="21AE7C77"/>
    <w:rsid w:val="22BC3C41"/>
    <w:rsid w:val="23860B96"/>
    <w:rsid w:val="239B608F"/>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6A46E5"/>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5848</Words>
  <Characters>6251</Characters>
  <Lines>63</Lines>
  <Paragraphs>17</Paragraphs>
  <TotalTime>5</TotalTime>
  <ScaleCrop>false</ScaleCrop>
  <LinksUpToDate>false</LinksUpToDate>
  <CharactersWithSpaces>6286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Liu小鱼</cp:lastModifiedBy>
  <cp:lastPrinted>2026-08-27T00:27:00Z</cp:lastPrinted>
  <dcterms:modified xsi:type="dcterms:W3CDTF">2026-09-04T09:06:57Z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3BF536824C220DA3E40E8B68BA118B1C_42</vt:lpwstr>
  </property>
  <property fmtid="{D5CDD505-2E9C-101B-9397-08002B2CF9AE}" pid="4" name="KSOTemplateDocerSaveRecord">
    <vt:lpwstr>eyJoZGlkIjoiNWI5NGZiN2M3NWUxYmVmZWM1ZjI3ZTYwODQ0MzVjMTciLCJ1c2VySWQiOiIzMTA4NzQ3NjcifQ==</vt:lpwstr>
  </property>
</Properties>
</file>