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2E2BAD">
      <w:pPr>
        <w:pStyle w:val="5"/>
        <w:spacing w:before="93"/>
        <w:rPr>
          <w:rFonts w:hint="eastAsia" w:ascii="Times New Roman" w:eastAsia="方正小标宋简体"/>
          <w:kern w:val="2"/>
          <w:sz w:val="72"/>
          <w:szCs w:val="72"/>
        </w:rPr>
      </w:pPr>
      <w:bookmarkStart w:id="0" w:name="_Toc15306267"/>
      <w:bookmarkStart w:id="1" w:name="_Toc15377425"/>
      <w:bookmarkStart w:id="2" w:name="_Toc15377193"/>
      <w:bookmarkStart w:id="3" w:name="_Toc15378441"/>
      <w:bookmarkStart w:id="4" w:name="_Toc15396597"/>
      <w:bookmarkStart w:id="5" w:name="_Toc15396475"/>
    </w:p>
    <w:p w14:paraId="7394983C">
      <w:pPr>
        <w:pStyle w:val="5"/>
        <w:spacing w:before="93"/>
        <w:rPr>
          <w:rFonts w:ascii="Times New Roman" w:eastAsia="方正小标宋简体"/>
          <w:kern w:val="2"/>
          <w:sz w:val="72"/>
          <w:szCs w:val="72"/>
        </w:rPr>
      </w:pPr>
    </w:p>
    <w:p w14:paraId="1A2E2597">
      <w:pPr>
        <w:pStyle w:val="5"/>
        <w:spacing w:before="93"/>
        <w:rPr>
          <w:rFonts w:hint="eastAsia" w:ascii="Times New Roman" w:eastAsia="方正小标宋简体"/>
          <w:kern w:val="2"/>
          <w:sz w:val="72"/>
          <w:szCs w:val="72"/>
        </w:rPr>
      </w:pPr>
    </w:p>
    <w:p w14:paraId="2D89E7B3">
      <w:pPr>
        <w:pStyle w:val="5"/>
        <w:jc w:val="center"/>
        <w:rPr>
          <w:rFonts w:hint="eastAsia" w:ascii="方正小标宋简体" w:hAnsi="宋体" w:eastAsia="方正小标宋简体" w:cs="Times New Roman"/>
          <w:color w:val="auto"/>
          <w:kern w:val="2"/>
          <w:sz w:val="72"/>
          <w:szCs w:val="72"/>
          <w:highlight w:val="none"/>
          <w:lang w:val="en-US" w:eastAsia="zh-CN" w:bidi="ar-SA"/>
        </w:rPr>
      </w:pPr>
      <w:r>
        <w:rPr>
          <w:rFonts w:hint="default" w:ascii="Times New Roman" w:hAnsi="Times New Roman" w:eastAsia="方正小标宋简体" w:cs="Times New Roman"/>
          <w:color w:val="auto"/>
          <w:kern w:val="2"/>
          <w:sz w:val="72"/>
          <w:szCs w:val="72"/>
          <w:highlight w:val="none"/>
          <w:lang w:val="en-US" w:eastAsia="zh-CN" w:bidi="ar-SA"/>
        </w:rPr>
        <w:t>202</w:t>
      </w:r>
      <w:r>
        <w:rPr>
          <w:rFonts w:hint="eastAsia" w:ascii="Times New Roman" w:hAnsi="Times New Roman" w:eastAsia="方正小标宋简体" w:cs="Times New Roman"/>
          <w:color w:val="auto"/>
          <w:kern w:val="2"/>
          <w:sz w:val="72"/>
          <w:szCs w:val="72"/>
          <w:highlight w:val="none"/>
          <w:lang w:val="en-US" w:eastAsia="zh-CN" w:bidi="ar-SA"/>
        </w:rPr>
        <w:t>5</w:t>
      </w:r>
      <w:r>
        <w:rPr>
          <w:rFonts w:hint="eastAsia" w:ascii="方正小标宋简体" w:hAnsi="宋体" w:eastAsia="方正小标宋简体" w:cs="Times New Roman"/>
          <w:color w:val="auto"/>
          <w:kern w:val="2"/>
          <w:sz w:val="72"/>
          <w:szCs w:val="72"/>
          <w:highlight w:val="none"/>
          <w:lang w:val="en-US" w:eastAsia="zh-CN" w:bidi="ar-SA"/>
        </w:rPr>
        <w:t>年度</w:t>
      </w:r>
    </w:p>
    <w:p w14:paraId="4710A4BD">
      <w:pPr>
        <w:pStyle w:val="5"/>
        <w:jc w:val="center"/>
        <w:rPr>
          <w:rFonts w:hint="eastAsia" w:ascii="方正小标宋简体" w:hAnsi="宋体" w:eastAsia="方正小标宋简体" w:cs="Times New Roman"/>
          <w:color w:val="auto"/>
          <w:kern w:val="2"/>
          <w:sz w:val="72"/>
          <w:szCs w:val="72"/>
          <w:highlight w:val="none"/>
          <w:lang w:val="en-US" w:eastAsia="zh-CN" w:bidi="ar-SA"/>
        </w:rPr>
      </w:pPr>
      <w:r>
        <w:rPr>
          <w:rFonts w:hint="eastAsia" w:ascii="方正小标宋简体" w:hAnsi="宋体" w:eastAsia="方正小标宋简体" w:cs="Times New Roman"/>
          <w:color w:val="auto"/>
          <w:kern w:val="2"/>
          <w:sz w:val="72"/>
          <w:szCs w:val="72"/>
          <w:highlight w:val="none"/>
          <w:lang w:val="en-US" w:eastAsia="zh-CN" w:bidi="ar-SA"/>
        </w:rPr>
        <w:t>四川省攀枝花市人民政府驻成都办事处</w:t>
      </w:r>
    </w:p>
    <w:p w14:paraId="25CABAFE">
      <w:pPr>
        <w:pStyle w:val="5"/>
        <w:jc w:val="center"/>
        <w:rPr>
          <w:rFonts w:ascii="Times New Roman" w:hAnsi="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r>
        <w:rPr>
          <w:rFonts w:hint="eastAsia" w:ascii="方正小标宋简体" w:hAnsi="宋体" w:eastAsia="方正小标宋简体" w:cs="Times New Roman"/>
          <w:color w:val="auto"/>
          <w:kern w:val="2"/>
          <w:sz w:val="72"/>
          <w:szCs w:val="72"/>
          <w:highlight w:val="none"/>
          <w:lang w:val="en-US" w:eastAsia="zh-CN" w:bidi="ar-SA"/>
        </w:rPr>
        <w:t>部门决算</w:t>
      </w:r>
    </w:p>
    <w:bookmarkEnd w:id="0"/>
    <w:bookmarkEnd w:id="1"/>
    <w:bookmarkEnd w:id="2"/>
    <w:bookmarkEnd w:id="3"/>
    <w:bookmarkEnd w:id="4"/>
    <w:bookmarkEnd w:id="5"/>
    <w:p w14:paraId="5E6C7084">
      <w:pPr>
        <w:widowControl/>
        <w:jc w:val="center"/>
        <w:rPr>
          <w:rFonts w:eastAsia="黑体"/>
          <w:sz w:val="48"/>
          <w:szCs w:val="48"/>
        </w:rPr>
      </w:pPr>
      <w:r>
        <w:rPr>
          <w:rFonts w:hint="eastAsia" w:eastAsia="黑体"/>
          <w:sz w:val="48"/>
          <w:szCs w:val="48"/>
        </w:rPr>
        <w:t>目录</w:t>
      </w:r>
    </w:p>
    <w:p w14:paraId="5E2CF725">
      <w:pPr>
        <w:widowControl/>
        <w:jc w:val="center"/>
        <w:rPr>
          <w:rFonts w:eastAsia="黑体" w:cstheme="minorBidi"/>
          <w:sz w:val="28"/>
          <w:szCs w:val="28"/>
        </w:rPr>
      </w:pPr>
    </w:p>
    <w:p w14:paraId="1FC75ECD">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日</w:t>
      </w:r>
    </w:p>
    <w:p w14:paraId="57E12701"/>
    <w:p w14:paraId="2257A4FF">
      <w:pPr>
        <w:pStyle w:val="13"/>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第一部分 部门概况</w:t>
      </w:r>
      <w:r>
        <w:rPr>
          <w:rFonts w:hint="eastAsia" w:ascii="Times New Roman" w:hAnsi="Times New Roman" w:eastAsia="黑体" w:cs="黑体"/>
          <w:sz w:val="32"/>
          <w:szCs w:val="32"/>
          <w:lang w:val="en-US" w:eastAsia="zh-CN"/>
        </w:rPr>
        <w:t>..................................................................1</w:t>
      </w:r>
    </w:p>
    <w:p w14:paraId="48C33A66">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一、部门职责</w:t>
      </w:r>
      <w:r>
        <w:rPr>
          <w:rFonts w:hint="eastAsia" w:eastAsia="仿宋_GB2312" w:cs="仿宋_GB2312"/>
          <w:sz w:val="32"/>
          <w:szCs w:val="32"/>
          <w:lang w:val="en-US" w:eastAsia="zh-CN"/>
        </w:rPr>
        <w:t>....................................................................1</w:t>
      </w:r>
    </w:p>
    <w:p w14:paraId="25AB6668">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二、机构设置</w:t>
      </w:r>
      <w:r>
        <w:rPr>
          <w:rFonts w:hint="eastAsia" w:eastAsia="仿宋_GB2312" w:cs="仿宋_GB2312"/>
          <w:sz w:val="32"/>
          <w:szCs w:val="32"/>
          <w:lang w:val="en-US" w:eastAsia="zh-CN"/>
        </w:rPr>
        <w:t>....................................................................2</w:t>
      </w:r>
    </w:p>
    <w:p w14:paraId="0A191515">
      <w:pPr>
        <w:pStyle w:val="13"/>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第二部分 2025年度部门决算情况说明</w:t>
      </w:r>
      <w:r>
        <w:rPr>
          <w:rFonts w:hint="eastAsia" w:ascii="Times New Roman" w:hAnsi="Times New Roman" w:eastAsia="黑体" w:cs="黑体"/>
          <w:sz w:val="32"/>
          <w:szCs w:val="32"/>
          <w:lang w:val="en-US" w:eastAsia="zh-CN"/>
        </w:rPr>
        <w:t>.................................4</w:t>
      </w:r>
    </w:p>
    <w:p w14:paraId="0AA62EE7">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一、收入支出决算总体情况说明</w:t>
      </w:r>
      <w:r>
        <w:rPr>
          <w:rFonts w:hint="eastAsia" w:eastAsia="仿宋_GB2312" w:cs="仿宋_GB2312"/>
          <w:sz w:val="32"/>
          <w:szCs w:val="32"/>
          <w:lang w:val="en-US" w:eastAsia="zh-CN"/>
        </w:rPr>
        <w:t>....................................4</w:t>
      </w:r>
    </w:p>
    <w:p w14:paraId="4D921819">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二、收入决算情况说明</w:t>
      </w:r>
      <w:r>
        <w:rPr>
          <w:rFonts w:hint="eastAsia" w:eastAsia="仿宋_GB2312" w:cs="仿宋_GB2312"/>
          <w:sz w:val="32"/>
          <w:szCs w:val="32"/>
          <w:lang w:val="en-US" w:eastAsia="zh-CN"/>
        </w:rPr>
        <w:t>....................................................5</w:t>
      </w:r>
    </w:p>
    <w:p w14:paraId="7792EC28">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三、支出决算情况说明</w:t>
      </w:r>
      <w:r>
        <w:rPr>
          <w:rFonts w:hint="eastAsia" w:eastAsia="仿宋_GB2312" w:cs="仿宋_GB2312"/>
          <w:sz w:val="32"/>
          <w:szCs w:val="32"/>
          <w:lang w:val="en-US" w:eastAsia="zh-CN"/>
        </w:rPr>
        <w:t>....................................................5</w:t>
      </w:r>
    </w:p>
    <w:p w14:paraId="66C3251A">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四、财政拨款收入支出决算总体情况说明</w:t>
      </w:r>
      <w:r>
        <w:rPr>
          <w:rFonts w:hint="eastAsia" w:eastAsia="仿宋_GB2312" w:cs="仿宋_GB2312"/>
          <w:sz w:val="32"/>
          <w:szCs w:val="32"/>
          <w:lang w:val="en-US" w:eastAsia="zh-CN"/>
        </w:rPr>
        <w:t>....................6</w:t>
      </w:r>
    </w:p>
    <w:p w14:paraId="6730BCBF">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五、一般公共预算财政拨款支出决算情况说明</w:t>
      </w:r>
      <w:r>
        <w:rPr>
          <w:rFonts w:hint="eastAsia" w:eastAsia="仿宋_GB2312" w:cs="仿宋_GB2312"/>
          <w:sz w:val="32"/>
          <w:szCs w:val="32"/>
          <w:lang w:val="en-US" w:eastAsia="zh-CN"/>
        </w:rPr>
        <w:t>............7</w:t>
      </w:r>
    </w:p>
    <w:p w14:paraId="2768621C">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六、一般公共预算财政拨款基本支出决算情况说明</w:t>
      </w:r>
      <w:r>
        <w:rPr>
          <w:rFonts w:hint="eastAsia" w:eastAsia="仿宋_GB2312" w:cs="仿宋_GB2312"/>
          <w:sz w:val="32"/>
          <w:szCs w:val="32"/>
          <w:lang w:val="en-US" w:eastAsia="zh-CN"/>
        </w:rPr>
        <w:t>...10</w:t>
      </w:r>
    </w:p>
    <w:p w14:paraId="2DC0ED19">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七、财政拨款“三公”经费支出决算情况说明</w:t>
      </w:r>
      <w:r>
        <w:rPr>
          <w:rFonts w:hint="eastAsia" w:eastAsia="仿宋_GB2312" w:cs="仿宋_GB2312"/>
          <w:sz w:val="32"/>
          <w:szCs w:val="32"/>
          <w:lang w:val="en-US" w:eastAsia="zh-CN"/>
        </w:rPr>
        <w:t>...........11</w:t>
      </w:r>
    </w:p>
    <w:p w14:paraId="3410A893">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八、政府性基金预算支出决算情况说明</w:t>
      </w:r>
      <w:r>
        <w:rPr>
          <w:rFonts w:hint="eastAsia" w:eastAsia="仿宋_GB2312" w:cs="仿宋_GB2312"/>
          <w:sz w:val="32"/>
          <w:szCs w:val="32"/>
          <w:lang w:val="en-US" w:eastAsia="zh-CN"/>
        </w:rPr>
        <w:t>.......................13</w:t>
      </w:r>
    </w:p>
    <w:p w14:paraId="41FE65BC">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九、国有资本经营预算支出决算情况说明</w:t>
      </w:r>
      <w:r>
        <w:rPr>
          <w:rFonts w:hint="eastAsia" w:eastAsia="仿宋_GB2312" w:cs="仿宋_GB2312"/>
          <w:sz w:val="32"/>
          <w:szCs w:val="32"/>
          <w:lang w:val="en-US" w:eastAsia="zh-CN"/>
        </w:rPr>
        <w:t>...................13</w:t>
      </w:r>
    </w:p>
    <w:p w14:paraId="6F98C2D3">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十、其他重要事项的情况说明</w:t>
      </w:r>
      <w:r>
        <w:rPr>
          <w:rFonts w:hint="eastAsia" w:eastAsia="仿宋_GB2312" w:cs="仿宋_GB2312"/>
          <w:sz w:val="32"/>
          <w:szCs w:val="32"/>
          <w:lang w:val="en-US" w:eastAsia="zh-CN"/>
        </w:rPr>
        <w:t>.......................................13</w:t>
      </w:r>
    </w:p>
    <w:p w14:paraId="465008EF">
      <w:pPr>
        <w:pStyle w:val="13"/>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第三部分 名词解释</w:t>
      </w:r>
      <w:r>
        <w:rPr>
          <w:rFonts w:hint="eastAsia" w:ascii="Times New Roman" w:hAnsi="Times New Roman" w:eastAsia="黑体" w:cs="黑体"/>
          <w:sz w:val="32"/>
          <w:szCs w:val="32"/>
          <w:lang w:val="en-US" w:eastAsia="zh-CN"/>
        </w:rPr>
        <w:t>.................................................................15</w:t>
      </w:r>
    </w:p>
    <w:p w14:paraId="76CD1545">
      <w:pPr>
        <w:pStyle w:val="13"/>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第四部分 附件</w:t>
      </w:r>
      <w:r>
        <w:rPr>
          <w:rFonts w:hint="eastAsia" w:ascii="Times New Roman" w:hAnsi="Times New Roman" w:eastAsia="黑体" w:cs="黑体"/>
          <w:sz w:val="32"/>
          <w:szCs w:val="32"/>
          <w:lang w:val="en-US" w:eastAsia="zh-CN"/>
        </w:rPr>
        <w:t>.........................................................................19</w:t>
      </w:r>
    </w:p>
    <w:p w14:paraId="795AB4CB">
      <w:pPr>
        <w:pStyle w:val="13"/>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第五部分 附表</w:t>
      </w:r>
      <w:r>
        <w:rPr>
          <w:rFonts w:hint="eastAsia" w:ascii="Times New Roman" w:hAnsi="Times New Roman" w:eastAsia="黑体" w:cs="黑体"/>
          <w:sz w:val="32"/>
          <w:szCs w:val="32"/>
          <w:lang w:val="en-US" w:eastAsia="zh-CN"/>
        </w:rPr>
        <w:t>.........................................................................35</w:t>
      </w:r>
    </w:p>
    <w:p w14:paraId="3FA0176F">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一、收入支出决算总表</w:t>
      </w:r>
      <w:r>
        <w:rPr>
          <w:rFonts w:hint="eastAsia" w:eastAsia="仿宋_GB2312" w:cs="仿宋_GB2312"/>
          <w:sz w:val="32"/>
          <w:szCs w:val="32"/>
          <w:lang w:val="en-US" w:eastAsia="zh-CN"/>
        </w:rPr>
        <w:t>...................................................</w:t>
      </w:r>
      <w:r>
        <w:rPr>
          <w:rFonts w:hint="eastAsia" w:ascii="Times New Roman" w:hAnsi="Times New Roman" w:eastAsia="黑体" w:cs="黑体"/>
          <w:sz w:val="32"/>
          <w:szCs w:val="32"/>
          <w:lang w:val="en-US" w:eastAsia="zh-CN"/>
        </w:rPr>
        <w:t>35</w:t>
      </w:r>
    </w:p>
    <w:p w14:paraId="054ABE2C">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r>
        <w:rPr>
          <w:rFonts w:hint="eastAsia" w:ascii="Times New Roman" w:hAnsi="Times New Roman" w:eastAsia="黑体" w:cs="黑体"/>
          <w:sz w:val="32"/>
          <w:szCs w:val="32"/>
          <w:lang w:val="en-US" w:eastAsia="zh-CN"/>
        </w:rPr>
        <w:t>...............................................................35</w:t>
      </w:r>
    </w:p>
    <w:p w14:paraId="2A12FC2D">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r>
        <w:rPr>
          <w:rFonts w:hint="eastAsia" w:ascii="Times New Roman" w:hAnsi="Times New Roman" w:eastAsia="黑体" w:cs="黑体"/>
          <w:sz w:val="32"/>
          <w:szCs w:val="32"/>
          <w:lang w:val="en-US" w:eastAsia="zh-CN"/>
        </w:rPr>
        <w:t>...............................................................35</w:t>
      </w:r>
    </w:p>
    <w:p w14:paraId="5E3CA06C">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............................35</w:t>
      </w:r>
    </w:p>
    <w:p w14:paraId="3C07767B">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r>
        <w:rPr>
          <w:rFonts w:hint="eastAsia" w:ascii="Times New Roman" w:hAnsi="Times New Roman" w:eastAsia="黑体" w:cs="黑体"/>
          <w:sz w:val="32"/>
          <w:szCs w:val="32"/>
          <w:lang w:val="en-US" w:eastAsia="zh-CN"/>
        </w:rPr>
        <w:t>.......................................35</w:t>
      </w:r>
    </w:p>
    <w:p w14:paraId="10C9BA1C">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r>
        <w:rPr>
          <w:rFonts w:hint="eastAsia" w:ascii="Times New Roman" w:hAnsi="Times New Roman" w:eastAsia="黑体" w:cs="黑体"/>
          <w:sz w:val="32"/>
          <w:szCs w:val="32"/>
          <w:lang w:val="en-US" w:eastAsia="zh-CN"/>
        </w:rPr>
        <w:t>.......................35</w:t>
      </w:r>
    </w:p>
    <w:p w14:paraId="7D995DCF">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r>
        <w:rPr>
          <w:rFonts w:hint="eastAsia" w:ascii="Times New Roman" w:hAnsi="Times New Roman" w:eastAsia="黑体" w:cs="黑体"/>
          <w:sz w:val="32"/>
          <w:szCs w:val="32"/>
          <w:lang w:val="en-US" w:eastAsia="zh-CN"/>
        </w:rPr>
        <w:t>...............35</w:t>
      </w:r>
    </w:p>
    <w:p w14:paraId="69A6E5BB">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r>
        <w:rPr>
          <w:rFonts w:hint="eastAsia" w:ascii="Times New Roman" w:hAnsi="Times New Roman" w:eastAsia="黑体" w:cs="黑体"/>
          <w:sz w:val="32"/>
          <w:szCs w:val="32"/>
          <w:lang w:val="en-US" w:eastAsia="zh-CN"/>
        </w:rPr>
        <w:t>.......35</w:t>
      </w:r>
    </w:p>
    <w:p w14:paraId="3419F671">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r>
        <w:rPr>
          <w:rFonts w:hint="eastAsia" w:ascii="Times New Roman" w:hAnsi="Times New Roman" w:eastAsia="黑体" w:cs="黑体"/>
          <w:sz w:val="32"/>
          <w:szCs w:val="32"/>
          <w:lang w:val="en-US" w:eastAsia="zh-CN"/>
        </w:rPr>
        <w:t>...............35</w:t>
      </w:r>
    </w:p>
    <w:p w14:paraId="1549348A">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r>
        <w:rPr>
          <w:rFonts w:hint="eastAsia" w:ascii="Times New Roman" w:hAnsi="Times New Roman" w:eastAsia="黑体" w:cs="黑体"/>
          <w:sz w:val="32"/>
          <w:szCs w:val="32"/>
          <w:lang w:val="en-US" w:eastAsia="zh-CN"/>
        </w:rPr>
        <w:t>...........35</w:t>
      </w:r>
    </w:p>
    <w:p w14:paraId="07A6204E">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r>
        <w:rPr>
          <w:rFonts w:hint="eastAsia" w:ascii="Times New Roman" w:hAnsi="Times New Roman" w:eastAsia="黑体" w:cs="黑体"/>
          <w:sz w:val="32"/>
          <w:szCs w:val="32"/>
          <w:lang w:val="en-US" w:eastAsia="zh-CN"/>
        </w:rPr>
        <w:t>...35</w:t>
      </w:r>
    </w:p>
    <w:p w14:paraId="0F83B4E2">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r>
        <w:rPr>
          <w:rFonts w:hint="eastAsia" w:ascii="Times New Roman" w:hAnsi="Times New Roman" w:eastAsia="黑体" w:cs="黑体"/>
          <w:sz w:val="32"/>
          <w:szCs w:val="32"/>
          <w:lang w:val="en-US" w:eastAsia="zh-CN"/>
        </w:rPr>
        <w:t>...........35</w:t>
      </w:r>
    </w:p>
    <w:p w14:paraId="06BB5385">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........35</w:t>
      </w:r>
    </w:p>
    <w:p w14:paraId="69589CE7">
      <w:pPr>
        <w:pStyle w:val="2"/>
        <w:jc w:val="both"/>
        <w:rPr>
          <w:rFonts w:hint="eastAsia" w:eastAsia="方正小标宋简体" w:cs="方正小标宋简体"/>
          <w:b w:val="0"/>
        </w:rPr>
        <w:sectPr>
          <w:footerReference r:id="rId6" w:type="first"/>
          <w:footerReference r:id="rId5" w:type="default"/>
          <w:pgSz w:w="11906" w:h="16838"/>
          <w:pgMar w:top="1440" w:right="1800" w:bottom="1440" w:left="1800" w:header="851" w:footer="992" w:gutter="0"/>
          <w:pgNumType w:start="1"/>
          <w:cols w:space="425" w:num="1"/>
          <w:docGrid w:type="lines" w:linePitch="312" w:charSpace="0"/>
        </w:sectPr>
      </w:pPr>
      <w:bookmarkStart w:id="6" w:name="_Toc15377196"/>
      <w:bookmarkStart w:id="7" w:name="_Toc15396599"/>
    </w:p>
    <w:p w14:paraId="7AE43025">
      <w:pPr>
        <w:pStyle w:val="2"/>
        <w:jc w:val="center"/>
        <w:rPr>
          <w:rFonts w:eastAsia="黑体"/>
          <w:sz w:val="32"/>
          <w:szCs w:val="32"/>
        </w:rPr>
      </w:pPr>
      <w:r>
        <w:rPr>
          <w:rFonts w:hint="eastAsia" w:eastAsia="方正小标宋简体" w:cs="方正小标宋简体"/>
          <w:b w:val="0"/>
        </w:rPr>
        <w:t xml:space="preserve">第一部分  </w:t>
      </w:r>
      <w:r>
        <w:rPr>
          <w:rStyle w:val="30"/>
          <w:rFonts w:hint="eastAsia" w:eastAsia="方正小标宋简体" w:cs="方正小标宋简体"/>
          <w:b w:val="0"/>
          <w:bCs w:val="0"/>
        </w:rPr>
        <w:t>部门概况</w:t>
      </w:r>
      <w:bookmarkEnd w:id="6"/>
      <w:bookmarkEnd w:id="7"/>
    </w:p>
    <w:p w14:paraId="5C14DC00">
      <w:pPr>
        <w:pStyle w:val="3"/>
        <w:numPr>
          <w:ilvl w:val="0"/>
          <w:numId w:val="1"/>
        </w:numPr>
      </w:pPr>
      <w:r>
        <w:rPr>
          <w:rFonts w:hint="eastAsia" w:ascii="Times New Roman" w:hAnsi="Times New Roman" w:eastAsia="黑体"/>
          <w:b w:val="0"/>
        </w:rPr>
        <w:t>部门职责</w:t>
      </w:r>
    </w:p>
    <w:p w14:paraId="73BA9416">
      <w:pPr>
        <w:pStyle w:val="29"/>
        <w:spacing w:line="600" w:lineRule="exact"/>
        <w:ind w:firstLine="640"/>
        <w:outlineLvl w:val="1"/>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eastAsia="zh-CN"/>
        </w:rPr>
        <w:t>攀枝花市人民政府驻成都办事处</w:t>
      </w:r>
    </w:p>
    <w:p w14:paraId="0182846A">
      <w:pPr>
        <w:pStyle w:val="29"/>
        <w:spacing w:line="600" w:lineRule="exact"/>
        <w:ind w:firstLine="640"/>
        <w:outlineLvl w:val="1"/>
        <w:rPr>
          <w:rFonts w:hint="eastAsia" w:ascii="Times New Roman" w:hAnsi="Times New Roman" w:eastAsia="仿宋_GB2312" w:cs="仿宋_GB2312"/>
          <w:sz w:val="32"/>
          <w:szCs w:val="32"/>
          <w:lang w:eastAsia="zh-CN"/>
        </w:rPr>
      </w:pPr>
      <w:r>
        <w:rPr>
          <w:rFonts w:hint="default" w:ascii="Times New Roman" w:hAnsi="Times New Roman" w:eastAsia="仿宋_GB2312" w:cs="仿宋_GB2312"/>
          <w:sz w:val="32"/>
          <w:szCs w:val="32"/>
          <w:lang w:eastAsia="zh-CN"/>
        </w:rPr>
        <w:t>①</w:t>
      </w:r>
      <w:r>
        <w:rPr>
          <w:rFonts w:hint="eastAsia" w:ascii="Times New Roman" w:hAnsi="Times New Roman" w:eastAsia="仿宋_GB2312" w:cs="仿宋_GB2312"/>
          <w:sz w:val="32"/>
          <w:szCs w:val="32"/>
          <w:lang w:eastAsia="zh-CN"/>
        </w:rPr>
        <w:t>负责川、渝地区的联络。负责与省级机关、重庆市、成都市的联系；积极向上争取政策、项目、资金；宣传介绍攀枝花的政治、经济和社会发展情况，促进城市间的相互了解和友好往来；参与我市在成都、重庆进行的有关重大活动的组织协调和服务工作。</w:t>
      </w:r>
      <w:r>
        <w:rPr>
          <w:rFonts w:hint="default" w:ascii="Times New Roman" w:hAnsi="Times New Roman" w:eastAsia="仿宋_GB2312" w:cs="仿宋_GB2312"/>
          <w:sz w:val="32"/>
          <w:szCs w:val="32"/>
          <w:lang w:eastAsia="zh-CN"/>
        </w:rPr>
        <w:t>②</w:t>
      </w:r>
      <w:r>
        <w:rPr>
          <w:rFonts w:hint="eastAsia" w:ascii="Times New Roman" w:hAnsi="Times New Roman" w:eastAsia="仿宋_GB2312" w:cs="仿宋_GB2312"/>
          <w:sz w:val="32"/>
          <w:szCs w:val="32"/>
          <w:lang w:eastAsia="zh-CN"/>
        </w:rPr>
        <w:t>加强调查研究，收集、整理和传递重要的政务、经济信息，为市委、市政府决策提供参考依据，为</w:t>
      </w:r>
      <w:r>
        <w:rPr>
          <w:rFonts w:hint="eastAsia" w:ascii="Times New Roman" w:hAnsi="Times New Roman" w:eastAsia="仿宋_GB2312" w:cs="仿宋_GB2312"/>
          <w:sz w:val="32"/>
          <w:szCs w:val="32"/>
          <w:lang w:val="en-US" w:eastAsia="zh-CN"/>
        </w:rPr>
        <w:t>市级</w:t>
      </w:r>
      <w:r>
        <w:rPr>
          <w:rFonts w:hint="eastAsia" w:ascii="Times New Roman" w:hAnsi="Times New Roman" w:eastAsia="仿宋_GB2312" w:cs="仿宋_GB2312"/>
          <w:sz w:val="32"/>
          <w:szCs w:val="32"/>
          <w:lang w:eastAsia="zh-CN"/>
        </w:rPr>
        <w:t>部门、县（区）和企业提供信息咨询服务。</w:t>
      </w:r>
      <w:r>
        <w:rPr>
          <w:rFonts w:hint="default" w:ascii="Times New Roman" w:hAnsi="Times New Roman" w:eastAsia="仿宋_GB2312" w:cs="仿宋_GB2312"/>
          <w:sz w:val="32"/>
          <w:szCs w:val="32"/>
          <w:lang w:eastAsia="zh-CN"/>
        </w:rPr>
        <w:t>③</w:t>
      </w:r>
      <w:r>
        <w:rPr>
          <w:rFonts w:hint="eastAsia" w:ascii="Times New Roman" w:hAnsi="Times New Roman" w:eastAsia="仿宋_GB2312" w:cs="仿宋_GB2312"/>
          <w:sz w:val="32"/>
          <w:szCs w:val="32"/>
          <w:lang w:eastAsia="zh-CN"/>
        </w:rPr>
        <w:t>开展招商引资和区域间经济、技术、人才、文化的交流与合作；围绕我市经济发展的支柱产业和重点项目，积极开展招商引资活动，着力引进技术和资金，同时协助市内企业拓展市外市场。④负责协调县（区）驻蓉办事处（联络处）的关系和业务指导。⑤负责市级领导赴蓉及途经成都的接待工作，为市级各部门、县（区）和企事业单位在成都开展业务活动提供咨询服务和工作方便。⑥负责与攀枝花调到成都和离退休后到成都定居的领导和干部的联系，为我市的经济建设和社会发展服务。⑦协助市级有关部门做好本市人员到蓉上访的处置工作。⑧负责对办事处及所属单位的财产进行监督管理，保证国有资产保值增值。⑨承办市委、市政府和主管部门交办的其它事宜。</w:t>
      </w:r>
    </w:p>
    <w:p w14:paraId="7EE73F27">
      <w:pPr>
        <w:pStyle w:val="29"/>
        <w:spacing w:line="600" w:lineRule="exact"/>
        <w:ind w:firstLine="640"/>
        <w:outlineLvl w:val="1"/>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eastAsia="zh-CN"/>
        </w:rPr>
        <w:t>攀枝花市成都干部休养所</w:t>
      </w:r>
    </w:p>
    <w:p w14:paraId="14A34A42">
      <w:pPr>
        <w:pStyle w:val="29"/>
        <w:spacing w:line="600" w:lineRule="exact"/>
        <w:ind w:firstLine="640"/>
        <w:outlineLvl w:val="1"/>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①落实干休所离休老干部政治、生活待遇。②</w:t>
      </w:r>
      <w:r>
        <w:rPr>
          <w:rFonts w:hint="eastAsia" w:ascii="Times New Roman" w:hAnsi="Times New Roman" w:eastAsia="仿宋_GB2312" w:cs="仿宋_GB2312"/>
          <w:sz w:val="32"/>
          <w:szCs w:val="32"/>
          <w:lang w:val="en-US" w:eastAsia="zh-CN"/>
        </w:rPr>
        <w:t>做好</w:t>
      </w:r>
      <w:r>
        <w:rPr>
          <w:rFonts w:hint="eastAsia" w:ascii="Times New Roman" w:hAnsi="Times New Roman" w:eastAsia="仿宋_GB2312" w:cs="仿宋_GB2312"/>
          <w:sz w:val="32"/>
          <w:szCs w:val="32"/>
          <w:lang w:eastAsia="zh-CN"/>
        </w:rPr>
        <w:t>离休老同志日常管理服务。③为方便离休老干部看病就医提供服务。④开展离休老干部的文化娱乐活动.组织他们外出参观考察。</w:t>
      </w:r>
    </w:p>
    <w:p w14:paraId="55F6C8E8">
      <w:pPr>
        <w:pStyle w:val="29"/>
        <w:spacing w:line="600" w:lineRule="exact"/>
        <w:ind w:firstLine="640"/>
        <w:outlineLvl w:val="1"/>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val="en-US" w:eastAsia="zh-CN"/>
        </w:rPr>
        <w:t>3、</w:t>
      </w:r>
      <w:r>
        <w:rPr>
          <w:rFonts w:hint="eastAsia" w:ascii="Times New Roman" w:hAnsi="Times New Roman" w:eastAsia="仿宋_GB2312" w:cs="仿宋_GB2312"/>
          <w:sz w:val="32"/>
          <w:szCs w:val="32"/>
          <w:lang w:eastAsia="zh-CN"/>
        </w:rPr>
        <w:t>攀枝花市成都干部服务中心</w:t>
      </w:r>
    </w:p>
    <w:p w14:paraId="1D350DDF">
      <w:pPr>
        <w:pStyle w:val="29"/>
        <w:spacing w:line="600" w:lineRule="exact"/>
        <w:ind w:firstLine="640"/>
        <w:outlineLvl w:val="1"/>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①负责承担在蓉攀籍离退休干部的接待服务及维稳工作。②联络、协调攀枝花市调蓉的在职及离退休干部工作。</w:t>
      </w:r>
    </w:p>
    <w:p w14:paraId="55D5D14A">
      <w:pPr>
        <w:pStyle w:val="29"/>
        <w:spacing w:line="600" w:lineRule="exact"/>
        <w:ind w:left="0" w:leftChars="0" w:firstLine="0" w:firstLineChars="0"/>
        <w:outlineLvl w:val="1"/>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③负责在蓉向曾经在攀工作的干部宣传介绍攀枝花，使之进一步为攀枝花建设和发展服务。④邀请医院医生为西锦渡小区离退休干部进行现场健康问题解答。⑤充分利用服务中心会议室、干部活动室、文体设施设备，为小区住户开展有益身心健康的文体活动。⑥协调西锦渡物业管理部门做好管理及小区房屋、公共设施的维护保养工作。</w:t>
      </w:r>
    </w:p>
    <w:p w14:paraId="5D03124B">
      <w:pPr>
        <w:pStyle w:val="3"/>
        <w:numPr>
          <w:ilvl w:val="0"/>
          <w:numId w:val="0"/>
        </w:numPr>
        <w:ind w:firstLine="640" w:firstLineChars="200"/>
        <w:rPr>
          <w:rFonts w:hint="eastAsia" w:ascii="Times New Roman" w:hAnsi="Times New Roman" w:eastAsia="黑体"/>
          <w:b w:val="0"/>
          <w:lang w:eastAsia="zh-CN"/>
        </w:rPr>
      </w:pPr>
      <w:bookmarkStart w:id="8" w:name="_Toc15377200"/>
      <w:bookmarkStart w:id="9" w:name="_Toc15396601"/>
      <w:r>
        <w:rPr>
          <w:rFonts w:hint="eastAsia" w:ascii="Times New Roman" w:hAnsi="Times New Roman" w:eastAsia="黑体"/>
          <w:b w:val="0"/>
          <w:lang w:eastAsia="zh-CN"/>
        </w:rPr>
        <w:t>二、机构设置</w:t>
      </w:r>
      <w:bookmarkEnd w:id="8"/>
      <w:bookmarkEnd w:id="9"/>
    </w:p>
    <w:p w14:paraId="00502E9B">
      <w:pPr>
        <w:pStyle w:val="29"/>
        <w:spacing w:line="600" w:lineRule="exact"/>
        <w:ind w:firstLine="640"/>
        <w:outlineLvl w:val="1"/>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攀枝花市人民政府驻成都办事处</w:t>
      </w:r>
      <w:r>
        <w:rPr>
          <w:rFonts w:hint="eastAsia" w:ascii="Times New Roman" w:hAnsi="Times New Roman" w:eastAsia="仿宋_GB2312" w:cs="仿宋_GB2312"/>
          <w:sz w:val="32"/>
          <w:szCs w:val="32"/>
          <w:lang w:eastAsia="zh-CN"/>
        </w:rPr>
        <w:t>下属二级预算单位</w:t>
      </w:r>
      <w:r>
        <w:rPr>
          <w:rFonts w:hint="eastAsia" w:ascii="Times New Roman" w:hAnsi="Times New Roman" w:eastAsia="仿宋_GB2312" w:cs="仿宋_GB2312"/>
          <w:sz w:val="32"/>
          <w:szCs w:val="32"/>
          <w:lang w:val="en-US" w:eastAsia="zh-CN"/>
        </w:rPr>
        <w:t>3</w:t>
      </w:r>
      <w:r>
        <w:rPr>
          <w:rFonts w:hint="eastAsia" w:ascii="Times New Roman" w:hAnsi="Times New Roman" w:eastAsia="仿宋_GB2312" w:cs="仿宋_GB2312"/>
          <w:sz w:val="32"/>
          <w:szCs w:val="32"/>
          <w:lang w:eastAsia="zh-CN"/>
        </w:rPr>
        <w:t>个，其中行政单位</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eastAsia="zh-CN"/>
        </w:rPr>
        <w:t>个，参照公务员法管理的事业单位</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eastAsia="zh-CN"/>
        </w:rPr>
        <w:t>个，其他事业单位</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eastAsia="zh-CN"/>
        </w:rPr>
        <w:t>个。</w:t>
      </w:r>
      <w:r>
        <w:rPr>
          <w:rFonts w:hint="eastAsia" w:ascii="Times New Roman" w:hAnsi="Times New Roman" w:eastAsia="仿宋_GB2312" w:cs="仿宋_GB2312"/>
          <w:sz w:val="32"/>
          <w:szCs w:val="32"/>
        </w:rPr>
        <w:t>纳入</w:t>
      </w:r>
      <w:r>
        <w:rPr>
          <w:rFonts w:hint="eastAsia" w:ascii="Times New Roman" w:hAnsi="Times New Roman" w:eastAsia="仿宋_GB2312" w:cs="仿宋_GB2312"/>
          <w:sz w:val="32"/>
          <w:szCs w:val="32"/>
          <w:lang w:eastAsia="zh-CN"/>
        </w:rPr>
        <w:t>攀枝花市人民政府驻成都办事处</w:t>
      </w:r>
      <w:r>
        <w:rPr>
          <w:rFonts w:hint="eastAsia" w:ascii="Times New Roman" w:hAnsi="Times New Roman" w:eastAsia="仿宋_GB2312" w:cs="仿宋_GB2312"/>
          <w:sz w:val="32"/>
          <w:szCs w:val="32"/>
        </w:rPr>
        <w:t>2025年度部门决算编制范围的二级预算单位包括：</w:t>
      </w:r>
    </w:p>
    <w:p w14:paraId="256953A9">
      <w:pPr>
        <w:pStyle w:val="29"/>
        <w:spacing w:line="600" w:lineRule="exact"/>
        <w:ind w:firstLine="640"/>
        <w:outlineLvl w:val="1"/>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eastAsia="zh-CN"/>
        </w:rPr>
        <w:t>攀枝花市人民政府驻成都办事处（</w:t>
      </w:r>
      <w:r>
        <w:rPr>
          <w:rFonts w:hint="eastAsia" w:ascii="Times New Roman" w:hAnsi="Times New Roman" w:eastAsia="仿宋_GB2312" w:cs="仿宋_GB2312"/>
          <w:sz w:val="32"/>
          <w:szCs w:val="32"/>
          <w:lang w:val="en-US" w:eastAsia="zh-CN"/>
        </w:rPr>
        <w:t>以下简称成办）</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2025年机构未发生变化，</w:t>
      </w:r>
      <w:r>
        <w:rPr>
          <w:rFonts w:hint="eastAsia" w:ascii="Times New Roman" w:hAnsi="Times New Roman" w:eastAsia="仿宋_GB2312" w:cs="仿宋_GB2312"/>
          <w:sz w:val="32"/>
          <w:szCs w:val="32"/>
        </w:rPr>
        <w:t>内设处室“三科一办”，即党委办公室、综合科、经济联络信息科、接待管理科外，</w:t>
      </w:r>
      <w:r>
        <w:rPr>
          <w:rFonts w:hint="eastAsia" w:ascii="Times New Roman" w:hAnsi="Times New Roman" w:eastAsia="仿宋_GB2312" w:cs="仿宋_GB2312"/>
          <w:sz w:val="32"/>
          <w:szCs w:val="32"/>
          <w:lang w:eastAsia="zh-CN"/>
        </w:rPr>
        <w:t>另外</w:t>
      </w:r>
      <w:r>
        <w:rPr>
          <w:rFonts w:hint="eastAsia" w:ascii="Times New Roman" w:hAnsi="Times New Roman" w:eastAsia="仿宋_GB2312" w:cs="仿宋_GB2312"/>
          <w:sz w:val="32"/>
          <w:szCs w:val="32"/>
        </w:rPr>
        <w:t>还挂有“中共攀枝花市委组织部驻成都流动党员服务站”、“共青团攀枝花市委驻成都工作委员会”和“攀枝花市驻成都群众工作站”等三个牌子</w:t>
      </w:r>
      <w:r>
        <w:rPr>
          <w:rFonts w:hint="eastAsia" w:ascii="Times New Roman" w:hAnsi="Times New Roman" w:eastAsia="仿宋_GB2312" w:cs="仿宋_GB2312"/>
          <w:sz w:val="32"/>
          <w:szCs w:val="32"/>
          <w:lang w:eastAsia="zh-CN"/>
        </w:rPr>
        <w:t>。</w:t>
      </w:r>
    </w:p>
    <w:p w14:paraId="4FFDE2E0">
      <w:pPr>
        <w:pStyle w:val="29"/>
        <w:spacing w:line="600" w:lineRule="exact"/>
        <w:ind w:firstLine="640"/>
        <w:outlineLvl w:val="1"/>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eastAsia="zh-CN"/>
        </w:rPr>
        <w:t>攀枝花市成都干部休养所（</w:t>
      </w:r>
      <w:r>
        <w:rPr>
          <w:rFonts w:hint="eastAsia" w:ascii="Times New Roman" w:hAnsi="Times New Roman" w:eastAsia="仿宋_GB2312" w:cs="仿宋_GB2312"/>
          <w:sz w:val="32"/>
          <w:szCs w:val="32"/>
          <w:lang w:val="en-US" w:eastAsia="zh-CN"/>
        </w:rPr>
        <w:t>以下简称干休所）</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干休所内设机构有办公室、财务室和医务室</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2025年未发生变化</w:t>
      </w:r>
      <w:r>
        <w:rPr>
          <w:rFonts w:hint="eastAsia" w:ascii="Times New Roman" w:hAnsi="Times New Roman" w:eastAsia="仿宋_GB2312" w:cs="仿宋_GB2312"/>
          <w:sz w:val="32"/>
          <w:szCs w:val="32"/>
        </w:rPr>
        <w:t>。</w:t>
      </w:r>
    </w:p>
    <w:p w14:paraId="640846BF">
      <w:pPr>
        <w:pStyle w:val="29"/>
        <w:spacing w:line="600" w:lineRule="exact"/>
        <w:ind w:firstLine="640"/>
        <w:outlineLvl w:val="1"/>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3、</w:t>
      </w:r>
      <w:r>
        <w:rPr>
          <w:rFonts w:hint="eastAsia" w:ascii="Times New Roman" w:hAnsi="Times New Roman" w:eastAsia="仿宋_GB2312" w:cs="仿宋_GB2312"/>
          <w:sz w:val="32"/>
          <w:szCs w:val="32"/>
          <w:lang w:eastAsia="zh-CN"/>
        </w:rPr>
        <w:t>攀枝花市成都干部服务中心（</w:t>
      </w:r>
      <w:r>
        <w:rPr>
          <w:rFonts w:hint="eastAsia" w:ascii="Times New Roman" w:hAnsi="Times New Roman" w:eastAsia="仿宋_GB2312" w:cs="仿宋_GB2312"/>
          <w:sz w:val="32"/>
          <w:szCs w:val="32"/>
          <w:lang w:val="en-US" w:eastAsia="zh-CN"/>
        </w:rPr>
        <w:t>以下简称服务中心）</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服务中心内设机构有办公室、财务室、业务宣传室</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2025年未发生变化</w:t>
      </w:r>
      <w:r>
        <w:rPr>
          <w:rFonts w:hint="eastAsia" w:ascii="Times New Roman" w:hAnsi="Times New Roman" w:eastAsia="仿宋_GB2312" w:cs="仿宋_GB2312"/>
          <w:sz w:val="32"/>
          <w:szCs w:val="32"/>
          <w:lang w:eastAsia="zh-CN"/>
        </w:rPr>
        <w:t>。</w:t>
      </w:r>
    </w:p>
    <w:p w14:paraId="4F373B66">
      <w:pPr>
        <w:rPr>
          <w:rFonts w:hint="default"/>
          <w:lang w:val="en-US" w:eastAsia="zh-CN"/>
        </w:rPr>
      </w:pPr>
    </w:p>
    <w:p w14:paraId="3E9F002D">
      <w:pPr>
        <w:widowControl/>
        <w:jc w:val="left"/>
        <w:rPr>
          <w:rFonts w:eastAsia="仿宋"/>
          <w:kern w:val="0"/>
          <w:sz w:val="32"/>
          <w:szCs w:val="32"/>
        </w:rPr>
      </w:pPr>
      <w:r>
        <w:rPr>
          <w:rFonts w:eastAsia="仿宋"/>
          <w:sz w:val="32"/>
          <w:szCs w:val="32"/>
        </w:rPr>
        <w:br w:type="page"/>
      </w:r>
    </w:p>
    <w:p w14:paraId="535F2030">
      <w:pPr>
        <w:pStyle w:val="2"/>
        <w:jc w:val="center"/>
      </w:pPr>
      <w:bookmarkStart w:id="10" w:name="_Toc15396602"/>
      <w:bookmarkStart w:id="11" w:name="_Toc15377204"/>
      <w:r>
        <w:rPr>
          <w:rFonts w:hint="eastAsia" w:eastAsia="方正小标宋简体" w:cs="方正小标宋简体"/>
          <w:b w:val="0"/>
        </w:rPr>
        <w:t>第二部分  2025年度部门决算情况说明</w:t>
      </w:r>
      <w:bookmarkEnd w:id="10"/>
      <w:bookmarkEnd w:id="11"/>
    </w:p>
    <w:p w14:paraId="53C732BA">
      <w:pPr>
        <w:pStyle w:val="29"/>
        <w:spacing w:line="600" w:lineRule="exact"/>
        <w:ind w:firstLine="640"/>
        <w:outlineLvl w:val="1"/>
        <w:rPr>
          <w:rStyle w:val="31"/>
          <w:rFonts w:ascii="Times New Roman" w:hAnsi="Times New Roman" w:eastAsia="黑体"/>
          <w:b w:val="0"/>
        </w:rPr>
      </w:pPr>
      <w:bookmarkStart w:id="12" w:name="_Toc15377205"/>
      <w:bookmarkStart w:id="13" w:name="_Toc15396603"/>
      <w:r>
        <w:rPr>
          <w:rFonts w:hint="eastAsia" w:eastAsia="黑体"/>
          <w:sz w:val="32"/>
          <w:szCs w:val="32"/>
        </w:rPr>
        <w:t>一、收</w:t>
      </w:r>
      <w:r>
        <w:rPr>
          <w:rStyle w:val="31"/>
          <w:rFonts w:hint="eastAsia" w:ascii="Times New Roman" w:hAnsi="Times New Roman" w:eastAsia="黑体"/>
          <w:b w:val="0"/>
        </w:rPr>
        <w:t>入支出决算总体情况说明</w:t>
      </w:r>
      <w:bookmarkEnd w:id="12"/>
      <w:bookmarkEnd w:id="13"/>
    </w:p>
    <w:p w14:paraId="68EE5D83">
      <w:pPr>
        <w:numPr>
          <w:ilvl w:val="0"/>
          <w:numId w:val="0"/>
        </w:numPr>
        <w:snapToGrid w:val="0"/>
        <w:spacing w:line="560" w:lineRule="exact"/>
        <w:ind w:firstLine="640" w:firstLineChars="200"/>
        <w:rPr>
          <w:rFonts w:hint="eastAsia" w:eastAsia="仿宋_GB2312" w:cs="仿宋_GB2312"/>
          <w:sz w:val="32"/>
          <w:szCs w:val="32"/>
          <w:lang w:eastAsia="zh-CN"/>
        </w:rPr>
      </w:pPr>
      <w:r>
        <w:rPr>
          <w:rFonts w:hint="eastAsia" w:eastAsia="仿宋_GB2312" w:cs="仿宋_GB2312"/>
          <w:sz w:val="32"/>
          <w:szCs w:val="32"/>
        </w:rPr>
        <w:t>2025年度收入、支出总计均为</w:t>
      </w:r>
      <w:r>
        <w:rPr>
          <w:rFonts w:hint="eastAsia" w:eastAsia="仿宋_GB2312" w:cs="仿宋_GB2312"/>
          <w:sz w:val="32"/>
          <w:szCs w:val="32"/>
          <w:lang w:val="en-US" w:eastAsia="zh-CN"/>
        </w:rPr>
        <w:t>876.42</w:t>
      </w:r>
      <w:r>
        <w:rPr>
          <w:rFonts w:hint="eastAsia" w:eastAsia="仿宋_GB2312" w:cs="仿宋_GB2312"/>
          <w:sz w:val="32"/>
          <w:szCs w:val="32"/>
        </w:rPr>
        <w:t>万元。与上年度相比，收入、支出总计各增加</w:t>
      </w:r>
      <w:r>
        <w:rPr>
          <w:rFonts w:hint="eastAsia" w:eastAsia="仿宋_GB2312" w:cs="仿宋_GB2312"/>
          <w:sz w:val="32"/>
          <w:szCs w:val="32"/>
          <w:lang w:val="en-US" w:eastAsia="zh-CN"/>
        </w:rPr>
        <w:t>59.26</w:t>
      </w:r>
      <w:r>
        <w:rPr>
          <w:rFonts w:hint="eastAsia" w:eastAsia="仿宋_GB2312" w:cs="仿宋_GB2312"/>
          <w:sz w:val="32"/>
          <w:szCs w:val="32"/>
        </w:rPr>
        <w:t>万元，增长</w:t>
      </w:r>
      <w:r>
        <w:rPr>
          <w:rFonts w:hint="eastAsia" w:eastAsia="仿宋_GB2312" w:cs="仿宋_GB2312"/>
          <w:sz w:val="32"/>
          <w:szCs w:val="32"/>
          <w:lang w:val="en-US" w:eastAsia="zh-CN"/>
        </w:rPr>
        <w:t>7.25</w:t>
      </w:r>
      <w:r>
        <w:rPr>
          <w:rFonts w:hint="eastAsia" w:eastAsia="仿宋_GB2312" w:cs="仿宋_GB2312"/>
          <w:sz w:val="32"/>
          <w:szCs w:val="32"/>
        </w:rPr>
        <w:t>%。主要变动原因是</w:t>
      </w:r>
      <w:r>
        <w:rPr>
          <w:rFonts w:hint="eastAsia" w:eastAsia="仿宋_GB2312" w:cs="仿宋_GB2312"/>
          <w:sz w:val="32"/>
          <w:szCs w:val="32"/>
          <w:lang w:eastAsia="zh-CN"/>
        </w:rPr>
        <w:t>：</w:t>
      </w:r>
    </w:p>
    <w:p w14:paraId="0CC31DE9">
      <w:pPr>
        <w:numPr>
          <w:ilvl w:val="0"/>
          <w:numId w:val="0"/>
        </w:numPr>
        <w:snapToGrid w:val="0"/>
        <w:spacing w:line="560" w:lineRule="exact"/>
        <w:ind w:firstLine="640" w:firstLineChars="200"/>
        <w:rPr>
          <w:rFonts w:hint="eastAsia" w:ascii="仿宋_GB2312" w:hAnsi="仿宋" w:eastAsia="仿宋_GB2312" w:cs="Times New Roman"/>
          <w:sz w:val="32"/>
          <w:szCs w:val="32"/>
          <w:lang w:val="en-US" w:eastAsia="zh-CN"/>
        </w:rPr>
      </w:pPr>
      <w:r>
        <w:rPr>
          <w:rFonts w:hint="eastAsia" w:eastAsia="仿宋_GB2312" w:cs="仿宋_GB2312"/>
          <w:sz w:val="32"/>
          <w:szCs w:val="32"/>
          <w:lang w:val="en-US" w:eastAsia="zh-CN"/>
        </w:rPr>
        <w:t>1、攀枝花市人民政府驻成都办事处：2025年市度收入、支出均为593.72万元，相比2024年增加45.68万元，原因是调入2人，相应的人员经费和公用经费增加</w:t>
      </w:r>
      <w:r>
        <w:rPr>
          <w:rFonts w:hint="eastAsia" w:ascii="仿宋_GB2312" w:hAnsi="仿宋" w:eastAsia="仿宋_GB2312" w:cs="Times New Roman"/>
          <w:sz w:val="32"/>
          <w:szCs w:val="32"/>
          <w:lang w:val="en-US" w:eastAsia="zh-CN"/>
        </w:rPr>
        <w:t>。</w:t>
      </w:r>
    </w:p>
    <w:p w14:paraId="602AFC03">
      <w:pPr>
        <w:pStyle w:val="29"/>
        <w:spacing w:line="600" w:lineRule="exact"/>
        <w:ind w:firstLine="640"/>
        <w:outlineLvl w:val="1"/>
        <w:rPr>
          <w:rFonts w:hint="eastAsia" w:ascii="仿宋_GB2312" w:hAnsi="仿宋" w:eastAsia="仿宋_GB2312"/>
          <w:sz w:val="32"/>
          <w:szCs w:val="32"/>
          <w:highlight w:val="none"/>
        </w:rPr>
      </w:pPr>
      <w:r>
        <w:rPr>
          <w:rFonts w:hint="eastAsia" w:ascii="仿宋_GB2312" w:hAnsi="仿宋" w:eastAsia="仿宋_GB2312" w:cs="Times New Roman"/>
          <w:sz w:val="32"/>
          <w:szCs w:val="32"/>
          <w:lang w:val="en-US" w:eastAsia="zh-CN"/>
        </w:rPr>
        <w:t>2、攀枝花市成都干部休养所：</w:t>
      </w:r>
      <w:r>
        <w:rPr>
          <w:rFonts w:hint="eastAsia" w:eastAsia="仿宋_GB2312" w:cs="仿宋_GB2312"/>
          <w:sz w:val="32"/>
          <w:szCs w:val="32"/>
        </w:rPr>
        <w:t>2025年度收入、支出总计均为</w:t>
      </w:r>
      <w:r>
        <w:rPr>
          <w:rFonts w:hint="eastAsia" w:eastAsia="仿宋_GB2312" w:cs="仿宋_GB2312"/>
          <w:sz w:val="32"/>
          <w:szCs w:val="32"/>
          <w:lang w:val="en-US" w:eastAsia="zh-CN"/>
        </w:rPr>
        <w:t>141.68</w:t>
      </w:r>
      <w:r>
        <w:rPr>
          <w:rFonts w:hint="eastAsia" w:eastAsia="仿宋_GB2312" w:cs="仿宋_GB2312"/>
          <w:sz w:val="32"/>
          <w:szCs w:val="32"/>
        </w:rPr>
        <w:t>万元。与上年度相比，收入、支出总计各减少</w:t>
      </w:r>
      <w:r>
        <w:rPr>
          <w:rFonts w:hint="eastAsia" w:eastAsia="仿宋_GB2312" w:cs="仿宋_GB2312"/>
          <w:sz w:val="32"/>
          <w:szCs w:val="32"/>
          <w:lang w:val="en-US" w:eastAsia="zh-CN"/>
        </w:rPr>
        <w:t>3.45</w:t>
      </w:r>
      <w:r>
        <w:rPr>
          <w:rFonts w:hint="eastAsia" w:eastAsia="仿宋_GB2312" w:cs="仿宋_GB2312"/>
          <w:sz w:val="32"/>
          <w:szCs w:val="32"/>
        </w:rPr>
        <w:t>万元，下降</w:t>
      </w:r>
      <w:r>
        <w:rPr>
          <w:rFonts w:hint="eastAsia" w:eastAsia="仿宋_GB2312" w:cs="仿宋_GB2312"/>
          <w:sz w:val="32"/>
          <w:szCs w:val="32"/>
          <w:lang w:val="en-US" w:eastAsia="zh-CN"/>
        </w:rPr>
        <w:t>2.4</w:t>
      </w:r>
      <w:r>
        <w:rPr>
          <w:rFonts w:hint="eastAsia" w:eastAsia="仿宋_GB2312" w:cs="仿宋_GB2312"/>
          <w:sz w:val="32"/>
          <w:szCs w:val="32"/>
        </w:rPr>
        <w:t>%。主要变动原因是财政紧张，经费减少。</w:t>
      </w:r>
    </w:p>
    <w:p w14:paraId="1217656F">
      <w:pPr>
        <w:pStyle w:val="29"/>
        <w:spacing w:line="600" w:lineRule="exact"/>
        <w:ind w:firstLine="640"/>
        <w:outlineLvl w:val="1"/>
        <w:rPr>
          <w:rFonts w:hint="eastAsia" w:eastAsia="仿宋_GB2312" w:cs="仿宋_GB2312"/>
          <w:sz w:val="32"/>
          <w:szCs w:val="32"/>
        </w:rPr>
      </w:pPr>
      <w:r>
        <w:rPr>
          <w:rFonts w:hint="eastAsia" w:ascii="仿宋_GB2312" w:hAnsi="仿宋" w:eastAsia="仿宋_GB2312" w:cs="Times New Roman"/>
          <w:sz w:val="32"/>
          <w:szCs w:val="32"/>
          <w:lang w:val="en-US" w:eastAsia="zh-CN"/>
        </w:rPr>
        <w:t>3、攀枝花市成都干部服务中心：</w:t>
      </w:r>
      <w:bookmarkStart w:id="14" w:name="_Toc29893"/>
      <w:r>
        <w:rPr>
          <w:rFonts w:hint="eastAsia" w:eastAsia="仿宋_GB2312" w:cs="仿宋_GB2312"/>
          <w:sz w:val="32"/>
          <w:szCs w:val="32"/>
        </w:rPr>
        <w:t>2025年度收入、支出总</w:t>
      </w:r>
      <w:r>
        <w:rPr>
          <w:rFonts w:hint="default" w:ascii="Times New Roman" w:hAnsi="Times New Roman" w:eastAsia="仿宋_GB2312" w:cs="Times New Roman"/>
          <w:sz w:val="32"/>
          <w:szCs w:val="32"/>
        </w:rPr>
        <w:t>计均为</w:t>
      </w:r>
      <w:r>
        <w:rPr>
          <w:rFonts w:hint="eastAsia" w:eastAsia="仿宋_GB2312" w:cs="Times New Roman"/>
          <w:sz w:val="32"/>
          <w:szCs w:val="32"/>
          <w:highlight w:val="none"/>
          <w:lang w:val="en-US" w:eastAsia="zh-CN"/>
        </w:rPr>
        <w:t>141.02</w:t>
      </w:r>
      <w:r>
        <w:rPr>
          <w:rFonts w:hint="eastAsia" w:eastAsia="仿宋_GB2312" w:cs="仿宋_GB2312"/>
          <w:sz w:val="32"/>
          <w:szCs w:val="32"/>
        </w:rPr>
        <w:t>万元。与上年度相比，收入、支出总计各增加</w:t>
      </w:r>
      <w:r>
        <w:rPr>
          <w:rFonts w:hint="eastAsia" w:eastAsia="仿宋_GB2312" w:cs="仿宋_GB2312"/>
          <w:sz w:val="32"/>
          <w:szCs w:val="32"/>
          <w:lang w:val="en-US" w:eastAsia="zh-CN"/>
        </w:rPr>
        <w:t>17.03</w:t>
      </w:r>
      <w:r>
        <w:rPr>
          <w:rFonts w:hint="eastAsia" w:eastAsia="仿宋_GB2312" w:cs="仿宋_GB2312"/>
          <w:sz w:val="32"/>
          <w:szCs w:val="32"/>
        </w:rPr>
        <w:t>万元，增长</w:t>
      </w:r>
      <w:r>
        <w:rPr>
          <w:rFonts w:hint="eastAsia" w:eastAsia="仿宋_GB2312" w:cs="仿宋_GB2312"/>
          <w:sz w:val="32"/>
          <w:szCs w:val="32"/>
          <w:lang w:val="en-US" w:eastAsia="zh-CN"/>
        </w:rPr>
        <w:t>13.7</w:t>
      </w:r>
      <w:r>
        <w:rPr>
          <w:rFonts w:hint="eastAsia" w:eastAsia="仿宋_GB2312" w:cs="仿宋_GB2312"/>
          <w:sz w:val="32"/>
          <w:szCs w:val="32"/>
        </w:rPr>
        <w:t>%。主要变动原因是</w:t>
      </w:r>
      <w:r>
        <w:rPr>
          <w:rFonts w:hint="eastAsia" w:eastAsia="仿宋_GB2312" w:cs="仿宋_GB2312"/>
          <w:sz w:val="32"/>
          <w:szCs w:val="32"/>
          <w:lang w:val="en-US" w:eastAsia="zh-CN"/>
        </w:rPr>
        <w:t>3月新进人员且</w:t>
      </w:r>
      <w:r>
        <w:rPr>
          <w:rFonts w:hint="eastAsia" w:eastAsia="仿宋_GB2312" w:cs="仿宋_GB2312"/>
          <w:sz w:val="32"/>
          <w:szCs w:val="32"/>
        </w:rPr>
        <w:t>职工正常晋升，工资正常上涨。</w:t>
      </w:r>
      <w:bookmarkEnd w:id="14"/>
    </w:p>
    <w:p w14:paraId="748D0D33">
      <w:pPr>
        <w:numPr>
          <w:ilvl w:val="0"/>
          <w:numId w:val="0"/>
        </w:numPr>
        <w:snapToGrid w:val="0"/>
        <w:spacing w:line="240" w:lineRule="auto"/>
        <w:ind w:firstLine="0" w:firstLineChars="0"/>
        <w:jc w:val="center"/>
        <w:rPr>
          <w:rFonts w:hint="eastAsia" w:eastAsia="仿宋_GB2312" w:cs="仿宋_GB2312"/>
          <w:sz w:val="32"/>
          <w:szCs w:val="32"/>
        </w:rPr>
      </w:pPr>
      <w:r>
        <w:rPr>
          <w:rFonts w:hint="eastAsia" w:ascii="仿宋_GB2312" w:hAnsi="仿宋" w:eastAsia="仿宋_GB2312" w:cs="Times New Roman"/>
          <w:sz w:val="24"/>
          <w:szCs w:val="24"/>
          <w:lang w:val="en-US" w:eastAsia="zh-CN"/>
        </w:rPr>
        <w:drawing>
          <wp:inline distT="0" distB="0" distL="114300" distR="114300">
            <wp:extent cx="4456430" cy="2464435"/>
            <wp:effectExtent l="0" t="0" r="1270" b="0"/>
            <wp:docPr id="4" name="图片 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
                    <pic:cNvPicPr>
                      <a:picLocks noChangeAspect="1"/>
                    </pic:cNvPicPr>
                  </pic:nvPicPr>
                  <pic:blipFill>
                    <a:blip r:embed="rId9"/>
                    <a:stretch>
                      <a:fillRect/>
                    </a:stretch>
                  </pic:blipFill>
                  <pic:spPr>
                    <a:xfrm>
                      <a:off x="0" y="0"/>
                      <a:ext cx="4456430" cy="2464435"/>
                    </a:xfrm>
                    <a:prstGeom prst="rect">
                      <a:avLst/>
                    </a:prstGeom>
                    <a:noFill/>
                    <a:ln>
                      <a:noFill/>
                    </a:ln>
                  </pic:spPr>
                </pic:pic>
              </a:graphicData>
            </a:graphic>
          </wp:inline>
        </w:drawing>
      </w:r>
    </w:p>
    <w:p w14:paraId="2B712F28">
      <w:pPr>
        <w:pStyle w:val="29"/>
        <w:spacing w:line="600" w:lineRule="exact"/>
        <w:ind w:left="0" w:leftChars="0" w:firstLine="0" w:firstLineChars="0"/>
        <w:jc w:val="center"/>
        <w:outlineLvl w:val="1"/>
        <w:rPr>
          <w:rFonts w:hint="eastAsia" w:eastAsia="黑体"/>
          <w:sz w:val="32"/>
          <w:szCs w:val="32"/>
        </w:rPr>
      </w:pPr>
      <w:r>
        <w:rPr>
          <w:rFonts w:hint="eastAsia" w:eastAsia="仿宋_GB2312" w:cs="仿宋_GB2312"/>
          <w:sz w:val="32"/>
          <w:szCs w:val="32"/>
        </w:rPr>
        <w:t>（图1：收入、支出决算总计变动情况图）</w:t>
      </w:r>
      <w:bookmarkStart w:id="15" w:name="_Toc15377206"/>
      <w:bookmarkStart w:id="16" w:name="_Toc15396604"/>
    </w:p>
    <w:p w14:paraId="5C7B1D71">
      <w:pPr>
        <w:pStyle w:val="29"/>
        <w:spacing w:line="600" w:lineRule="exact"/>
        <w:ind w:firstLine="640"/>
        <w:outlineLvl w:val="1"/>
        <w:rPr>
          <w:rFonts w:eastAsia="黑体"/>
          <w:sz w:val="32"/>
          <w:szCs w:val="32"/>
        </w:rPr>
      </w:pPr>
      <w:r>
        <w:rPr>
          <w:rFonts w:hint="eastAsia" w:eastAsia="黑体"/>
          <w:sz w:val="32"/>
          <w:szCs w:val="32"/>
        </w:rPr>
        <w:t>二、收入决算情况说明</w:t>
      </w:r>
      <w:bookmarkEnd w:id="15"/>
      <w:bookmarkEnd w:id="16"/>
    </w:p>
    <w:p w14:paraId="71CA883D">
      <w:pPr>
        <w:pStyle w:val="29"/>
        <w:spacing w:line="600" w:lineRule="exact"/>
        <w:ind w:firstLine="640"/>
        <w:outlineLvl w:val="1"/>
        <w:rPr>
          <w:rFonts w:hint="eastAsia" w:eastAsia="仿宋_GB2312" w:cs="仿宋_GB2312"/>
          <w:sz w:val="32"/>
          <w:szCs w:val="32"/>
        </w:rPr>
      </w:pPr>
      <w:r>
        <w:rPr>
          <w:rFonts w:hint="eastAsia" w:eastAsia="仿宋_GB2312" w:cs="仿宋_GB2312"/>
          <w:sz w:val="32"/>
          <w:szCs w:val="32"/>
        </w:rPr>
        <w:t>2025年度本年收入合计</w:t>
      </w:r>
      <w:r>
        <w:rPr>
          <w:rFonts w:hint="eastAsia" w:ascii="仿宋_GB2312" w:hAnsi="仿宋" w:eastAsia="仿宋_GB2312" w:cs="Times New Roman"/>
          <w:sz w:val="32"/>
          <w:szCs w:val="32"/>
          <w:lang w:val="en-US" w:eastAsia="zh-CN"/>
        </w:rPr>
        <w:t>876.42</w:t>
      </w:r>
      <w:r>
        <w:rPr>
          <w:rFonts w:hint="eastAsia" w:eastAsia="仿宋_GB2312" w:cs="仿宋_GB2312"/>
          <w:sz w:val="32"/>
          <w:szCs w:val="32"/>
        </w:rPr>
        <w:t>万元，其中：一般公共预算财政拨款收入</w:t>
      </w:r>
      <w:r>
        <w:rPr>
          <w:rFonts w:hint="eastAsia" w:ascii="仿宋_GB2312" w:hAnsi="仿宋" w:eastAsia="仿宋_GB2312" w:cs="Times New Roman"/>
          <w:sz w:val="32"/>
          <w:szCs w:val="32"/>
          <w:lang w:val="en-US" w:eastAsia="zh-CN"/>
        </w:rPr>
        <w:t>876.42</w:t>
      </w:r>
      <w:r>
        <w:rPr>
          <w:rFonts w:hint="eastAsia" w:eastAsia="仿宋_GB2312" w:cs="仿宋_GB2312"/>
          <w:sz w:val="32"/>
          <w:szCs w:val="32"/>
        </w:rPr>
        <w:t>万元，占</w:t>
      </w:r>
      <w:r>
        <w:rPr>
          <w:rFonts w:hint="eastAsia" w:eastAsia="仿宋_GB2312" w:cs="仿宋_GB2312"/>
          <w:sz w:val="32"/>
          <w:szCs w:val="32"/>
          <w:lang w:val="en-US" w:eastAsia="zh-CN"/>
        </w:rPr>
        <w:t>100</w:t>
      </w:r>
      <w:r>
        <w:rPr>
          <w:rFonts w:hint="eastAsia" w:eastAsia="仿宋_GB2312" w:cs="仿宋_GB2312"/>
          <w:sz w:val="32"/>
          <w:szCs w:val="32"/>
        </w:rPr>
        <w:t>%；政府性基金预算财政拨款收入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%；国有资本经营预算财政拨款收入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%；上级补助收入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%；事业收入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%；经营收入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%；附属单位上缴收入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%；其他收入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w:t>
      </w:r>
    </w:p>
    <w:p w14:paraId="3727BE95">
      <w:pPr>
        <w:pStyle w:val="29"/>
        <w:spacing w:line="240" w:lineRule="auto"/>
        <w:ind w:left="0" w:leftChars="0" w:firstLine="0" w:firstLineChars="0"/>
        <w:jc w:val="center"/>
        <w:outlineLvl w:val="1"/>
        <w:rPr>
          <w:rFonts w:hint="eastAsia" w:eastAsia="仿宋_GB2312" w:cs="仿宋_GB2312"/>
          <w:sz w:val="32"/>
          <w:szCs w:val="32"/>
        </w:rPr>
      </w:pPr>
      <w:r>
        <w:rPr>
          <w:rFonts w:hint="eastAsia" w:eastAsia="仿宋_GB2312" w:cs="仿宋_GB2312"/>
          <w:sz w:val="32"/>
          <w:szCs w:val="32"/>
          <w:lang w:eastAsia="zh-CN"/>
        </w:rPr>
        <w:drawing>
          <wp:inline distT="0" distB="0" distL="114300" distR="114300">
            <wp:extent cx="4483100" cy="2630170"/>
            <wp:effectExtent l="0" t="0" r="12700" b="0"/>
            <wp:docPr id="5" name="图片 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
                    <pic:cNvPicPr>
                      <a:picLocks noChangeAspect="1"/>
                    </pic:cNvPicPr>
                  </pic:nvPicPr>
                  <pic:blipFill>
                    <a:blip r:embed="rId10"/>
                    <a:stretch>
                      <a:fillRect/>
                    </a:stretch>
                  </pic:blipFill>
                  <pic:spPr>
                    <a:xfrm>
                      <a:off x="0" y="0"/>
                      <a:ext cx="4483100" cy="2630170"/>
                    </a:xfrm>
                    <a:prstGeom prst="rect">
                      <a:avLst/>
                    </a:prstGeom>
                  </pic:spPr>
                </pic:pic>
              </a:graphicData>
            </a:graphic>
          </wp:inline>
        </w:drawing>
      </w:r>
    </w:p>
    <w:p w14:paraId="30719D67">
      <w:pPr>
        <w:pStyle w:val="29"/>
        <w:spacing w:line="600" w:lineRule="exact"/>
        <w:ind w:left="0" w:leftChars="0" w:firstLine="0" w:firstLineChars="0"/>
        <w:jc w:val="center"/>
        <w:outlineLvl w:val="1"/>
        <w:rPr>
          <w:rFonts w:eastAsia="仿宋_GB2312" w:cs="仿宋_GB2312"/>
          <w:sz w:val="32"/>
          <w:szCs w:val="32"/>
        </w:rPr>
      </w:pPr>
      <w:r>
        <w:rPr>
          <w:rFonts w:hint="eastAsia" w:eastAsia="仿宋_GB2312" w:cs="仿宋_GB2312"/>
          <w:sz w:val="32"/>
          <w:szCs w:val="32"/>
        </w:rPr>
        <w:t>（图2：收入决算结构图）</w:t>
      </w:r>
    </w:p>
    <w:p w14:paraId="075D4AD4">
      <w:pPr>
        <w:pStyle w:val="29"/>
        <w:spacing w:line="600" w:lineRule="exact"/>
        <w:ind w:firstLine="640"/>
        <w:outlineLvl w:val="1"/>
        <w:rPr>
          <w:rStyle w:val="31"/>
          <w:rFonts w:ascii="Times New Roman" w:hAnsi="Times New Roman" w:eastAsia="黑体"/>
          <w:b w:val="0"/>
        </w:rPr>
      </w:pPr>
      <w:bookmarkStart w:id="17" w:name="_Toc15396605"/>
      <w:bookmarkStart w:id="18" w:name="_Toc15377207"/>
      <w:r>
        <w:rPr>
          <w:rFonts w:hint="eastAsia" w:eastAsia="黑体"/>
          <w:sz w:val="32"/>
          <w:szCs w:val="32"/>
        </w:rPr>
        <w:t>三、支</w:t>
      </w:r>
      <w:r>
        <w:rPr>
          <w:rStyle w:val="31"/>
          <w:rFonts w:hint="eastAsia" w:ascii="Times New Roman" w:hAnsi="Times New Roman" w:eastAsia="黑体"/>
          <w:b w:val="0"/>
        </w:rPr>
        <w:t>出决算情况说明</w:t>
      </w:r>
      <w:bookmarkEnd w:id="17"/>
      <w:bookmarkEnd w:id="18"/>
    </w:p>
    <w:p w14:paraId="34B70BC8">
      <w:pPr>
        <w:pStyle w:val="29"/>
        <w:spacing w:line="600" w:lineRule="exact"/>
        <w:ind w:firstLine="640"/>
        <w:outlineLvl w:val="1"/>
        <w:rPr>
          <w:rFonts w:hint="eastAsia" w:eastAsia="仿宋_GB2312" w:cs="仿宋_GB2312"/>
          <w:sz w:val="32"/>
          <w:szCs w:val="32"/>
        </w:rPr>
      </w:pPr>
      <w:r>
        <w:rPr>
          <w:rFonts w:hint="eastAsia" w:eastAsia="仿宋_GB2312" w:cs="仿宋_GB2312"/>
          <w:sz w:val="32"/>
          <w:szCs w:val="32"/>
        </w:rPr>
        <w:t>2025年度本年支出合计</w:t>
      </w:r>
      <w:r>
        <w:rPr>
          <w:rFonts w:hint="eastAsia" w:eastAsia="仿宋_GB2312" w:cs="仿宋_GB2312"/>
          <w:sz w:val="32"/>
          <w:szCs w:val="32"/>
          <w:lang w:val="en-US" w:eastAsia="zh-CN"/>
        </w:rPr>
        <w:t>876.42</w:t>
      </w:r>
      <w:r>
        <w:rPr>
          <w:rFonts w:hint="eastAsia" w:eastAsia="仿宋_GB2312" w:cs="仿宋_GB2312"/>
          <w:sz w:val="32"/>
          <w:szCs w:val="32"/>
        </w:rPr>
        <w:t>万元，其中：基本支出</w:t>
      </w:r>
      <w:r>
        <w:rPr>
          <w:rFonts w:hint="eastAsia" w:ascii="仿宋_GB2312" w:hAnsi="仿宋" w:eastAsia="仿宋_GB2312" w:cs="Times New Roman"/>
          <w:sz w:val="32"/>
          <w:szCs w:val="32"/>
          <w:lang w:val="en-US" w:eastAsia="zh-CN"/>
        </w:rPr>
        <w:t>845.42</w:t>
      </w:r>
      <w:r>
        <w:rPr>
          <w:rFonts w:hint="eastAsia" w:eastAsia="仿宋_GB2312" w:cs="仿宋_GB2312"/>
          <w:sz w:val="32"/>
          <w:szCs w:val="32"/>
        </w:rPr>
        <w:t>万元，占</w:t>
      </w:r>
      <w:r>
        <w:rPr>
          <w:rFonts w:hint="eastAsia" w:eastAsia="仿宋_GB2312" w:cs="仿宋_GB2312"/>
          <w:sz w:val="32"/>
          <w:szCs w:val="32"/>
          <w:lang w:val="en-US" w:eastAsia="zh-CN"/>
        </w:rPr>
        <w:t>93.46</w:t>
      </w:r>
      <w:r>
        <w:rPr>
          <w:rFonts w:hint="eastAsia" w:eastAsia="仿宋_GB2312" w:cs="仿宋_GB2312"/>
          <w:sz w:val="32"/>
          <w:szCs w:val="32"/>
        </w:rPr>
        <w:t>%；项目支出</w:t>
      </w:r>
      <w:r>
        <w:rPr>
          <w:rFonts w:hint="eastAsia" w:eastAsia="仿宋_GB2312" w:cs="仿宋_GB2312"/>
          <w:sz w:val="32"/>
          <w:szCs w:val="32"/>
          <w:lang w:val="en-US" w:eastAsia="zh-CN"/>
        </w:rPr>
        <w:t>31</w:t>
      </w:r>
      <w:r>
        <w:rPr>
          <w:rFonts w:hint="eastAsia" w:eastAsia="仿宋_GB2312" w:cs="仿宋_GB2312"/>
          <w:sz w:val="32"/>
          <w:szCs w:val="32"/>
        </w:rPr>
        <w:t>万元，占</w:t>
      </w:r>
      <w:r>
        <w:rPr>
          <w:rFonts w:hint="eastAsia" w:eastAsia="仿宋_GB2312" w:cs="仿宋_GB2312"/>
          <w:sz w:val="32"/>
          <w:szCs w:val="32"/>
          <w:lang w:val="en-US" w:eastAsia="zh-CN"/>
        </w:rPr>
        <w:t>6.54</w:t>
      </w:r>
      <w:r>
        <w:rPr>
          <w:rFonts w:hint="eastAsia" w:eastAsia="仿宋_GB2312" w:cs="仿宋_GB2312"/>
          <w:sz w:val="32"/>
          <w:szCs w:val="32"/>
        </w:rPr>
        <w:t>%；上缴上级支出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%；经营支出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%；对附属单位补助支出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w:t>
      </w:r>
    </w:p>
    <w:p w14:paraId="7C48EA08">
      <w:pPr>
        <w:numPr>
          <w:ilvl w:val="0"/>
          <w:numId w:val="0"/>
        </w:numPr>
        <w:snapToGrid w:val="0"/>
        <w:spacing w:line="520" w:lineRule="exact"/>
        <w:ind w:left="0" w:leftChars="0" w:firstLine="640" w:firstLineChars="200"/>
        <w:jc w:val="both"/>
        <w:rPr>
          <w:rFonts w:hint="eastAsia" w:eastAsia="仿宋_GB2312" w:cs="仿宋_GB2312"/>
          <w:sz w:val="32"/>
          <w:szCs w:val="32"/>
        </w:rPr>
      </w:pPr>
      <w:r>
        <w:rPr>
          <w:rFonts w:hint="eastAsia" w:ascii="仿宋_GB2312" w:hAnsi="仿宋" w:eastAsia="仿宋_GB2312" w:cs="Times New Roman"/>
          <w:sz w:val="32"/>
          <w:szCs w:val="32"/>
          <w:lang w:val="en-US" w:eastAsia="zh-CN"/>
        </w:rPr>
        <w:t>2025年一般公共预算财政拨款总支出中基本支出845.42万元，项目支出31万元，与收入持平。其中：</w:t>
      </w:r>
    </w:p>
    <w:p w14:paraId="174CB09D">
      <w:pPr>
        <w:numPr>
          <w:ilvl w:val="0"/>
          <w:numId w:val="0"/>
        </w:numPr>
        <w:snapToGrid w:val="0"/>
        <w:spacing w:line="240" w:lineRule="auto"/>
        <w:ind w:left="0" w:leftChars="0" w:firstLine="0" w:firstLineChars="0"/>
        <w:jc w:val="center"/>
        <w:rPr>
          <w:rFonts w:hint="eastAsia" w:eastAsia="仿宋_GB2312" w:cs="仿宋_GB2312"/>
          <w:sz w:val="32"/>
          <w:szCs w:val="32"/>
        </w:rPr>
      </w:pPr>
    </w:p>
    <w:p w14:paraId="2527A872">
      <w:pPr>
        <w:numPr>
          <w:ilvl w:val="0"/>
          <w:numId w:val="0"/>
        </w:numPr>
        <w:snapToGrid w:val="0"/>
        <w:spacing w:line="240" w:lineRule="auto"/>
        <w:ind w:left="0" w:leftChars="0" w:firstLine="0" w:firstLineChars="0"/>
        <w:jc w:val="center"/>
        <w:rPr>
          <w:rFonts w:hint="eastAsia" w:eastAsia="仿宋_GB2312" w:cs="仿宋_GB2312"/>
          <w:sz w:val="32"/>
          <w:szCs w:val="32"/>
        </w:rPr>
      </w:pPr>
      <w:r>
        <w:rPr>
          <w:rFonts w:hint="eastAsia" w:eastAsia="仿宋_GB2312" w:cs="仿宋_GB2312"/>
          <w:sz w:val="32"/>
          <w:szCs w:val="32"/>
          <w:lang w:eastAsia="zh-CN"/>
        </w:rPr>
        <w:drawing>
          <wp:inline distT="0" distB="0" distL="114300" distR="114300">
            <wp:extent cx="4613275" cy="2707005"/>
            <wp:effectExtent l="0" t="0" r="15875" b="0"/>
            <wp:docPr id="1" name="图片 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
                    <pic:cNvPicPr>
                      <a:picLocks noChangeAspect="1"/>
                    </pic:cNvPicPr>
                  </pic:nvPicPr>
                  <pic:blipFill>
                    <a:blip r:embed="rId11"/>
                    <a:stretch>
                      <a:fillRect/>
                    </a:stretch>
                  </pic:blipFill>
                  <pic:spPr>
                    <a:xfrm>
                      <a:off x="0" y="0"/>
                      <a:ext cx="4613275" cy="2707005"/>
                    </a:xfrm>
                    <a:prstGeom prst="rect">
                      <a:avLst/>
                    </a:prstGeom>
                  </pic:spPr>
                </pic:pic>
              </a:graphicData>
            </a:graphic>
          </wp:inline>
        </w:drawing>
      </w:r>
    </w:p>
    <w:p w14:paraId="12B889EB">
      <w:pPr>
        <w:pStyle w:val="29"/>
        <w:spacing w:line="600" w:lineRule="exact"/>
        <w:ind w:left="0" w:leftChars="0" w:firstLine="0" w:firstLineChars="0"/>
        <w:jc w:val="center"/>
        <w:outlineLvl w:val="1"/>
        <w:rPr>
          <w:rFonts w:eastAsia="仿宋_GB2312" w:cs="仿宋_GB2312"/>
          <w:sz w:val="32"/>
          <w:szCs w:val="32"/>
        </w:rPr>
      </w:pPr>
      <w:r>
        <w:rPr>
          <w:rFonts w:hint="eastAsia" w:eastAsia="仿宋_GB2312" w:cs="仿宋_GB2312"/>
          <w:sz w:val="32"/>
          <w:szCs w:val="32"/>
        </w:rPr>
        <w:t>（图3：支出决算结构图）</w:t>
      </w:r>
    </w:p>
    <w:p w14:paraId="200C0983">
      <w:pPr>
        <w:spacing w:line="600" w:lineRule="exact"/>
        <w:ind w:firstLine="640" w:firstLineChars="200"/>
        <w:outlineLvl w:val="1"/>
        <w:rPr>
          <w:rStyle w:val="31"/>
          <w:rFonts w:ascii="Times New Roman" w:hAnsi="Times New Roman" w:eastAsia="黑体"/>
          <w:b w:val="0"/>
        </w:rPr>
      </w:pPr>
      <w:bookmarkStart w:id="19" w:name="_Toc15396606"/>
      <w:bookmarkStart w:id="20" w:name="_Toc15377208"/>
      <w:r>
        <w:rPr>
          <w:rFonts w:hint="eastAsia" w:eastAsia="黑体"/>
          <w:sz w:val="32"/>
          <w:szCs w:val="32"/>
        </w:rPr>
        <w:t>四、财</w:t>
      </w:r>
      <w:r>
        <w:rPr>
          <w:rStyle w:val="31"/>
          <w:rFonts w:hint="eastAsia" w:ascii="Times New Roman" w:hAnsi="Times New Roman" w:eastAsia="黑体"/>
          <w:b w:val="0"/>
        </w:rPr>
        <w:t>政拨款收入支出决算总体情况说明</w:t>
      </w:r>
      <w:bookmarkEnd w:id="19"/>
      <w:bookmarkEnd w:id="20"/>
    </w:p>
    <w:p w14:paraId="2FBDC3C1">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2025年度财政拨款收入、支出总计均为</w:t>
      </w:r>
      <w:r>
        <w:rPr>
          <w:rFonts w:hint="eastAsia" w:eastAsia="仿宋_GB2312" w:cs="仿宋_GB2312"/>
          <w:sz w:val="32"/>
          <w:szCs w:val="32"/>
          <w:lang w:val="en-US" w:eastAsia="zh-CN"/>
        </w:rPr>
        <w:t>876.42</w:t>
      </w:r>
      <w:r>
        <w:rPr>
          <w:rFonts w:hint="eastAsia" w:eastAsia="仿宋_GB2312" w:cs="仿宋_GB2312"/>
          <w:sz w:val="32"/>
          <w:szCs w:val="32"/>
        </w:rPr>
        <w:t>万元。与上年度相比，财政拨款收入、支出总计各增加</w:t>
      </w:r>
      <w:r>
        <w:rPr>
          <w:rFonts w:hint="eastAsia" w:eastAsia="仿宋_GB2312" w:cs="仿宋_GB2312"/>
          <w:sz w:val="32"/>
          <w:szCs w:val="32"/>
          <w:lang w:val="en-US" w:eastAsia="zh-CN"/>
        </w:rPr>
        <w:t>59.26</w:t>
      </w:r>
      <w:r>
        <w:rPr>
          <w:rFonts w:hint="eastAsia" w:eastAsia="仿宋_GB2312" w:cs="仿宋_GB2312"/>
          <w:sz w:val="32"/>
          <w:szCs w:val="32"/>
        </w:rPr>
        <w:t>万元，增长</w:t>
      </w:r>
      <w:r>
        <w:rPr>
          <w:rFonts w:hint="eastAsia" w:eastAsia="仿宋_GB2312" w:cs="仿宋_GB2312"/>
          <w:sz w:val="32"/>
          <w:szCs w:val="32"/>
          <w:lang w:val="en-US" w:eastAsia="zh-CN"/>
        </w:rPr>
        <w:t>7.25</w:t>
      </w:r>
      <w:r>
        <w:rPr>
          <w:rFonts w:hint="eastAsia" w:eastAsia="仿宋_GB2312" w:cs="仿宋_GB2312"/>
          <w:sz w:val="32"/>
          <w:szCs w:val="32"/>
        </w:rPr>
        <w:t>%。主要变动原因是</w:t>
      </w:r>
      <w:r>
        <w:rPr>
          <w:rFonts w:hint="eastAsia" w:eastAsia="仿宋_GB2312" w:cs="仿宋_GB2312"/>
          <w:sz w:val="32"/>
          <w:szCs w:val="32"/>
          <w:lang w:eastAsia="zh-CN"/>
        </w:rPr>
        <w:t>：</w:t>
      </w:r>
    </w:p>
    <w:p w14:paraId="68E0CCBD">
      <w:pPr>
        <w:numPr>
          <w:ilvl w:val="0"/>
          <w:numId w:val="0"/>
        </w:numPr>
        <w:snapToGrid w:val="0"/>
        <w:spacing w:line="560" w:lineRule="exact"/>
        <w:ind w:firstLine="640" w:firstLineChars="200"/>
        <w:rPr>
          <w:rFonts w:hint="eastAsia" w:ascii="仿宋_GB2312" w:hAnsi="仿宋" w:eastAsia="仿宋_GB2312" w:cs="Times New Roman"/>
          <w:sz w:val="32"/>
          <w:szCs w:val="32"/>
          <w:lang w:val="en-US" w:eastAsia="zh-CN"/>
        </w:rPr>
      </w:pPr>
      <w:r>
        <w:rPr>
          <w:rFonts w:hint="eastAsia" w:eastAsia="仿宋_GB2312" w:cs="仿宋_GB2312"/>
          <w:sz w:val="32"/>
          <w:szCs w:val="32"/>
          <w:lang w:val="en-US" w:eastAsia="zh-CN"/>
        </w:rPr>
        <w:t>1、攀枝花市人民政府驻成都办事处：2025年市度收入、支出均为593.72万元，相比2024年增加45.68万元，原因是调入2人，相应的人员经费和公用经费增加</w:t>
      </w:r>
      <w:r>
        <w:rPr>
          <w:rFonts w:hint="eastAsia" w:ascii="仿宋_GB2312" w:hAnsi="仿宋" w:eastAsia="仿宋_GB2312" w:cs="Times New Roman"/>
          <w:sz w:val="32"/>
          <w:szCs w:val="32"/>
          <w:lang w:val="en-US" w:eastAsia="zh-CN"/>
        </w:rPr>
        <w:t>。</w:t>
      </w:r>
    </w:p>
    <w:p w14:paraId="0A7DFC5D">
      <w:pPr>
        <w:pStyle w:val="29"/>
        <w:spacing w:line="600" w:lineRule="exact"/>
        <w:ind w:firstLine="640"/>
        <w:outlineLvl w:val="1"/>
        <w:rPr>
          <w:rFonts w:hint="eastAsia" w:ascii="仿宋_GB2312" w:hAnsi="仿宋" w:eastAsia="仿宋_GB2312"/>
          <w:sz w:val="32"/>
          <w:szCs w:val="32"/>
          <w:highlight w:val="none"/>
        </w:rPr>
      </w:pPr>
      <w:r>
        <w:rPr>
          <w:rFonts w:hint="eastAsia" w:ascii="仿宋_GB2312" w:hAnsi="仿宋" w:eastAsia="仿宋_GB2312" w:cs="Times New Roman"/>
          <w:sz w:val="32"/>
          <w:szCs w:val="32"/>
          <w:lang w:val="en-US" w:eastAsia="zh-CN"/>
        </w:rPr>
        <w:t>2、攀枝花市成都干部休养所：</w:t>
      </w:r>
      <w:r>
        <w:rPr>
          <w:rFonts w:hint="eastAsia" w:eastAsia="仿宋_GB2312" w:cs="仿宋_GB2312"/>
          <w:sz w:val="32"/>
          <w:szCs w:val="32"/>
        </w:rPr>
        <w:t>2025年度收入、支出总计均为</w:t>
      </w:r>
      <w:r>
        <w:rPr>
          <w:rFonts w:hint="eastAsia" w:eastAsia="仿宋_GB2312" w:cs="仿宋_GB2312"/>
          <w:sz w:val="32"/>
          <w:szCs w:val="32"/>
          <w:lang w:val="en-US" w:eastAsia="zh-CN"/>
        </w:rPr>
        <w:t>141.68</w:t>
      </w:r>
      <w:r>
        <w:rPr>
          <w:rFonts w:hint="eastAsia" w:eastAsia="仿宋_GB2312" w:cs="仿宋_GB2312"/>
          <w:sz w:val="32"/>
          <w:szCs w:val="32"/>
        </w:rPr>
        <w:t>万元。与上年度相比，收入、支出总计各减少</w:t>
      </w:r>
      <w:r>
        <w:rPr>
          <w:rFonts w:hint="eastAsia" w:eastAsia="仿宋_GB2312" w:cs="仿宋_GB2312"/>
          <w:sz w:val="32"/>
          <w:szCs w:val="32"/>
          <w:lang w:val="en-US" w:eastAsia="zh-CN"/>
        </w:rPr>
        <w:t>3.45</w:t>
      </w:r>
      <w:r>
        <w:rPr>
          <w:rFonts w:hint="eastAsia" w:eastAsia="仿宋_GB2312" w:cs="仿宋_GB2312"/>
          <w:sz w:val="32"/>
          <w:szCs w:val="32"/>
        </w:rPr>
        <w:t>万元，下降</w:t>
      </w:r>
      <w:r>
        <w:rPr>
          <w:rFonts w:hint="eastAsia" w:eastAsia="仿宋_GB2312" w:cs="仿宋_GB2312"/>
          <w:sz w:val="32"/>
          <w:szCs w:val="32"/>
          <w:lang w:val="en-US" w:eastAsia="zh-CN"/>
        </w:rPr>
        <w:t>2.4</w:t>
      </w:r>
      <w:r>
        <w:rPr>
          <w:rFonts w:hint="eastAsia" w:eastAsia="仿宋_GB2312" w:cs="仿宋_GB2312"/>
          <w:sz w:val="32"/>
          <w:szCs w:val="32"/>
        </w:rPr>
        <w:t>%。主要变动原因是财政紧张，经费减少。</w:t>
      </w:r>
    </w:p>
    <w:p w14:paraId="38C67DEB">
      <w:pPr>
        <w:pStyle w:val="29"/>
        <w:spacing w:line="600" w:lineRule="exact"/>
        <w:ind w:firstLine="640"/>
        <w:outlineLvl w:val="1"/>
        <w:rPr>
          <w:rFonts w:hint="eastAsia" w:eastAsia="仿宋_GB2312" w:cs="仿宋_GB2312"/>
          <w:sz w:val="32"/>
          <w:szCs w:val="32"/>
        </w:rPr>
      </w:pPr>
      <w:r>
        <w:rPr>
          <w:rFonts w:hint="eastAsia" w:ascii="仿宋_GB2312" w:hAnsi="仿宋" w:eastAsia="仿宋_GB2312" w:cs="Times New Roman"/>
          <w:sz w:val="32"/>
          <w:szCs w:val="32"/>
          <w:lang w:val="en-US" w:eastAsia="zh-CN"/>
        </w:rPr>
        <w:t>3、攀枝花市成都干部服务中心：</w:t>
      </w:r>
      <w:r>
        <w:rPr>
          <w:rFonts w:hint="eastAsia" w:eastAsia="仿宋_GB2312" w:cs="仿宋_GB2312"/>
          <w:sz w:val="32"/>
          <w:szCs w:val="32"/>
        </w:rPr>
        <w:t>2025年度收入、支出总</w:t>
      </w:r>
      <w:r>
        <w:rPr>
          <w:rFonts w:hint="default" w:ascii="Times New Roman" w:hAnsi="Times New Roman" w:eastAsia="仿宋_GB2312" w:cs="Times New Roman"/>
          <w:sz w:val="32"/>
          <w:szCs w:val="32"/>
        </w:rPr>
        <w:t>计均为</w:t>
      </w:r>
      <w:r>
        <w:rPr>
          <w:rFonts w:hint="eastAsia" w:eastAsia="仿宋_GB2312" w:cs="Times New Roman"/>
          <w:sz w:val="32"/>
          <w:szCs w:val="32"/>
          <w:highlight w:val="none"/>
          <w:lang w:val="en-US" w:eastAsia="zh-CN"/>
        </w:rPr>
        <w:t>141.02</w:t>
      </w:r>
      <w:r>
        <w:rPr>
          <w:rFonts w:hint="eastAsia" w:eastAsia="仿宋_GB2312" w:cs="仿宋_GB2312"/>
          <w:sz w:val="32"/>
          <w:szCs w:val="32"/>
        </w:rPr>
        <w:t>万元。与上年度相比，收入、支出总计各增加</w:t>
      </w:r>
      <w:r>
        <w:rPr>
          <w:rFonts w:hint="eastAsia" w:eastAsia="仿宋_GB2312" w:cs="仿宋_GB2312"/>
          <w:sz w:val="32"/>
          <w:szCs w:val="32"/>
          <w:lang w:val="en-US" w:eastAsia="zh-CN"/>
        </w:rPr>
        <w:t>17.03</w:t>
      </w:r>
      <w:r>
        <w:rPr>
          <w:rFonts w:hint="eastAsia" w:eastAsia="仿宋_GB2312" w:cs="仿宋_GB2312"/>
          <w:sz w:val="32"/>
          <w:szCs w:val="32"/>
        </w:rPr>
        <w:t>万元，增长</w:t>
      </w:r>
      <w:r>
        <w:rPr>
          <w:rFonts w:hint="eastAsia" w:eastAsia="仿宋_GB2312" w:cs="仿宋_GB2312"/>
          <w:sz w:val="32"/>
          <w:szCs w:val="32"/>
          <w:lang w:val="en-US" w:eastAsia="zh-CN"/>
        </w:rPr>
        <w:t>13.7</w:t>
      </w:r>
      <w:r>
        <w:rPr>
          <w:rFonts w:hint="eastAsia" w:eastAsia="仿宋_GB2312" w:cs="仿宋_GB2312"/>
          <w:sz w:val="32"/>
          <w:szCs w:val="32"/>
        </w:rPr>
        <w:t>%。主要变动原因是</w:t>
      </w:r>
      <w:r>
        <w:rPr>
          <w:rFonts w:hint="eastAsia" w:eastAsia="仿宋_GB2312" w:cs="仿宋_GB2312"/>
          <w:sz w:val="32"/>
          <w:szCs w:val="32"/>
          <w:lang w:val="en-US" w:eastAsia="zh-CN"/>
        </w:rPr>
        <w:t>3月新进人员且</w:t>
      </w:r>
      <w:r>
        <w:rPr>
          <w:rFonts w:hint="eastAsia" w:eastAsia="仿宋_GB2312" w:cs="仿宋_GB2312"/>
          <w:sz w:val="32"/>
          <w:szCs w:val="32"/>
        </w:rPr>
        <w:t>职工正常晋升，工资正常上涨。</w:t>
      </w:r>
    </w:p>
    <w:p w14:paraId="5DBA972B">
      <w:pPr>
        <w:numPr>
          <w:ilvl w:val="0"/>
          <w:numId w:val="0"/>
        </w:numPr>
        <w:snapToGrid w:val="0"/>
        <w:spacing w:line="240" w:lineRule="auto"/>
        <w:jc w:val="center"/>
        <w:rPr>
          <w:rFonts w:hint="eastAsia" w:ascii="仿宋_GB2312" w:hAnsi="仿宋" w:eastAsia="仿宋_GB2312"/>
          <w:sz w:val="32"/>
          <w:szCs w:val="32"/>
          <w:highlight w:val="none"/>
        </w:rPr>
      </w:pPr>
      <w:r>
        <w:rPr>
          <w:rFonts w:hint="eastAsia" w:ascii="仿宋_GB2312" w:hAnsi="仿宋" w:eastAsia="仿宋_GB2312"/>
          <w:sz w:val="32"/>
          <w:szCs w:val="32"/>
          <w:highlight w:val="none"/>
          <w:lang w:eastAsia="zh-CN"/>
        </w:rPr>
        <w:drawing>
          <wp:inline distT="0" distB="0" distL="114300" distR="114300">
            <wp:extent cx="4548505" cy="2588260"/>
            <wp:effectExtent l="0" t="0" r="4445" b="2540"/>
            <wp:docPr id="2" name="图片 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
                    <pic:cNvPicPr>
                      <a:picLocks noChangeAspect="1"/>
                    </pic:cNvPicPr>
                  </pic:nvPicPr>
                  <pic:blipFill>
                    <a:blip r:embed="rId12"/>
                    <a:stretch>
                      <a:fillRect/>
                    </a:stretch>
                  </pic:blipFill>
                  <pic:spPr>
                    <a:xfrm>
                      <a:off x="0" y="0"/>
                      <a:ext cx="4548505" cy="2588260"/>
                    </a:xfrm>
                    <a:prstGeom prst="rect">
                      <a:avLst/>
                    </a:prstGeom>
                  </pic:spPr>
                </pic:pic>
              </a:graphicData>
            </a:graphic>
          </wp:inline>
        </w:drawing>
      </w:r>
    </w:p>
    <w:p w14:paraId="227421BE">
      <w:pPr>
        <w:spacing w:line="600" w:lineRule="exact"/>
        <w:jc w:val="center"/>
        <w:rPr>
          <w:rFonts w:eastAsia="仿宋_GB2312" w:cs="仿宋_GB2312"/>
          <w:sz w:val="32"/>
          <w:szCs w:val="32"/>
        </w:rPr>
      </w:pPr>
      <w:r>
        <w:rPr>
          <w:rFonts w:hint="eastAsia" w:eastAsia="仿宋_GB2312" w:cs="仿宋_GB2312"/>
          <w:sz w:val="32"/>
          <w:szCs w:val="32"/>
        </w:rPr>
        <w:t>（图4：财政拨款收、支决算总计变动情况）</w:t>
      </w:r>
    </w:p>
    <w:p w14:paraId="0E6D5A1F">
      <w:pPr>
        <w:spacing w:line="600" w:lineRule="exact"/>
        <w:ind w:firstLine="640" w:firstLineChars="200"/>
        <w:outlineLvl w:val="1"/>
        <w:rPr>
          <w:rStyle w:val="31"/>
          <w:rFonts w:ascii="Times New Roman" w:hAnsi="Times New Roman" w:eastAsia="黑体"/>
          <w:b w:val="0"/>
        </w:rPr>
      </w:pPr>
      <w:bookmarkStart w:id="21" w:name="_Toc15377209"/>
      <w:bookmarkStart w:id="22" w:name="_Toc15396607"/>
      <w:r>
        <w:rPr>
          <w:rFonts w:hint="eastAsia" w:eastAsia="黑体"/>
          <w:sz w:val="32"/>
          <w:szCs w:val="32"/>
        </w:rPr>
        <w:t>五、</w:t>
      </w:r>
      <w:r>
        <w:rPr>
          <w:rFonts w:hint="eastAsia" w:eastAsia="黑体"/>
          <w:b/>
          <w:sz w:val="32"/>
          <w:szCs w:val="32"/>
        </w:rPr>
        <w:t>一</w:t>
      </w:r>
      <w:r>
        <w:rPr>
          <w:rStyle w:val="31"/>
          <w:rFonts w:hint="eastAsia" w:ascii="Times New Roman" w:hAnsi="Times New Roman" w:eastAsia="黑体"/>
          <w:b w:val="0"/>
        </w:rPr>
        <w:t>般公共预算财政拨款支出决算情况说明</w:t>
      </w:r>
      <w:bookmarkEnd w:id="21"/>
      <w:bookmarkEnd w:id="22"/>
    </w:p>
    <w:p w14:paraId="09DCBEE7">
      <w:pPr>
        <w:spacing w:line="600" w:lineRule="exact"/>
        <w:ind w:firstLine="643" w:firstLineChars="200"/>
        <w:outlineLvl w:val="2"/>
        <w:rPr>
          <w:rFonts w:eastAsia="楷体_GB2312" w:cs="楷体_GB2312"/>
          <w:b/>
          <w:sz w:val="32"/>
          <w:szCs w:val="32"/>
        </w:rPr>
      </w:pPr>
      <w:bookmarkStart w:id="23" w:name="_Toc15377210"/>
      <w:r>
        <w:rPr>
          <w:rFonts w:hint="eastAsia" w:eastAsia="楷体_GB2312" w:cs="楷体_GB2312"/>
          <w:b/>
          <w:sz w:val="32"/>
          <w:szCs w:val="32"/>
        </w:rPr>
        <w:t>（一）一般公共预算财政拨款支出决算总体情况</w:t>
      </w:r>
      <w:bookmarkEnd w:id="23"/>
    </w:p>
    <w:p w14:paraId="41E19EA1">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876.42</w:t>
      </w:r>
      <w:r>
        <w:rPr>
          <w:rFonts w:hint="eastAsia" w:eastAsia="仿宋_GB2312" w:cs="仿宋_GB2312"/>
          <w:sz w:val="32"/>
          <w:szCs w:val="32"/>
        </w:rPr>
        <w:t>万元，占本年支出合计的</w:t>
      </w:r>
      <w:r>
        <w:rPr>
          <w:rFonts w:hint="eastAsia" w:eastAsia="仿宋_GB2312" w:cs="仿宋_GB2312"/>
          <w:sz w:val="32"/>
          <w:szCs w:val="32"/>
          <w:lang w:val="en-US" w:eastAsia="zh-CN"/>
        </w:rPr>
        <w:t>100</w:t>
      </w:r>
      <w:r>
        <w:rPr>
          <w:rFonts w:hint="eastAsia" w:eastAsia="仿宋_GB2312" w:cs="仿宋_GB2312"/>
          <w:sz w:val="32"/>
          <w:szCs w:val="32"/>
        </w:rPr>
        <w:t>%。与上年度相比，一般公共预算财政拨款支出增加</w:t>
      </w:r>
      <w:r>
        <w:rPr>
          <w:rFonts w:hint="eastAsia" w:eastAsia="仿宋_GB2312" w:cs="仿宋_GB2312"/>
          <w:sz w:val="32"/>
          <w:szCs w:val="32"/>
          <w:lang w:val="en-US" w:eastAsia="zh-CN"/>
        </w:rPr>
        <w:t>59.26</w:t>
      </w:r>
      <w:r>
        <w:rPr>
          <w:rFonts w:hint="eastAsia" w:eastAsia="仿宋_GB2312" w:cs="仿宋_GB2312"/>
          <w:sz w:val="32"/>
          <w:szCs w:val="32"/>
        </w:rPr>
        <w:t>万元，增长</w:t>
      </w:r>
      <w:r>
        <w:rPr>
          <w:rFonts w:hint="eastAsia" w:eastAsia="仿宋_GB2312" w:cs="仿宋_GB2312"/>
          <w:sz w:val="32"/>
          <w:szCs w:val="32"/>
          <w:lang w:val="en-US" w:eastAsia="zh-CN"/>
        </w:rPr>
        <w:t>7.25</w:t>
      </w:r>
      <w:r>
        <w:rPr>
          <w:rFonts w:hint="eastAsia" w:eastAsia="仿宋_GB2312" w:cs="仿宋_GB2312"/>
          <w:sz w:val="32"/>
          <w:szCs w:val="32"/>
        </w:rPr>
        <w:t>%。主要变动原因是</w:t>
      </w:r>
      <w:r>
        <w:rPr>
          <w:rFonts w:hint="eastAsia" w:eastAsia="仿宋_GB2312" w:cs="仿宋_GB2312"/>
          <w:sz w:val="32"/>
          <w:szCs w:val="32"/>
          <w:lang w:eastAsia="zh-CN"/>
        </w:rPr>
        <w:t>市成办与服务中心有人员流入，相应的人员经费增加。市成办有退休人员去世，死亡抚恤金增加。</w:t>
      </w:r>
    </w:p>
    <w:p w14:paraId="40BBE47C">
      <w:pPr>
        <w:spacing w:line="240" w:lineRule="auto"/>
        <w:jc w:val="center"/>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4737735" cy="2694940"/>
            <wp:effectExtent l="0" t="0" r="5715" b="10160"/>
            <wp:docPr id="3" name="图片 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
                    <pic:cNvPicPr>
                      <a:picLocks noChangeAspect="1"/>
                    </pic:cNvPicPr>
                  </pic:nvPicPr>
                  <pic:blipFill>
                    <a:blip r:embed="rId13"/>
                    <a:stretch>
                      <a:fillRect/>
                    </a:stretch>
                  </pic:blipFill>
                  <pic:spPr>
                    <a:xfrm>
                      <a:off x="0" y="0"/>
                      <a:ext cx="4737735" cy="2694940"/>
                    </a:xfrm>
                    <a:prstGeom prst="rect">
                      <a:avLst/>
                    </a:prstGeom>
                  </pic:spPr>
                </pic:pic>
              </a:graphicData>
            </a:graphic>
          </wp:inline>
        </w:drawing>
      </w:r>
    </w:p>
    <w:p w14:paraId="657DAD5D">
      <w:pPr>
        <w:spacing w:line="600" w:lineRule="exact"/>
        <w:jc w:val="center"/>
        <w:rPr>
          <w:rFonts w:eastAsia="仿宋_GB2312" w:cs="仿宋_GB2312"/>
          <w:sz w:val="32"/>
          <w:szCs w:val="32"/>
        </w:rPr>
      </w:pPr>
      <w:r>
        <w:rPr>
          <w:rFonts w:hint="eastAsia" w:eastAsia="仿宋_GB2312" w:cs="仿宋_GB2312"/>
          <w:sz w:val="32"/>
          <w:szCs w:val="32"/>
        </w:rPr>
        <w:t>（图5：一般公共预算财政拨款支出决算变动情况）</w:t>
      </w:r>
    </w:p>
    <w:p w14:paraId="55BF79BB">
      <w:pPr>
        <w:spacing w:line="600" w:lineRule="exact"/>
        <w:ind w:firstLine="643" w:firstLineChars="200"/>
        <w:outlineLvl w:val="2"/>
        <w:rPr>
          <w:rFonts w:eastAsia="楷体_GB2312" w:cs="楷体_GB2312"/>
          <w:b/>
          <w:sz w:val="32"/>
          <w:szCs w:val="32"/>
        </w:rPr>
      </w:pPr>
      <w:bookmarkStart w:id="24" w:name="_Toc15377211"/>
      <w:r>
        <w:rPr>
          <w:rFonts w:hint="eastAsia" w:eastAsia="楷体_GB2312" w:cs="楷体_GB2312"/>
          <w:b/>
          <w:sz w:val="32"/>
          <w:szCs w:val="32"/>
        </w:rPr>
        <w:t>（二）一般公共预算财政拨款支出决算结构情况</w:t>
      </w:r>
      <w:bookmarkEnd w:id="24"/>
    </w:p>
    <w:p w14:paraId="5250F372">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876.42</w:t>
      </w:r>
      <w:r>
        <w:rPr>
          <w:rFonts w:hint="eastAsia" w:eastAsia="仿宋_GB2312" w:cs="仿宋_GB2312"/>
          <w:sz w:val="32"/>
          <w:szCs w:val="32"/>
        </w:rPr>
        <w:t>万元，主要用于以下方面：一般公共服务支出</w:t>
      </w:r>
      <w:r>
        <w:rPr>
          <w:rFonts w:hint="eastAsia" w:eastAsia="仿宋_GB2312" w:cs="仿宋_GB2312"/>
          <w:sz w:val="32"/>
          <w:szCs w:val="32"/>
          <w:lang w:val="en-US" w:eastAsia="zh-CN"/>
        </w:rPr>
        <w:t>514.41</w:t>
      </w:r>
      <w:r>
        <w:rPr>
          <w:rFonts w:hint="eastAsia" w:eastAsia="仿宋_GB2312" w:cs="仿宋_GB2312"/>
          <w:sz w:val="32"/>
          <w:szCs w:val="32"/>
        </w:rPr>
        <w:t>万元，占</w:t>
      </w:r>
      <w:r>
        <w:rPr>
          <w:rFonts w:hint="eastAsia" w:ascii="仿宋_GB2312" w:hAnsi="仿宋" w:eastAsia="仿宋_GB2312" w:cs="Times New Roman"/>
          <w:sz w:val="32"/>
          <w:szCs w:val="32"/>
          <w:lang w:val="en-US" w:eastAsia="zh-CN"/>
        </w:rPr>
        <w:t>58.69</w:t>
      </w:r>
      <w:r>
        <w:rPr>
          <w:rFonts w:hint="eastAsia" w:eastAsia="仿宋_GB2312" w:cs="仿宋_GB2312"/>
          <w:sz w:val="32"/>
          <w:szCs w:val="32"/>
        </w:rPr>
        <w:t>%社会保障和就业支出</w:t>
      </w:r>
      <w:r>
        <w:rPr>
          <w:rFonts w:hint="eastAsia" w:eastAsia="仿宋_GB2312" w:cs="仿宋_GB2312"/>
          <w:sz w:val="32"/>
          <w:szCs w:val="32"/>
          <w:lang w:val="en-US" w:eastAsia="zh-CN"/>
        </w:rPr>
        <w:t>280.38</w:t>
      </w:r>
      <w:r>
        <w:rPr>
          <w:rFonts w:hint="eastAsia" w:eastAsia="仿宋_GB2312" w:cs="仿宋_GB2312"/>
          <w:sz w:val="32"/>
          <w:szCs w:val="32"/>
        </w:rPr>
        <w:t>万元，占</w:t>
      </w:r>
      <w:r>
        <w:rPr>
          <w:rFonts w:hint="eastAsia" w:eastAsia="仿宋_GB2312" w:cs="仿宋_GB2312"/>
          <w:sz w:val="32"/>
          <w:szCs w:val="32"/>
          <w:lang w:val="en-US" w:eastAsia="zh-CN"/>
        </w:rPr>
        <w:t>31.99</w:t>
      </w:r>
      <w:r>
        <w:rPr>
          <w:rFonts w:hint="eastAsia" w:eastAsia="仿宋_GB2312" w:cs="仿宋_GB2312"/>
          <w:sz w:val="32"/>
          <w:szCs w:val="32"/>
        </w:rPr>
        <w:t>%；卫生健康支出</w:t>
      </w:r>
      <w:r>
        <w:rPr>
          <w:rFonts w:hint="eastAsia" w:ascii="仿宋_GB2312" w:hAnsi="仿宋" w:eastAsia="仿宋_GB2312" w:cs="Times New Roman"/>
          <w:sz w:val="32"/>
          <w:szCs w:val="32"/>
          <w:lang w:val="en-US" w:eastAsia="zh-CN"/>
        </w:rPr>
        <w:t>40.01</w:t>
      </w:r>
      <w:r>
        <w:rPr>
          <w:rFonts w:hint="eastAsia" w:eastAsia="仿宋_GB2312" w:cs="仿宋_GB2312"/>
          <w:sz w:val="32"/>
          <w:szCs w:val="32"/>
        </w:rPr>
        <w:t>万元，占</w:t>
      </w:r>
      <w:r>
        <w:rPr>
          <w:rFonts w:hint="eastAsia" w:eastAsia="仿宋_GB2312" w:cs="仿宋_GB2312"/>
          <w:sz w:val="32"/>
          <w:szCs w:val="32"/>
          <w:lang w:val="en-US" w:eastAsia="zh-CN"/>
        </w:rPr>
        <w:t>4.57</w:t>
      </w:r>
      <w:r>
        <w:rPr>
          <w:rFonts w:hint="eastAsia" w:eastAsia="仿宋_GB2312" w:cs="仿宋_GB2312"/>
          <w:sz w:val="32"/>
          <w:szCs w:val="32"/>
        </w:rPr>
        <w:t>%；住房保障支出</w:t>
      </w:r>
      <w:r>
        <w:rPr>
          <w:rFonts w:hint="eastAsia" w:eastAsia="仿宋_GB2312" w:cs="仿宋_GB2312"/>
          <w:sz w:val="32"/>
          <w:szCs w:val="32"/>
          <w:lang w:val="en-US" w:eastAsia="zh-CN"/>
        </w:rPr>
        <w:t>41.62</w:t>
      </w:r>
      <w:r>
        <w:rPr>
          <w:rFonts w:hint="eastAsia" w:eastAsia="仿宋_GB2312" w:cs="仿宋_GB2312"/>
          <w:sz w:val="32"/>
          <w:szCs w:val="32"/>
        </w:rPr>
        <w:t>万元，占</w:t>
      </w:r>
      <w:r>
        <w:rPr>
          <w:rFonts w:hint="eastAsia" w:eastAsia="仿宋_GB2312" w:cs="仿宋_GB2312"/>
          <w:sz w:val="32"/>
          <w:szCs w:val="32"/>
          <w:lang w:val="en-US" w:eastAsia="zh-CN"/>
        </w:rPr>
        <w:t>4.75</w:t>
      </w:r>
      <w:r>
        <w:rPr>
          <w:rFonts w:hint="eastAsia" w:eastAsia="仿宋_GB2312" w:cs="仿宋_GB2312"/>
          <w:sz w:val="32"/>
          <w:szCs w:val="32"/>
        </w:rPr>
        <w:t>%</w:t>
      </w:r>
      <w:r>
        <w:rPr>
          <w:rFonts w:hint="eastAsia" w:eastAsia="仿宋_GB2312" w:cs="仿宋_GB2312"/>
          <w:sz w:val="32"/>
          <w:szCs w:val="32"/>
          <w:lang w:eastAsia="zh-CN"/>
        </w:rPr>
        <w:t>。</w:t>
      </w:r>
    </w:p>
    <w:p w14:paraId="0E655F2A">
      <w:pPr>
        <w:spacing w:line="240" w:lineRule="auto"/>
        <w:jc w:val="center"/>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4838700" cy="2838450"/>
            <wp:effectExtent l="0" t="0" r="0" b="0"/>
            <wp:docPr id="7" name="图片 7"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6"/>
                    <pic:cNvPicPr>
                      <a:picLocks noChangeAspect="1"/>
                    </pic:cNvPicPr>
                  </pic:nvPicPr>
                  <pic:blipFill>
                    <a:blip r:embed="rId14"/>
                    <a:stretch>
                      <a:fillRect/>
                    </a:stretch>
                  </pic:blipFill>
                  <pic:spPr>
                    <a:xfrm>
                      <a:off x="0" y="0"/>
                      <a:ext cx="4838700" cy="2838450"/>
                    </a:xfrm>
                    <a:prstGeom prst="rect">
                      <a:avLst/>
                    </a:prstGeom>
                  </pic:spPr>
                </pic:pic>
              </a:graphicData>
            </a:graphic>
          </wp:inline>
        </w:drawing>
      </w:r>
    </w:p>
    <w:p w14:paraId="6920C909">
      <w:pPr>
        <w:spacing w:line="600" w:lineRule="exact"/>
        <w:jc w:val="center"/>
        <w:rPr>
          <w:rFonts w:eastAsia="仿宋_GB2312" w:cs="仿宋_GB2312"/>
          <w:sz w:val="32"/>
          <w:szCs w:val="32"/>
        </w:rPr>
      </w:pPr>
      <w:r>
        <w:rPr>
          <w:rFonts w:hint="eastAsia" w:eastAsia="仿宋_GB2312" w:cs="仿宋_GB2312"/>
          <w:sz w:val="32"/>
          <w:szCs w:val="32"/>
        </w:rPr>
        <w:t>（图6：一般公共预算财政拨款支出决算结构）</w:t>
      </w:r>
    </w:p>
    <w:p w14:paraId="73ED7D6C">
      <w:pPr>
        <w:spacing w:line="600" w:lineRule="exact"/>
        <w:ind w:firstLine="643" w:firstLineChars="200"/>
        <w:outlineLvl w:val="2"/>
        <w:rPr>
          <w:rFonts w:eastAsia="楷体_GB2312" w:cs="楷体_GB2312"/>
          <w:b/>
          <w:sz w:val="32"/>
          <w:szCs w:val="32"/>
        </w:rPr>
      </w:pPr>
      <w:bookmarkStart w:id="25" w:name="_Toc15377212"/>
      <w:r>
        <w:rPr>
          <w:rFonts w:hint="eastAsia" w:eastAsia="楷体_GB2312" w:cs="楷体_GB2312"/>
          <w:b/>
          <w:sz w:val="32"/>
          <w:szCs w:val="32"/>
        </w:rPr>
        <w:t>（三）一般公共预算财政拨款支出决算具体情况</w:t>
      </w:r>
      <w:bookmarkEnd w:id="25"/>
    </w:p>
    <w:p w14:paraId="181B7417">
      <w:pPr>
        <w:spacing w:line="600" w:lineRule="exact"/>
        <w:ind w:firstLine="640"/>
        <w:rPr>
          <w:rFonts w:eastAsia="仿宋_GB2312" w:cs="仿宋_GB2312"/>
          <w:sz w:val="32"/>
          <w:szCs w:val="32"/>
        </w:rPr>
      </w:pPr>
      <w:bookmarkStart w:id="26" w:name="_Toc15377444"/>
      <w:bookmarkStart w:id="27" w:name="_Toc15377213"/>
      <w:bookmarkStart w:id="28" w:name="_Toc15378460"/>
      <w:r>
        <w:rPr>
          <w:rFonts w:hint="eastAsia" w:eastAsia="仿宋_GB2312" w:cs="仿宋_GB2312"/>
          <w:sz w:val="32"/>
          <w:szCs w:val="32"/>
        </w:rPr>
        <w:t>2025年度一般公共预算支出决算数为</w:t>
      </w:r>
      <w:r>
        <w:rPr>
          <w:rFonts w:hint="eastAsia" w:eastAsia="仿宋_GB2312" w:cs="仿宋_GB2312"/>
          <w:sz w:val="32"/>
          <w:szCs w:val="32"/>
          <w:lang w:val="en-US" w:eastAsia="zh-CN"/>
        </w:rPr>
        <w:t>876.42</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26"/>
      <w:bookmarkEnd w:id="27"/>
      <w:bookmarkEnd w:id="28"/>
    </w:p>
    <w:p w14:paraId="41187B42">
      <w:pPr>
        <w:numPr>
          <w:ilvl w:val="0"/>
          <w:numId w:val="0"/>
        </w:numPr>
        <w:spacing w:line="600" w:lineRule="exact"/>
        <w:ind w:firstLine="640" w:firstLineChars="200"/>
        <w:rPr>
          <w:rFonts w:hint="eastAsia" w:eastAsia="仿宋_GB2312" w:cs="仿宋_GB2312"/>
          <w:sz w:val="32"/>
          <w:szCs w:val="32"/>
          <w:lang w:eastAsia="zh-CN"/>
        </w:rPr>
      </w:pPr>
      <w:r>
        <w:rPr>
          <w:rFonts w:hint="eastAsia" w:eastAsia="仿宋_GB2312" w:cs="仿宋_GB2312"/>
          <w:sz w:val="32"/>
          <w:szCs w:val="32"/>
          <w:lang w:val="en-US" w:eastAsia="zh-CN"/>
        </w:rPr>
        <w:t>1.</w:t>
      </w:r>
      <w:r>
        <w:rPr>
          <w:rFonts w:hint="eastAsia" w:eastAsia="仿宋_GB2312" w:cs="仿宋_GB2312"/>
          <w:sz w:val="32"/>
          <w:szCs w:val="32"/>
        </w:rPr>
        <w:t>一般公共服务</w:t>
      </w:r>
      <w:r>
        <w:rPr>
          <w:rFonts w:hint="eastAsia" w:eastAsia="仿宋_GB2312" w:cs="仿宋_GB2312"/>
          <w:sz w:val="32"/>
          <w:szCs w:val="32"/>
          <w:lang w:val="en-US" w:eastAsia="zh-CN"/>
        </w:rPr>
        <w:t>支出</w:t>
      </w:r>
      <w:r>
        <w:rPr>
          <w:rFonts w:hint="eastAsia" w:eastAsia="仿宋_GB2312" w:cs="仿宋_GB2312"/>
          <w:sz w:val="32"/>
          <w:szCs w:val="32"/>
        </w:rPr>
        <w:t>（类）</w:t>
      </w:r>
      <w:r>
        <w:rPr>
          <w:rFonts w:hint="eastAsia" w:eastAsia="仿宋_GB2312" w:cs="仿宋_GB2312"/>
          <w:sz w:val="32"/>
          <w:szCs w:val="32"/>
          <w:lang w:val="en-US" w:eastAsia="zh-CN"/>
        </w:rPr>
        <w:t>政府办公厅（室）及相关机构事务（</w:t>
      </w:r>
      <w:r>
        <w:rPr>
          <w:rFonts w:hint="eastAsia" w:eastAsia="仿宋_GB2312" w:cs="仿宋_GB2312"/>
          <w:sz w:val="32"/>
          <w:szCs w:val="32"/>
        </w:rPr>
        <w:t>款）</w:t>
      </w:r>
      <w:r>
        <w:rPr>
          <w:rFonts w:hint="eastAsia" w:eastAsia="仿宋_GB2312" w:cs="仿宋_GB2312"/>
          <w:sz w:val="32"/>
          <w:szCs w:val="32"/>
          <w:lang w:val="en-US" w:eastAsia="zh-CN"/>
        </w:rPr>
        <w:t>行政运行</w:t>
      </w:r>
      <w:r>
        <w:rPr>
          <w:rFonts w:hint="eastAsia" w:eastAsia="仿宋_GB2312" w:cs="仿宋_GB2312"/>
          <w:sz w:val="32"/>
          <w:szCs w:val="32"/>
        </w:rPr>
        <w:t>（项）：支出决算为</w:t>
      </w:r>
      <w:r>
        <w:rPr>
          <w:rFonts w:hint="eastAsia" w:eastAsia="仿宋_GB2312" w:cs="仿宋_GB2312"/>
          <w:sz w:val="32"/>
          <w:szCs w:val="32"/>
          <w:lang w:val="en-US" w:eastAsia="zh-CN"/>
        </w:rPr>
        <w:t>514.41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152E25D3">
      <w:pPr>
        <w:numPr>
          <w:ilvl w:val="0"/>
          <w:numId w:val="0"/>
        </w:numPr>
        <w:spacing w:line="600" w:lineRule="exact"/>
        <w:ind w:firstLine="640" w:firstLineChars="200"/>
        <w:rPr>
          <w:rFonts w:hint="eastAsia" w:eastAsia="仿宋_GB2312" w:cs="仿宋_GB2312"/>
          <w:sz w:val="32"/>
          <w:szCs w:val="32"/>
          <w:lang w:eastAsia="zh-CN"/>
        </w:rPr>
      </w:pPr>
      <w:r>
        <w:rPr>
          <w:rFonts w:hint="eastAsia" w:eastAsia="仿宋_GB2312" w:cs="仿宋_GB2312"/>
          <w:sz w:val="32"/>
          <w:szCs w:val="32"/>
          <w:lang w:val="en-US" w:eastAsia="zh-CN"/>
        </w:rPr>
        <w:t>2.</w:t>
      </w:r>
      <w:r>
        <w:rPr>
          <w:rFonts w:hint="eastAsia" w:eastAsia="仿宋_GB2312" w:cs="仿宋_GB2312"/>
          <w:sz w:val="32"/>
          <w:szCs w:val="32"/>
        </w:rPr>
        <w:t>一般公共服务</w:t>
      </w:r>
      <w:r>
        <w:rPr>
          <w:rFonts w:hint="eastAsia" w:eastAsia="仿宋_GB2312" w:cs="仿宋_GB2312"/>
          <w:sz w:val="32"/>
          <w:szCs w:val="32"/>
          <w:lang w:val="en-US" w:eastAsia="zh-CN"/>
        </w:rPr>
        <w:t>支出</w:t>
      </w:r>
      <w:r>
        <w:rPr>
          <w:rFonts w:hint="eastAsia" w:eastAsia="仿宋_GB2312" w:cs="仿宋_GB2312"/>
          <w:sz w:val="32"/>
          <w:szCs w:val="32"/>
        </w:rPr>
        <w:t>（类）</w:t>
      </w:r>
      <w:r>
        <w:rPr>
          <w:rFonts w:hint="eastAsia" w:eastAsia="仿宋_GB2312" w:cs="仿宋_GB2312"/>
          <w:sz w:val="32"/>
          <w:szCs w:val="32"/>
          <w:lang w:val="en-US" w:eastAsia="zh-CN"/>
        </w:rPr>
        <w:t>政府办公厅（室）及相关机构事务（</w:t>
      </w:r>
      <w:r>
        <w:rPr>
          <w:rFonts w:hint="eastAsia" w:eastAsia="仿宋_GB2312" w:cs="仿宋_GB2312"/>
          <w:sz w:val="32"/>
          <w:szCs w:val="32"/>
        </w:rPr>
        <w:t>款）</w:t>
      </w:r>
      <w:r>
        <w:rPr>
          <w:rFonts w:hint="eastAsia" w:eastAsia="仿宋_GB2312" w:cs="仿宋_GB2312"/>
          <w:sz w:val="32"/>
          <w:szCs w:val="32"/>
          <w:lang w:val="en-US" w:eastAsia="zh-CN"/>
        </w:rPr>
        <w:t>事业运行</w:t>
      </w:r>
      <w:r>
        <w:rPr>
          <w:rFonts w:hint="eastAsia" w:eastAsia="仿宋_GB2312" w:cs="仿宋_GB2312"/>
          <w:sz w:val="32"/>
          <w:szCs w:val="32"/>
        </w:rPr>
        <w:t>（项）：支出决算为</w:t>
      </w:r>
      <w:r>
        <w:rPr>
          <w:rFonts w:hint="eastAsia" w:eastAsia="仿宋_GB2312" w:cs="仿宋_GB2312"/>
          <w:sz w:val="32"/>
          <w:szCs w:val="32"/>
          <w:lang w:val="en-US" w:eastAsia="zh-CN"/>
        </w:rPr>
        <w:t>90</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667CCC3D">
      <w:pPr>
        <w:numPr>
          <w:ilvl w:val="0"/>
          <w:numId w:val="0"/>
        </w:numPr>
        <w:spacing w:line="600" w:lineRule="exact"/>
        <w:ind w:firstLine="640" w:firstLineChars="200"/>
        <w:rPr>
          <w:rFonts w:hint="eastAsia" w:eastAsia="仿宋_GB2312" w:cs="仿宋_GB2312"/>
          <w:sz w:val="32"/>
          <w:szCs w:val="32"/>
          <w:lang w:eastAsia="zh-CN"/>
        </w:rPr>
      </w:pPr>
      <w:r>
        <w:rPr>
          <w:rFonts w:hint="eastAsia" w:eastAsia="仿宋_GB2312" w:cs="仿宋_GB2312"/>
          <w:sz w:val="32"/>
          <w:szCs w:val="32"/>
          <w:lang w:val="en-US" w:eastAsia="zh-CN"/>
        </w:rPr>
        <w:t>3.</w:t>
      </w:r>
      <w:r>
        <w:rPr>
          <w:rFonts w:hint="eastAsia" w:eastAsia="仿宋_GB2312" w:cs="仿宋_GB2312"/>
          <w:sz w:val="32"/>
          <w:szCs w:val="32"/>
        </w:rPr>
        <w:t>一般公共服务</w:t>
      </w:r>
      <w:r>
        <w:rPr>
          <w:rFonts w:hint="eastAsia" w:eastAsia="仿宋_GB2312" w:cs="仿宋_GB2312"/>
          <w:sz w:val="32"/>
          <w:szCs w:val="32"/>
          <w:lang w:val="en-US" w:eastAsia="zh-CN"/>
        </w:rPr>
        <w:t>支出</w:t>
      </w:r>
      <w:r>
        <w:rPr>
          <w:rFonts w:hint="eastAsia" w:eastAsia="仿宋_GB2312" w:cs="仿宋_GB2312"/>
          <w:sz w:val="32"/>
          <w:szCs w:val="32"/>
        </w:rPr>
        <w:t>（类）</w:t>
      </w:r>
      <w:r>
        <w:rPr>
          <w:rFonts w:hint="eastAsia" w:eastAsia="仿宋_GB2312" w:cs="仿宋_GB2312"/>
          <w:sz w:val="32"/>
          <w:szCs w:val="32"/>
          <w:lang w:val="en-US" w:eastAsia="zh-CN"/>
        </w:rPr>
        <w:t>政府办公厅（室）及相关机构事务（</w:t>
      </w:r>
      <w:r>
        <w:rPr>
          <w:rFonts w:hint="eastAsia" w:eastAsia="仿宋_GB2312" w:cs="仿宋_GB2312"/>
          <w:sz w:val="32"/>
          <w:szCs w:val="32"/>
        </w:rPr>
        <w:t>款）</w:t>
      </w:r>
      <w:r>
        <w:rPr>
          <w:rFonts w:hint="eastAsia" w:eastAsia="仿宋_GB2312" w:cs="仿宋_GB2312"/>
          <w:sz w:val="32"/>
          <w:szCs w:val="32"/>
          <w:lang w:val="en-US" w:eastAsia="zh-CN"/>
        </w:rPr>
        <w:t>一般行政管理事务</w:t>
      </w:r>
      <w:r>
        <w:rPr>
          <w:rFonts w:hint="eastAsia" w:eastAsia="仿宋_GB2312" w:cs="仿宋_GB2312"/>
          <w:sz w:val="32"/>
          <w:szCs w:val="32"/>
        </w:rPr>
        <w:t>（项）：支出决算为</w:t>
      </w:r>
      <w:r>
        <w:rPr>
          <w:rFonts w:hint="eastAsia" w:eastAsia="仿宋_GB2312" w:cs="仿宋_GB2312"/>
          <w:sz w:val="32"/>
          <w:szCs w:val="32"/>
          <w:lang w:val="en-US" w:eastAsia="zh-CN"/>
        </w:rPr>
        <w:t>28</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4BD27FB2">
      <w:pPr>
        <w:numPr>
          <w:ilvl w:val="0"/>
          <w:numId w:val="0"/>
        </w:numPr>
        <w:spacing w:line="600" w:lineRule="exact"/>
        <w:ind w:firstLine="640" w:firstLineChars="200"/>
        <w:rPr>
          <w:rFonts w:hint="eastAsia" w:eastAsia="仿宋_GB2312" w:cs="仿宋_GB2312"/>
          <w:sz w:val="32"/>
          <w:szCs w:val="32"/>
          <w:lang w:eastAsia="zh-CN"/>
        </w:rPr>
      </w:pPr>
      <w:r>
        <w:rPr>
          <w:rFonts w:hint="eastAsia" w:eastAsia="仿宋_GB2312" w:cs="仿宋_GB2312"/>
          <w:sz w:val="32"/>
          <w:szCs w:val="32"/>
          <w:lang w:val="en-US" w:eastAsia="zh-CN"/>
        </w:rPr>
        <w:t>4.</w:t>
      </w:r>
      <w:r>
        <w:rPr>
          <w:rFonts w:hint="eastAsia" w:eastAsia="仿宋_GB2312" w:cs="仿宋_GB2312"/>
          <w:sz w:val="32"/>
          <w:szCs w:val="32"/>
        </w:rPr>
        <w:t>一般公共服务</w:t>
      </w:r>
      <w:r>
        <w:rPr>
          <w:rFonts w:hint="eastAsia" w:eastAsia="仿宋_GB2312" w:cs="仿宋_GB2312"/>
          <w:sz w:val="32"/>
          <w:szCs w:val="32"/>
          <w:lang w:val="en-US" w:eastAsia="zh-CN"/>
        </w:rPr>
        <w:t>支出</w:t>
      </w:r>
      <w:r>
        <w:rPr>
          <w:rFonts w:hint="eastAsia" w:eastAsia="仿宋_GB2312" w:cs="仿宋_GB2312"/>
          <w:sz w:val="32"/>
          <w:szCs w:val="32"/>
        </w:rPr>
        <w:t>（类）</w:t>
      </w:r>
      <w:r>
        <w:rPr>
          <w:rFonts w:hint="eastAsia" w:eastAsia="仿宋_GB2312" w:cs="仿宋_GB2312"/>
          <w:sz w:val="32"/>
          <w:szCs w:val="32"/>
          <w:lang w:val="en-US" w:eastAsia="zh-CN"/>
        </w:rPr>
        <w:t>政府办公厅（室）及相关机构事务（</w:t>
      </w:r>
      <w:r>
        <w:rPr>
          <w:rFonts w:hint="eastAsia" w:eastAsia="仿宋_GB2312" w:cs="仿宋_GB2312"/>
          <w:sz w:val="32"/>
          <w:szCs w:val="32"/>
        </w:rPr>
        <w:t>款）</w:t>
      </w:r>
      <w:r>
        <w:rPr>
          <w:rFonts w:hint="eastAsia" w:eastAsia="仿宋_GB2312" w:cs="仿宋_GB2312"/>
          <w:sz w:val="32"/>
          <w:szCs w:val="32"/>
          <w:lang w:val="en-US" w:eastAsia="zh-CN"/>
        </w:rPr>
        <w:t>专项业务及机关事务管理</w:t>
      </w:r>
      <w:r>
        <w:rPr>
          <w:rFonts w:hint="eastAsia" w:eastAsia="仿宋_GB2312" w:cs="仿宋_GB2312"/>
          <w:sz w:val="32"/>
          <w:szCs w:val="32"/>
        </w:rPr>
        <w:t>（项）：支出决算为</w:t>
      </w:r>
      <w:r>
        <w:rPr>
          <w:rFonts w:hint="eastAsia" w:eastAsia="仿宋_GB2312" w:cs="仿宋_GB2312"/>
          <w:sz w:val="32"/>
          <w:szCs w:val="32"/>
          <w:lang w:val="en-US" w:eastAsia="zh-CN"/>
        </w:rPr>
        <w:t>3</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695F92E6">
      <w:pPr>
        <w:numPr>
          <w:ilvl w:val="0"/>
          <w:numId w:val="0"/>
        </w:numPr>
        <w:spacing w:line="600" w:lineRule="exact"/>
        <w:ind w:firstLine="640" w:firstLineChars="200"/>
        <w:rPr>
          <w:rFonts w:hint="eastAsia" w:eastAsia="仿宋_GB2312" w:cs="仿宋_GB2312"/>
          <w:sz w:val="32"/>
          <w:szCs w:val="32"/>
          <w:lang w:eastAsia="zh-CN"/>
        </w:rPr>
      </w:pPr>
      <w:r>
        <w:rPr>
          <w:rFonts w:hint="eastAsia" w:eastAsia="仿宋_GB2312" w:cs="仿宋_GB2312"/>
          <w:sz w:val="32"/>
          <w:szCs w:val="32"/>
          <w:lang w:val="en-US" w:eastAsia="zh-CN"/>
        </w:rPr>
        <w:t>5.社会保障和就业支出</w:t>
      </w:r>
      <w:r>
        <w:rPr>
          <w:rFonts w:hint="eastAsia" w:eastAsia="仿宋_GB2312" w:cs="仿宋_GB2312"/>
          <w:sz w:val="32"/>
          <w:szCs w:val="32"/>
        </w:rPr>
        <w:t>（类）</w:t>
      </w:r>
      <w:r>
        <w:rPr>
          <w:rFonts w:hint="eastAsia" w:eastAsia="仿宋_GB2312" w:cs="仿宋_GB2312"/>
          <w:sz w:val="32"/>
          <w:szCs w:val="32"/>
          <w:lang w:val="en-US" w:eastAsia="zh-CN"/>
        </w:rPr>
        <w:t>行政事业单位养老支出（</w:t>
      </w:r>
      <w:r>
        <w:rPr>
          <w:rFonts w:hint="eastAsia" w:eastAsia="仿宋_GB2312" w:cs="仿宋_GB2312"/>
          <w:sz w:val="32"/>
          <w:szCs w:val="32"/>
        </w:rPr>
        <w:t>款）</w:t>
      </w:r>
      <w:r>
        <w:rPr>
          <w:rFonts w:hint="eastAsia" w:eastAsia="仿宋_GB2312" w:cs="仿宋_GB2312"/>
          <w:sz w:val="32"/>
          <w:szCs w:val="32"/>
          <w:lang w:val="en-US" w:eastAsia="zh-CN"/>
        </w:rPr>
        <w:t>行政单位离退休</w:t>
      </w:r>
      <w:r>
        <w:rPr>
          <w:rFonts w:hint="eastAsia" w:eastAsia="仿宋_GB2312" w:cs="仿宋_GB2312"/>
          <w:sz w:val="32"/>
          <w:szCs w:val="32"/>
        </w:rPr>
        <w:t>（项）：支出决算为</w:t>
      </w:r>
      <w:r>
        <w:rPr>
          <w:rFonts w:hint="eastAsia" w:eastAsia="仿宋_GB2312" w:cs="仿宋_GB2312"/>
          <w:sz w:val="32"/>
          <w:szCs w:val="32"/>
          <w:lang w:val="en-US" w:eastAsia="zh-CN"/>
        </w:rPr>
        <w:t>148.76</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1F2C4E32">
      <w:pPr>
        <w:numPr>
          <w:ilvl w:val="0"/>
          <w:numId w:val="0"/>
        </w:numPr>
        <w:spacing w:line="600" w:lineRule="exact"/>
        <w:ind w:firstLine="640" w:firstLineChars="200"/>
        <w:rPr>
          <w:rFonts w:hint="eastAsia" w:eastAsia="仿宋_GB2312" w:cs="仿宋_GB2312"/>
          <w:sz w:val="32"/>
          <w:szCs w:val="32"/>
          <w:lang w:eastAsia="zh-CN"/>
        </w:rPr>
      </w:pPr>
      <w:r>
        <w:rPr>
          <w:rFonts w:hint="eastAsia" w:eastAsia="仿宋_GB2312" w:cs="仿宋_GB2312"/>
          <w:sz w:val="32"/>
          <w:szCs w:val="32"/>
          <w:lang w:val="en-US" w:eastAsia="zh-CN"/>
        </w:rPr>
        <w:t>6.社会保障和就业支出</w:t>
      </w:r>
      <w:r>
        <w:rPr>
          <w:rFonts w:hint="eastAsia" w:eastAsia="仿宋_GB2312" w:cs="仿宋_GB2312"/>
          <w:sz w:val="32"/>
          <w:szCs w:val="32"/>
        </w:rPr>
        <w:t>（类）</w:t>
      </w:r>
      <w:r>
        <w:rPr>
          <w:rFonts w:hint="eastAsia" w:eastAsia="仿宋_GB2312" w:cs="仿宋_GB2312"/>
          <w:sz w:val="32"/>
          <w:szCs w:val="32"/>
          <w:lang w:val="en-US" w:eastAsia="zh-CN"/>
        </w:rPr>
        <w:t>行政事业单位养老支出（</w:t>
      </w:r>
      <w:r>
        <w:rPr>
          <w:rFonts w:hint="eastAsia" w:eastAsia="仿宋_GB2312" w:cs="仿宋_GB2312"/>
          <w:sz w:val="32"/>
          <w:szCs w:val="32"/>
        </w:rPr>
        <w:t>款）</w:t>
      </w:r>
      <w:r>
        <w:rPr>
          <w:rFonts w:hint="eastAsia" w:eastAsia="仿宋_GB2312" w:cs="仿宋_GB2312"/>
          <w:sz w:val="32"/>
          <w:szCs w:val="32"/>
          <w:lang w:val="en-US" w:eastAsia="zh-CN"/>
        </w:rPr>
        <w:t>事业单位离退休</w:t>
      </w:r>
      <w:r>
        <w:rPr>
          <w:rFonts w:hint="eastAsia" w:eastAsia="仿宋_GB2312" w:cs="仿宋_GB2312"/>
          <w:sz w:val="32"/>
          <w:szCs w:val="32"/>
        </w:rPr>
        <w:t>（项）：支出决算为</w:t>
      </w:r>
      <w:r>
        <w:rPr>
          <w:rFonts w:hint="eastAsia" w:eastAsia="仿宋_GB2312" w:cs="仿宋_GB2312"/>
          <w:sz w:val="32"/>
          <w:szCs w:val="32"/>
          <w:lang w:val="en-US" w:eastAsia="zh-CN"/>
        </w:rPr>
        <w:t>14.13</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0FFD4AA2">
      <w:pPr>
        <w:numPr>
          <w:ilvl w:val="0"/>
          <w:numId w:val="0"/>
        </w:numPr>
        <w:spacing w:line="600" w:lineRule="exact"/>
        <w:ind w:firstLine="640" w:firstLineChars="200"/>
        <w:rPr>
          <w:rFonts w:hint="eastAsia" w:eastAsia="仿宋_GB2312" w:cs="仿宋_GB2312"/>
          <w:sz w:val="32"/>
          <w:szCs w:val="32"/>
          <w:lang w:eastAsia="zh-CN"/>
        </w:rPr>
      </w:pPr>
      <w:r>
        <w:rPr>
          <w:rFonts w:hint="eastAsia" w:eastAsia="仿宋_GB2312" w:cs="仿宋_GB2312"/>
          <w:sz w:val="32"/>
          <w:szCs w:val="32"/>
          <w:lang w:val="en-US" w:eastAsia="zh-CN"/>
        </w:rPr>
        <w:t>7.社会保障和就业支出</w:t>
      </w:r>
      <w:r>
        <w:rPr>
          <w:rFonts w:hint="eastAsia" w:eastAsia="仿宋_GB2312" w:cs="仿宋_GB2312"/>
          <w:sz w:val="32"/>
          <w:szCs w:val="32"/>
        </w:rPr>
        <w:t>（类）</w:t>
      </w:r>
      <w:r>
        <w:rPr>
          <w:rFonts w:hint="eastAsia" w:eastAsia="仿宋_GB2312" w:cs="仿宋_GB2312"/>
          <w:sz w:val="32"/>
          <w:szCs w:val="32"/>
          <w:lang w:val="en-US" w:eastAsia="zh-CN"/>
        </w:rPr>
        <w:t>行政事业单位养老支出（</w:t>
      </w:r>
      <w:r>
        <w:rPr>
          <w:rFonts w:hint="eastAsia" w:eastAsia="仿宋_GB2312" w:cs="仿宋_GB2312"/>
          <w:sz w:val="32"/>
          <w:szCs w:val="32"/>
        </w:rPr>
        <w:t>款）</w:t>
      </w:r>
      <w:r>
        <w:rPr>
          <w:rFonts w:hint="eastAsia" w:eastAsia="仿宋_GB2312" w:cs="仿宋_GB2312"/>
          <w:sz w:val="32"/>
          <w:szCs w:val="32"/>
          <w:lang w:val="en-US" w:eastAsia="zh-CN"/>
        </w:rPr>
        <w:t>机关事业单位基本养老保险缴费支出</w:t>
      </w:r>
      <w:r>
        <w:rPr>
          <w:rFonts w:hint="eastAsia" w:eastAsia="仿宋_GB2312" w:cs="仿宋_GB2312"/>
          <w:sz w:val="32"/>
          <w:szCs w:val="32"/>
        </w:rPr>
        <w:t>（项）：支出决算为</w:t>
      </w:r>
      <w:r>
        <w:rPr>
          <w:rFonts w:hint="eastAsia" w:eastAsia="仿宋_GB2312" w:cs="仿宋_GB2312"/>
          <w:sz w:val="32"/>
          <w:szCs w:val="32"/>
          <w:lang w:val="en-US" w:eastAsia="zh-CN"/>
        </w:rPr>
        <w:t>53.40</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1A3E5988">
      <w:pPr>
        <w:numPr>
          <w:ilvl w:val="0"/>
          <w:numId w:val="0"/>
        </w:numPr>
        <w:spacing w:line="600" w:lineRule="exact"/>
        <w:ind w:firstLine="640" w:firstLineChars="200"/>
        <w:rPr>
          <w:rFonts w:hint="eastAsia" w:eastAsia="仿宋_GB2312" w:cs="仿宋_GB2312"/>
          <w:sz w:val="32"/>
          <w:szCs w:val="32"/>
          <w:lang w:eastAsia="zh-CN"/>
        </w:rPr>
      </w:pPr>
      <w:r>
        <w:rPr>
          <w:rFonts w:hint="eastAsia" w:eastAsia="仿宋_GB2312" w:cs="仿宋_GB2312"/>
          <w:sz w:val="32"/>
          <w:szCs w:val="32"/>
          <w:lang w:val="en-US" w:eastAsia="zh-CN"/>
        </w:rPr>
        <w:t>8.社会保障和就业支出</w:t>
      </w:r>
      <w:r>
        <w:rPr>
          <w:rFonts w:hint="eastAsia" w:eastAsia="仿宋_GB2312" w:cs="仿宋_GB2312"/>
          <w:sz w:val="32"/>
          <w:szCs w:val="32"/>
        </w:rPr>
        <w:t>（类）</w:t>
      </w:r>
      <w:r>
        <w:rPr>
          <w:rFonts w:hint="eastAsia" w:eastAsia="仿宋_GB2312" w:cs="仿宋_GB2312"/>
          <w:sz w:val="32"/>
          <w:szCs w:val="32"/>
          <w:lang w:val="en-US" w:eastAsia="zh-CN"/>
        </w:rPr>
        <w:t>行政事业单位养老支出（</w:t>
      </w:r>
      <w:r>
        <w:rPr>
          <w:rFonts w:hint="eastAsia" w:eastAsia="仿宋_GB2312" w:cs="仿宋_GB2312"/>
          <w:sz w:val="32"/>
          <w:szCs w:val="32"/>
        </w:rPr>
        <w:t>款）</w:t>
      </w:r>
      <w:r>
        <w:rPr>
          <w:rFonts w:hint="eastAsia" w:eastAsia="仿宋_GB2312" w:cs="仿宋_GB2312"/>
          <w:sz w:val="32"/>
          <w:szCs w:val="32"/>
          <w:lang w:val="en-US" w:eastAsia="zh-CN"/>
        </w:rPr>
        <w:t>机关事业单位职业年金缴费支出</w:t>
      </w:r>
      <w:r>
        <w:rPr>
          <w:rFonts w:hint="eastAsia" w:eastAsia="仿宋_GB2312" w:cs="仿宋_GB2312"/>
          <w:sz w:val="32"/>
          <w:szCs w:val="32"/>
        </w:rPr>
        <w:t>（项）：支出决算为</w:t>
      </w:r>
      <w:r>
        <w:rPr>
          <w:rFonts w:hint="eastAsia" w:eastAsia="仿宋_GB2312" w:cs="仿宋_GB2312"/>
          <w:sz w:val="32"/>
          <w:szCs w:val="32"/>
          <w:lang w:val="en-US" w:eastAsia="zh-CN"/>
        </w:rPr>
        <w:t>26.36</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3EF40C0C">
      <w:pPr>
        <w:numPr>
          <w:ilvl w:val="0"/>
          <w:numId w:val="0"/>
        </w:numPr>
        <w:spacing w:line="600" w:lineRule="exact"/>
        <w:ind w:firstLine="640" w:firstLineChars="200"/>
        <w:rPr>
          <w:rFonts w:hint="eastAsia" w:eastAsia="仿宋_GB2312" w:cs="仿宋_GB2312"/>
          <w:sz w:val="32"/>
          <w:szCs w:val="32"/>
          <w:lang w:eastAsia="zh-CN"/>
        </w:rPr>
      </w:pPr>
      <w:r>
        <w:rPr>
          <w:rFonts w:hint="eastAsia" w:eastAsia="仿宋_GB2312" w:cs="仿宋_GB2312"/>
          <w:sz w:val="32"/>
          <w:szCs w:val="32"/>
          <w:lang w:val="en-US" w:eastAsia="zh-CN"/>
        </w:rPr>
        <w:t>9.社会保障和就业支出</w:t>
      </w:r>
      <w:r>
        <w:rPr>
          <w:rFonts w:hint="eastAsia" w:eastAsia="仿宋_GB2312" w:cs="仿宋_GB2312"/>
          <w:sz w:val="32"/>
          <w:szCs w:val="32"/>
        </w:rPr>
        <w:t>（类）</w:t>
      </w:r>
      <w:r>
        <w:rPr>
          <w:rFonts w:hint="eastAsia" w:eastAsia="仿宋_GB2312" w:cs="仿宋_GB2312"/>
          <w:sz w:val="32"/>
          <w:szCs w:val="32"/>
          <w:lang w:val="en-US" w:eastAsia="zh-CN"/>
        </w:rPr>
        <w:t>抚恤（</w:t>
      </w:r>
      <w:r>
        <w:rPr>
          <w:rFonts w:hint="eastAsia" w:eastAsia="仿宋_GB2312" w:cs="仿宋_GB2312"/>
          <w:sz w:val="32"/>
          <w:szCs w:val="32"/>
        </w:rPr>
        <w:t>款）</w:t>
      </w:r>
      <w:r>
        <w:rPr>
          <w:rFonts w:hint="eastAsia" w:eastAsia="仿宋_GB2312" w:cs="仿宋_GB2312"/>
          <w:sz w:val="32"/>
          <w:szCs w:val="32"/>
          <w:lang w:val="en-US" w:eastAsia="zh-CN"/>
        </w:rPr>
        <w:t>死亡抚恤</w:t>
      </w:r>
      <w:r>
        <w:rPr>
          <w:rFonts w:hint="eastAsia" w:eastAsia="仿宋_GB2312" w:cs="仿宋_GB2312"/>
          <w:sz w:val="32"/>
          <w:szCs w:val="32"/>
        </w:rPr>
        <w:t>（项）：支出决算为</w:t>
      </w:r>
      <w:r>
        <w:rPr>
          <w:rFonts w:hint="eastAsia" w:eastAsia="仿宋_GB2312" w:cs="仿宋_GB2312"/>
          <w:sz w:val="32"/>
          <w:szCs w:val="32"/>
          <w:lang w:val="en-US" w:eastAsia="zh-CN"/>
        </w:rPr>
        <w:t>36.67</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31B82C91">
      <w:pPr>
        <w:numPr>
          <w:ilvl w:val="0"/>
          <w:numId w:val="0"/>
        </w:numPr>
        <w:spacing w:line="600" w:lineRule="exact"/>
        <w:ind w:firstLine="640" w:firstLineChars="200"/>
        <w:rPr>
          <w:rFonts w:hint="eastAsia" w:eastAsia="仿宋_GB2312" w:cs="仿宋_GB2312"/>
          <w:sz w:val="32"/>
          <w:szCs w:val="32"/>
          <w:lang w:eastAsia="zh-CN"/>
        </w:rPr>
      </w:pPr>
      <w:r>
        <w:rPr>
          <w:rFonts w:hint="eastAsia" w:eastAsia="仿宋_GB2312" w:cs="仿宋_GB2312"/>
          <w:sz w:val="32"/>
          <w:szCs w:val="32"/>
          <w:lang w:val="en-US" w:eastAsia="zh-CN"/>
        </w:rPr>
        <w:t>10.社会保障和就业支出</w:t>
      </w:r>
      <w:r>
        <w:rPr>
          <w:rFonts w:hint="eastAsia" w:eastAsia="仿宋_GB2312" w:cs="仿宋_GB2312"/>
          <w:sz w:val="32"/>
          <w:szCs w:val="32"/>
        </w:rPr>
        <w:t>（类）</w:t>
      </w:r>
      <w:r>
        <w:rPr>
          <w:rFonts w:hint="eastAsia" w:eastAsia="仿宋_GB2312" w:cs="仿宋_GB2312"/>
          <w:sz w:val="32"/>
          <w:szCs w:val="32"/>
          <w:lang w:val="en-US" w:eastAsia="zh-CN"/>
        </w:rPr>
        <w:t>其他社会保障和就业支出（</w:t>
      </w:r>
      <w:r>
        <w:rPr>
          <w:rFonts w:hint="eastAsia" w:eastAsia="仿宋_GB2312" w:cs="仿宋_GB2312"/>
          <w:sz w:val="32"/>
          <w:szCs w:val="32"/>
        </w:rPr>
        <w:t>款）</w:t>
      </w:r>
      <w:r>
        <w:rPr>
          <w:rFonts w:hint="eastAsia" w:eastAsia="仿宋_GB2312" w:cs="仿宋_GB2312"/>
          <w:sz w:val="32"/>
          <w:szCs w:val="32"/>
          <w:lang w:val="en-US" w:eastAsia="zh-CN"/>
        </w:rPr>
        <w:t>其他社会保障和就业支出</w:t>
      </w:r>
      <w:r>
        <w:rPr>
          <w:rFonts w:hint="eastAsia" w:eastAsia="仿宋_GB2312" w:cs="仿宋_GB2312"/>
          <w:sz w:val="32"/>
          <w:szCs w:val="32"/>
        </w:rPr>
        <w:t>（项）：支出决算为</w:t>
      </w:r>
      <w:r>
        <w:rPr>
          <w:rFonts w:hint="eastAsia" w:eastAsia="仿宋_GB2312" w:cs="仿宋_GB2312"/>
          <w:sz w:val="32"/>
          <w:szCs w:val="32"/>
          <w:lang w:val="en-US" w:eastAsia="zh-CN"/>
        </w:rPr>
        <w:t>1.07</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5BB7BE42">
      <w:pPr>
        <w:numPr>
          <w:ilvl w:val="0"/>
          <w:numId w:val="0"/>
        </w:numPr>
        <w:spacing w:line="600" w:lineRule="exact"/>
        <w:ind w:firstLine="640" w:firstLineChars="200"/>
        <w:rPr>
          <w:rFonts w:hint="eastAsia" w:eastAsia="仿宋_GB2312" w:cs="仿宋_GB2312"/>
          <w:sz w:val="32"/>
          <w:szCs w:val="32"/>
          <w:lang w:eastAsia="zh-CN"/>
        </w:rPr>
      </w:pPr>
      <w:r>
        <w:rPr>
          <w:rFonts w:hint="eastAsia" w:eastAsia="仿宋_GB2312" w:cs="仿宋_GB2312"/>
          <w:sz w:val="32"/>
          <w:szCs w:val="32"/>
          <w:lang w:val="en-US" w:eastAsia="zh-CN"/>
        </w:rPr>
        <w:t>11.卫生健康支出（</w:t>
      </w:r>
      <w:r>
        <w:rPr>
          <w:rFonts w:hint="eastAsia" w:eastAsia="仿宋_GB2312" w:cs="仿宋_GB2312"/>
          <w:sz w:val="32"/>
          <w:szCs w:val="32"/>
        </w:rPr>
        <w:t>类）</w:t>
      </w:r>
      <w:r>
        <w:rPr>
          <w:rFonts w:hint="eastAsia" w:eastAsia="仿宋_GB2312" w:cs="仿宋_GB2312"/>
          <w:sz w:val="32"/>
          <w:szCs w:val="32"/>
          <w:lang w:val="en-US" w:eastAsia="zh-CN"/>
        </w:rPr>
        <w:t>行政事业单位医疗（</w:t>
      </w:r>
      <w:r>
        <w:rPr>
          <w:rFonts w:hint="eastAsia" w:eastAsia="仿宋_GB2312" w:cs="仿宋_GB2312"/>
          <w:sz w:val="32"/>
          <w:szCs w:val="32"/>
        </w:rPr>
        <w:t>款）</w:t>
      </w:r>
      <w:r>
        <w:rPr>
          <w:rFonts w:hint="eastAsia" w:eastAsia="仿宋_GB2312" w:cs="仿宋_GB2312"/>
          <w:sz w:val="32"/>
          <w:szCs w:val="32"/>
          <w:lang w:val="en-US" w:eastAsia="zh-CN"/>
        </w:rPr>
        <w:t>行政单位医疗</w:t>
      </w:r>
      <w:r>
        <w:rPr>
          <w:rFonts w:hint="eastAsia" w:eastAsia="仿宋_GB2312" w:cs="仿宋_GB2312"/>
          <w:sz w:val="32"/>
          <w:szCs w:val="32"/>
        </w:rPr>
        <w:t>（项）：支出决算为</w:t>
      </w:r>
      <w:r>
        <w:rPr>
          <w:rFonts w:hint="eastAsia" w:eastAsia="仿宋_GB2312" w:cs="仿宋_GB2312"/>
          <w:sz w:val="32"/>
          <w:szCs w:val="32"/>
          <w:lang w:val="en-US" w:eastAsia="zh-CN"/>
        </w:rPr>
        <w:t>21.17</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1A286998">
      <w:pPr>
        <w:numPr>
          <w:ilvl w:val="0"/>
          <w:numId w:val="0"/>
        </w:numPr>
        <w:spacing w:line="600" w:lineRule="exact"/>
        <w:ind w:firstLine="640" w:firstLineChars="200"/>
        <w:rPr>
          <w:rFonts w:hint="eastAsia" w:eastAsia="仿宋_GB2312" w:cs="仿宋_GB2312"/>
          <w:sz w:val="32"/>
          <w:szCs w:val="32"/>
          <w:lang w:eastAsia="zh-CN"/>
        </w:rPr>
      </w:pPr>
      <w:r>
        <w:rPr>
          <w:rFonts w:hint="eastAsia" w:eastAsia="仿宋_GB2312" w:cs="仿宋_GB2312"/>
          <w:sz w:val="32"/>
          <w:szCs w:val="32"/>
          <w:lang w:val="en-US" w:eastAsia="zh-CN"/>
        </w:rPr>
        <w:t>12.卫生健康支出（</w:t>
      </w:r>
      <w:r>
        <w:rPr>
          <w:rFonts w:hint="eastAsia" w:eastAsia="仿宋_GB2312" w:cs="仿宋_GB2312"/>
          <w:sz w:val="32"/>
          <w:szCs w:val="32"/>
        </w:rPr>
        <w:t>类）</w:t>
      </w:r>
      <w:r>
        <w:rPr>
          <w:rFonts w:hint="eastAsia" w:eastAsia="仿宋_GB2312" w:cs="仿宋_GB2312"/>
          <w:sz w:val="32"/>
          <w:szCs w:val="32"/>
          <w:lang w:val="en-US" w:eastAsia="zh-CN"/>
        </w:rPr>
        <w:t>行政事业单位医疗（</w:t>
      </w:r>
      <w:r>
        <w:rPr>
          <w:rFonts w:hint="eastAsia" w:eastAsia="仿宋_GB2312" w:cs="仿宋_GB2312"/>
          <w:sz w:val="32"/>
          <w:szCs w:val="32"/>
        </w:rPr>
        <w:t>款）</w:t>
      </w:r>
      <w:r>
        <w:rPr>
          <w:rFonts w:hint="eastAsia" w:eastAsia="仿宋_GB2312" w:cs="仿宋_GB2312"/>
          <w:sz w:val="32"/>
          <w:szCs w:val="32"/>
          <w:lang w:val="en-US" w:eastAsia="zh-CN"/>
        </w:rPr>
        <w:t>事业单位医疗</w:t>
      </w:r>
      <w:r>
        <w:rPr>
          <w:rFonts w:hint="eastAsia" w:eastAsia="仿宋_GB2312" w:cs="仿宋_GB2312"/>
          <w:sz w:val="32"/>
          <w:szCs w:val="32"/>
        </w:rPr>
        <w:t>（项）：支出决算为</w:t>
      </w:r>
      <w:r>
        <w:rPr>
          <w:rFonts w:hint="eastAsia" w:eastAsia="仿宋_GB2312" w:cs="仿宋_GB2312"/>
          <w:sz w:val="32"/>
          <w:szCs w:val="32"/>
          <w:lang w:val="en-US" w:eastAsia="zh-CN"/>
        </w:rPr>
        <w:t>6.20</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19404577">
      <w:pPr>
        <w:numPr>
          <w:ilvl w:val="0"/>
          <w:numId w:val="0"/>
        </w:numPr>
        <w:spacing w:line="600" w:lineRule="exact"/>
        <w:ind w:firstLine="640" w:firstLineChars="200"/>
        <w:rPr>
          <w:rFonts w:hint="eastAsia" w:eastAsia="仿宋_GB2312" w:cs="仿宋_GB2312"/>
          <w:sz w:val="32"/>
          <w:szCs w:val="32"/>
          <w:lang w:eastAsia="zh-CN"/>
        </w:rPr>
      </w:pPr>
      <w:r>
        <w:rPr>
          <w:rFonts w:hint="eastAsia" w:eastAsia="仿宋_GB2312" w:cs="仿宋_GB2312"/>
          <w:sz w:val="32"/>
          <w:szCs w:val="32"/>
          <w:lang w:val="en-US" w:eastAsia="zh-CN"/>
        </w:rPr>
        <w:t>13.卫生健康支出（</w:t>
      </w:r>
      <w:r>
        <w:rPr>
          <w:rFonts w:hint="eastAsia" w:eastAsia="仿宋_GB2312" w:cs="仿宋_GB2312"/>
          <w:sz w:val="32"/>
          <w:szCs w:val="32"/>
        </w:rPr>
        <w:t>类）</w:t>
      </w:r>
      <w:r>
        <w:rPr>
          <w:rFonts w:hint="eastAsia" w:eastAsia="仿宋_GB2312" w:cs="仿宋_GB2312"/>
          <w:sz w:val="32"/>
          <w:szCs w:val="32"/>
          <w:lang w:val="en-US" w:eastAsia="zh-CN"/>
        </w:rPr>
        <w:t>行政事业单位医疗（</w:t>
      </w:r>
      <w:r>
        <w:rPr>
          <w:rFonts w:hint="eastAsia" w:eastAsia="仿宋_GB2312" w:cs="仿宋_GB2312"/>
          <w:sz w:val="32"/>
          <w:szCs w:val="32"/>
        </w:rPr>
        <w:t>款）</w:t>
      </w:r>
      <w:r>
        <w:rPr>
          <w:rFonts w:hint="eastAsia" w:eastAsia="仿宋_GB2312" w:cs="仿宋_GB2312"/>
          <w:sz w:val="32"/>
          <w:szCs w:val="32"/>
          <w:lang w:val="en-US" w:eastAsia="zh-CN"/>
        </w:rPr>
        <w:t>公务员医疗补助</w:t>
      </w:r>
      <w:r>
        <w:rPr>
          <w:rFonts w:hint="eastAsia" w:eastAsia="仿宋_GB2312" w:cs="仿宋_GB2312"/>
          <w:sz w:val="32"/>
          <w:szCs w:val="32"/>
        </w:rPr>
        <w:t>（项）：支出决算为</w:t>
      </w:r>
      <w:r>
        <w:rPr>
          <w:rFonts w:hint="eastAsia" w:eastAsia="仿宋_GB2312" w:cs="仿宋_GB2312"/>
          <w:sz w:val="32"/>
          <w:szCs w:val="32"/>
          <w:lang w:val="en-US" w:eastAsia="zh-CN"/>
        </w:rPr>
        <w:t>21.17</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63EAB5FC">
      <w:pPr>
        <w:numPr>
          <w:ilvl w:val="0"/>
          <w:numId w:val="0"/>
        </w:numPr>
        <w:spacing w:line="600" w:lineRule="exact"/>
        <w:ind w:firstLine="640" w:firstLineChars="200"/>
        <w:rPr>
          <w:rFonts w:hint="eastAsia" w:eastAsia="仿宋_GB2312" w:cs="仿宋_GB2312"/>
          <w:sz w:val="32"/>
          <w:szCs w:val="32"/>
          <w:lang w:eastAsia="zh-CN"/>
        </w:rPr>
      </w:pPr>
      <w:r>
        <w:rPr>
          <w:rFonts w:hint="eastAsia" w:eastAsia="仿宋_GB2312" w:cs="仿宋_GB2312"/>
          <w:sz w:val="32"/>
          <w:szCs w:val="32"/>
          <w:lang w:val="en-US" w:eastAsia="zh-CN"/>
        </w:rPr>
        <w:t>14.卫生健康支出（</w:t>
      </w:r>
      <w:r>
        <w:rPr>
          <w:rFonts w:hint="eastAsia" w:eastAsia="仿宋_GB2312" w:cs="仿宋_GB2312"/>
          <w:sz w:val="32"/>
          <w:szCs w:val="32"/>
        </w:rPr>
        <w:t>类）</w:t>
      </w:r>
      <w:r>
        <w:rPr>
          <w:rFonts w:hint="eastAsia" w:eastAsia="仿宋_GB2312" w:cs="仿宋_GB2312"/>
          <w:sz w:val="32"/>
          <w:szCs w:val="32"/>
          <w:lang w:val="en-US" w:eastAsia="zh-CN"/>
        </w:rPr>
        <w:t>行政事业单位医疗（</w:t>
      </w:r>
      <w:r>
        <w:rPr>
          <w:rFonts w:hint="eastAsia" w:eastAsia="仿宋_GB2312" w:cs="仿宋_GB2312"/>
          <w:sz w:val="32"/>
          <w:szCs w:val="32"/>
        </w:rPr>
        <w:t>款）</w:t>
      </w:r>
      <w:r>
        <w:rPr>
          <w:rFonts w:hint="eastAsia" w:eastAsia="仿宋_GB2312" w:cs="仿宋_GB2312"/>
          <w:sz w:val="32"/>
          <w:szCs w:val="32"/>
          <w:lang w:val="en-US" w:eastAsia="zh-CN"/>
        </w:rPr>
        <w:t>其他行政事业单位医疗支出</w:t>
      </w:r>
      <w:r>
        <w:rPr>
          <w:rFonts w:hint="eastAsia" w:eastAsia="仿宋_GB2312" w:cs="仿宋_GB2312"/>
          <w:sz w:val="32"/>
          <w:szCs w:val="32"/>
        </w:rPr>
        <w:t>（项）：支出决算为</w:t>
      </w:r>
      <w:r>
        <w:rPr>
          <w:rFonts w:hint="eastAsia" w:eastAsia="仿宋_GB2312" w:cs="仿宋_GB2312"/>
          <w:sz w:val="32"/>
          <w:szCs w:val="32"/>
          <w:lang w:val="en-US" w:eastAsia="zh-CN"/>
        </w:rPr>
        <w:t>7.98</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4A690031">
      <w:pPr>
        <w:numPr>
          <w:ilvl w:val="0"/>
          <w:numId w:val="0"/>
        </w:numPr>
        <w:spacing w:line="600" w:lineRule="exact"/>
        <w:ind w:firstLine="640" w:firstLineChars="200"/>
        <w:rPr>
          <w:rFonts w:hint="eastAsia" w:eastAsia="仿宋_GB2312" w:cs="仿宋_GB2312"/>
          <w:sz w:val="32"/>
          <w:szCs w:val="32"/>
          <w:lang w:eastAsia="zh-CN"/>
        </w:rPr>
      </w:pPr>
      <w:r>
        <w:rPr>
          <w:rFonts w:hint="eastAsia" w:eastAsia="仿宋_GB2312" w:cs="仿宋_GB2312"/>
          <w:sz w:val="32"/>
          <w:szCs w:val="32"/>
          <w:lang w:val="en-US" w:eastAsia="zh-CN"/>
        </w:rPr>
        <w:t>15.卫生健康支出（</w:t>
      </w:r>
      <w:r>
        <w:rPr>
          <w:rFonts w:hint="eastAsia" w:eastAsia="仿宋_GB2312" w:cs="仿宋_GB2312"/>
          <w:sz w:val="32"/>
          <w:szCs w:val="32"/>
        </w:rPr>
        <w:t>类）</w:t>
      </w:r>
      <w:r>
        <w:rPr>
          <w:rFonts w:hint="eastAsia" w:eastAsia="仿宋_GB2312" w:cs="仿宋_GB2312"/>
          <w:sz w:val="32"/>
          <w:szCs w:val="32"/>
          <w:lang w:val="en-US" w:eastAsia="zh-CN"/>
        </w:rPr>
        <w:t>其他卫生健康支出（</w:t>
      </w:r>
      <w:r>
        <w:rPr>
          <w:rFonts w:hint="eastAsia" w:eastAsia="仿宋_GB2312" w:cs="仿宋_GB2312"/>
          <w:sz w:val="32"/>
          <w:szCs w:val="32"/>
        </w:rPr>
        <w:t>款）</w:t>
      </w:r>
      <w:r>
        <w:rPr>
          <w:rFonts w:hint="eastAsia" w:eastAsia="仿宋_GB2312" w:cs="仿宋_GB2312"/>
          <w:sz w:val="32"/>
          <w:szCs w:val="32"/>
          <w:lang w:val="en-US" w:eastAsia="zh-CN"/>
        </w:rPr>
        <w:t>其他卫生健康支出</w:t>
      </w:r>
      <w:r>
        <w:rPr>
          <w:rFonts w:hint="eastAsia" w:eastAsia="仿宋_GB2312" w:cs="仿宋_GB2312"/>
          <w:sz w:val="32"/>
          <w:szCs w:val="32"/>
        </w:rPr>
        <w:t>（项）：支出决算为</w:t>
      </w:r>
      <w:r>
        <w:rPr>
          <w:rFonts w:hint="eastAsia" w:eastAsia="仿宋_GB2312" w:cs="仿宋_GB2312"/>
          <w:sz w:val="32"/>
          <w:szCs w:val="32"/>
          <w:lang w:val="en-US" w:eastAsia="zh-CN"/>
        </w:rPr>
        <w:t>1.96</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2DDC17E0">
      <w:pPr>
        <w:numPr>
          <w:ilvl w:val="0"/>
          <w:numId w:val="0"/>
        </w:numPr>
        <w:spacing w:line="600" w:lineRule="exact"/>
        <w:ind w:firstLine="640" w:firstLineChars="200"/>
        <w:rPr>
          <w:rFonts w:hint="default" w:eastAsia="仿宋_GB2312" w:cs="仿宋_GB2312"/>
          <w:sz w:val="32"/>
          <w:szCs w:val="32"/>
          <w:lang w:val="en-US" w:eastAsia="zh-CN"/>
        </w:rPr>
      </w:pPr>
      <w:r>
        <w:rPr>
          <w:rFonts w:hint="eastAsia" w:eastAsia="仿宋_GB2312" w:cs="仿宋_GB2312"/>
          <w:sz w:val="32"/>
          <w:szCs w:val="32"/>
          <w:lang w:val="en-US" w:eastAsia="zh-CN"/>
        </w:rPr>
        <w:t>16.住房保障支出（类）住房改革支出（款）住房公积金（项）：支出决算为41.62万元，完成预算100%。</w:t>
      </w:r>
    </w:p>
    <w:p w14:paraId="2FB08E41">
      <w:pPr>
        <w:tabs>
          <w:tab w:val="right" w:pos="8306"/>
        </w:tabs>
        <w:spacing w:line="600" w:lineRule="exact"/>
        <w:ind w:firstLine="640"/>
        <w:outlineLvl w:val="1"/>
        <w:rPr>
          <w:rStyle w:val="31"/>
          <w:rFonts w:ascii="Times New Roman" w:hAnsi="Times New Roman"/>
        </w:rPr>
      </w:pPr>
      <w:bookmarkStart w:id="29" w:name="_Toc15396608"/>
      <w:bookmarkStart w:id="30" w:name="_Toc15377214"/>
      <w:r>
        <w:rPr>
          <w:rFonts w:hint="eastAsia" w:eastAsia="黑体"/>
          <w:sz w:val="32"/>
          <w:szCs w:val="32"/>
        </w:rPr>
        <w:t>六</w:t>
      </w:r>
      <w:r>
        <w:rPr>
          <w:rFonts w:hint="eastAsia" w:eastAsia="黑体"/>
          <w:b/>
          <w:sz w:val="32"/>
          <w:szCs w:val="32"/>
        </w:rPr>
        <w:t>、一</w:t>
      </w:r>
      <w:r>
        <w:rPr>
          <w:rStyle w:val="31"/>
          <w:rFonts w:hint="eastAsia" w:ascii="Times New Roman" w:hAnsi="Times New Roman" w:eastAsia="黑体"/>
          <w:b w:val="0"/>
        </w:rPr>
        <w:t>般公共预算财政拨款基本支出决算情况说明</w:t>
      </w:r>
      <w:bookmarkEnd w:id="29"/>
      <w:bookmarkEnd w:id="30"/>
      <w:r>
        <w:rPr>
          <w:rStyle w:val="31"/>
          <w:rFonts w:ascii="Times New Roman" w:hAnsi="Times New Roman" w:eastAsia="黑体"/>
          <w:b w:val="0"/>
        </w:rPr>
        <w:tab/>
      </w:r>
    </w:p>
    <w:p w14:paraId="5D2D8951">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eastAsia="仿宋_GB2312" w:cs="仿宋_GB2312"/>
          <w:sz w:val="32"/>
          <w:szCs w:val="32"/>
          <w:lang w:val="en-US" w:eastAsia="zh-CN"/>
        </w:rPr>
        <w:t>845.42</w:t>
      </w:r>
      <w:r>
        <w:rPr>
          <w:rFonts w:hint="eastAsia" w:eastAsia="仿宋_GB2312" w:cs="仿宋_GB2312"/>
          <w:sz w:val="32"/>
          <w:szCs w:val="32"/>
        </w:rPr>
        <w:t>万元，其中：</w:t>
      </w:r>
    </w:p>
    <w:p w14:paraId="08B42CC4">
      <w:pPr>
        <w:spacing w:line="600" w:lineRule="exact"/>
        <w:ind w:firstLine="640"/>
        <w:rPr>
          <w:rFonts w:eastAsia="仿宋_GB2312" w:cs="仿宋_GB2312"/>
          <w:sz w:val="30"/>
          <w:szCs w:val="30"/>
        </w:rPr>
      </w:pPr>
      <w:r>
        <w:rPr>
          <w:rFonts w:hint="eastAsia" w:eastAsia="仿宋_GB2312" w:cs="仿宋_GB2312"/>
          <w:sz w:val="32"/>
          <w:szCs w:val="32"/>
        </w:rPr>
        <w:t>人员经费</w:t>
      </w:r>
      <w:r>
        <w:rPr>
          <w:rFonts w:hint="eastAsia" w:eastAsia="仿宋_GB2312" w:cs="仿宋_GB2312"/>
          <w:sz w:val="32"/>
          <w:szCs w:val="32"/>
          <w:lang w:val="en-US" w:eastAsia="zh-CN"/>
        </w:rPr>
        <w:t>733.55</w:t>
      </w:r>
      <w:r>
        <w:rPr>
          <w:rFonts w:hint="eastAsia" w:eastAsia="仿宋_GB2312" w:cs="仿宋_GB2312"/>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111.87</w:t>
      </w:r>
      <w:r>
        <w:rPr>
          <w:rFonts w:hint="eastAsia" w:eastAsia="仿宋_GB2312" w:cs="仿宋_GB2312"/>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77318655">
      <w:pPr>
        <w:spacing w:line="600" w:lineRule="exact"/>
        <w:ind w:firstLine="640"/>
        <w:outlineLvl w:val="1"/>
        <w:rPr>
          <w:rStyle w:val="31"/>
          <w:rFonts w:ascii="Times New Roman" w:hAnsi="Times New Roman" w:eastAsia="黑体"/>
          <w:b w:val="0"/>
        </w:rPr>
      </w:pPr>
      <w:bookmarkStart w:id="31" w:name="_Toc15377215"/>
      <w:bookmarkStart w:id="32" w:name="_Toc15396609"/>
      <w:r>
        <w:rPr>
          <w:rFonts w:hint="eastAsia" w:eastAsia="黑体"/>
          <w:sz w:val="32"/>
          <w:szCs w:val="32"/>
        </w:rPr>
        <w:t>七、</w:t>
      </w:r>
      <w:r>
        <w:rPr>
          <w:rStyle w:val="31"/>
          <w:rFonts w:hint="eastAsia" w:ascii="Times New Roman" w:hAnsi="Times New Roman" w:eastAsia="黑体"/>
          <w:b w:val="0"/>
        </w:rPr>
        <w:t>财政拨款</w:t>
      </w:r>
      <w:r>
        <w:rPr>
          <w:rStyle w:val="31"/>
          <w:rFonts w:hint="eastAsia" w:ascii="Times New Roman" w:hAnsi="Times New Roman" w:eastAsia="黑体"/>
        </w:rPr>
        <w:t>“</w:t>
      </w:r>
      <w:r>
        <w:rPr>
          <w:rStyle w:val="31"/>
          <w:rFonts w:hint="eastAsia" w:ascii="Times New Roman" w:hAnsi="Times New Roman" w:eastAsia="黑体"/>
          <w:b w:val="0"/>
        </w:rPr>
        <w:t>三公”经费支出决算情况说明</w:t>
      </w:r>
      <w:bookmarkEnd w:id="31"/>
      <w:bookmarkEnd w:id="32"/>
    </w:p>
    <w:p w14:paraId="0DCEEB6D">
      <w:pPr>
        <w:spacing w:line="600" w:lineRule="exact"/>
        <w:ind w:firstLine="640"/>
        <w:rPr>
          <w:rFonts w:hint="eastAsia" w:eastAsia="仿宋_GB2312" w:cs="仿宋_GB2312"/>
          <w:sz w:val="32"/>
          <w:szCs w:val="32"/>
        </w:rPr>
      </w:pPr>
      <w:bookmarkStart w:id="33" w:name="_Toc15377216"/>
      <w:r>
        <w:rPr>
          <w:rFonts w:hint="eastAsia" w:eastAsia="仿宋_GB2312" w:cs="仿宋_GB2312"/>
          <w:sz w:val="32"/>
          <w:szCs w:val="32"/>
        </w:rPr>
        <w:t>（一）财政拨款“三公”经费支出决算总体情况说明</w:t>
      </w:r>
      <w:bookmarkEnd w:id="33"/>
    </w:p>
    <w:p w14:paraId="21A08D6C">
      <w:pPr>
        <w:spacing w:line="600" w:lineRule="exact"/>
        <w:ind w:firstLine="640"/>
        <w:rPr>
          <w:rFonts w:hint="eastAsia" w:eastAsia="仿宋_GB2312" w:cs="仿宋_GB2312"/>
          <w:sz w:val="32"/>
          <w:szCs w:val="32"/>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26.01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与上年相比减少</w:t>
      </w:r>
      <w:r>
        <w:rPr>
          <w:rFonts w:hint="eastAsia" w:eastAsia="仿宋_GB2312" w:cs="仿宋_GB2312"/>
          <w:sz w:val="32"/>
          <w:szCs w:val="32"/>
          <w:lang w:val="en-US" w:eastAsia="zh-CN"/>
        </w:rPr>
        <w:t>0.11万元，原因是干休所2025年未发生公务接待支出</w:t>
      </w:r>
      <w:r>
        <w:rPr>
          <w:rFonts w:hint="eastAsia" w:eastAsia="仿宋_GB2312" w:cs="仿宋_GB2312"/>
          <w:sz w:val="32"/>
          <w:szCs w:val="32"/>
        </w:rPr>
        <w:t>。</w:t>
      </w:r>
    </w:p>
    <w:p w14:paraId="7743C69B">
      <w:pPr>
        <w:spacing w:line="600" w:lineRule="exact"/>
        <w:ind w:firstLine="640"/>
        <w:rPr>
          <w:rFonts w:hint="eastAsia" w:eastAsia="仿宋_GB2312" w:cs="仿宋_GB2312"/>
          <w:sz w:val="32"/>
          <w:szCs w:val="32"/>
        </w:rPr>
      </w:pPr>
      <w:bookmarkStart w:id="34" w:name="_Toc15377217"/>
      <w:r>
        <w:rPr>
          <w:rFonts w:hint="eastAsia" w:eastAsia="仿宋_GB2312" w:cs="仿宋_GB2312"/>
          <w:sz w:val="32"/>
          <w:szCs w:val="32"/>
        </w:rPr>
        <w:t>（二）财政拨款“三公”经费支出决算具体情况说明</w:t>
      </w:r>
      <w:bookmarkEnd w:id="34"/>
    </w:p>
    <w:p w14:paraId="06598B82">
      <w:pPr>
        <w:spacing w:line="600" w:lineRule="exact"/>
        <w:ind w:firstLine="640"/>
        <w:rPr>
          <w:rFonts w:hint="eastAsia"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8.51</w:t>
      </w:r>
      <w:r>
        <w:rPr>
          <w:rFonts w:hint="eastAsia" w:eastAsia="仿宋_GB2312" w:cs="仿宋_GB2312"/>
          <w:sz w:val="32"/>
          <w:szCs w:val="32"/>
        </w:rPr>
        <w:t>万元，占</w:t>
      </w:r>
      <w:r>
        <w:rPr>
          <w:rFonts w:hint="eastAsia" w:eastAsia="仿宋_GB2312" w:cs="仿宋_GB2312"/>
          <w:sz w:val="32"/>
          <w:szCs w:val="32"/>
          <w:lang w:val="en-US" w:eastAsia="zh-CN"/>
        </w:rPr>
        <w:t>32.72</w:t>
      </w:r>
      <w:r>
        <w:rPr>
          <w:rFonts w:hint="eastAsia" w:eastAsia="仿宋_GB2312" w:cs="仿宋_GB2312"/>
          <w:sz w:val="32"/>
          <w:szCs w:val="32"/>
        </w:rPr>
        <w:t>%；公务接待费支出决算</w:t>
      </w:r>
      <w:r>
        <w:rPr>
          <w:rFonts w:hint="eastAsia" w:eastAsia="仿宋_GB2312" w:cs="仿宋_GB2312"/>
          <w:sz w:val="32"/>
          <w:szCs w:val="32"/>
          <w:lang w:val="en-US" w:eastAsia="zh-CN"/>
        </w:rPr>
        <w:t>17.5</w:t>
      </w:r>
      <w:r>
        <w:rPr>
          <w:rFonts w:hint="eastAsia" w:eastAsia="仿宋_GB2312" w:cs="仿宋_GB2312"/>
          <w:sz w:val="32"/>
          <w:szCs w:val="32"/>
        </w:rPr>
        <w:t>万元，占</w:t>
      </w:r>
      <w:r>
        <w:rPr>
          <w:rFonts w:hint="eastAsia" w:eastAsia="仿宋_GB2312" w:cs="仿宋_GB2312"/>
          <w:sz w:val="32"/>
          <w:szCs w:val="32"/>
          <w:lang w:val="en-US" w:eastAsia="zh-CN"/>
        </w:rPr>
        <w:t>67.28</w:t>
      </w:r>
      <w:r>
        <w:rPr>
          <w:rFonts w:hint="eastAsia" w:eastAsia="仿宋_GB2312" w:cs="仿宋_GB2312"/>
          <w:sz w:val="32"/>
          <w:szCs w:val="32"/>
        </w:rPr>
        <w:t>%。具体情况如下：</w:t>
      </w:r>
    </w:p>
    <w:p w14:paraId="309CEEBC">
      <w:pPr>
        <w:spacing w:line="240" w:lineRule="auto"/>
        <w:jc w:val="center"/>
        <w:rPr>
          <w:rFonts w:hint="eastAsia" w:eastAsia="仿宋_GB2312" w:cs="仿宋_GB2312"/>
          <w:sz w:val="32"/>
          <w:szCs w:val="32"/>
        </w:rPr>
      </w:pPr>
      <w:r>
        <w:rPr>
          <w:rFonts w:hint="eastAsia" w:eastAsia="仿宋_GB2312" w:cs="仿宋_GB2312"/>
          <w:sz w:val="32"/>
          <w:szCs w:val="32"/>
          <w:lang w:eastAsia="zh-CN"/>
        </w:rPr>
        <w:drawing>
          <wp:inline distT="0" distB="0" distL="114300" distR="114300">
            <wp:extent cx="4380230" cy="2569845"/>
            <wp:effectExtent l="0" t="0" r="1270" b="0"/>
            <wp:docPr id="8" name="图片 8"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7"/>
                    <pic:cNvPicPr>
                      <a:picLocks noChangeAspect="1"/>
                    </pic:cNvPicPr>
                  </pic:nvPicPr>
                  <pic:blipFill>
                    <a:blip r:embed="rId15"/>
                    <a:stretch>
                      <a:fillRect/>
                    </a:stretch>
                  </pic:blipFill>
                  <pic:spPr>
                    <a:xfrm>
                      <a:off x="0" y="0"/>
                      <a:ext cx="4380230" cy="2569845"/>
                    </a:xfrm>
                    <a:prstGeom prst="rect">
                      <a:avLst/>
                    </a:prstGeom>
                  </pic:spPr>
                </pic:pic>
              </a:graphicData>
            </a:graphic>
          </wp:inline>
        </w:drawing>
      </w:r>
    </w:p>
    <w:p w14:paraId="6A65AD0C">
      <w:pPr>
        <w:spacing w:line="600" w:lineRule="exact"/>
        <w:jc w:val="center"/>
        <w:rPr>
          <w:rFonts w:hint="eastAsia" w:eastAsia="仿宋_GB2312" w:cs="仿宋_GB2312"/>
          <w:sz w:val="32"/>
          <w:szCs w:val="32"/>
        </w:rPr>
      </w:pPr>
      <w:r>
        <w:rPr>
          <w:rFonts w:hint="eastAsia" w:eastAsia="仿宋_GB2312" w:cs="仿宋_GB2312"/>
          <w:sz w:val="32"/>
          <w:szCs w:val="32"/>
        </w:rPr>
        <w:t>（图7：财政拨款“三公”经费支出结构）</w:t>
      </w:r>
    </w:p>
    <w:p w14:paraId="663B7000">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1.因公出国（境）经费支出</w:t>
      </w:r>
      <w:r>
        <w:rPr>
          <w:rFonts w:hint="eastAsia" w:eastAsia="仿宋_GB2312" w:cs="仿宋_GB2312"/>
          <w:sz w:val="32"/>
          <w:szCs w:val="32"/>
          <w:lang w:val="en-US" w:eastAsia="zh-CN"/>
        </w:rPr>
        <w:t>0</w:t>
      </w:r>
      <w:r>
        <w:rPr>
          <w:rFonts w:hint="eastAsia" w:eastAsia="仿宋_GB2312" w:cs="仿宋_GB2312"/>
          <w:sz w:val="32"/>
          <w:szCs w:val="32"/>
        </w:rPr>
        <w:t>万元，完成预算</w:t>
      </w:r>
      <w:r>
        <w:rPr>
          <w:rFonts w:hint="eastAsia" w:eastAsia="仿宋_GB2312" w:cs="仿宋_GB2312"/>
          <w:sz w:val="32"/>
          <w:szCs w:val="32"/>
          <w:lang w:val="en-US" w:eastAsia="zh-CN"/>
        </w:rPr>
        <w:t>0</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人。因公出国（境）支出决算</w:t>
      </w:r>
      <w:r>
        <w:rPr>
          <w:rFonts w:hint="eastAsia" w:eastAsia="仿宋_GB2312" w:cs="仿宋_GB2312"/>
          <w:sz w:val="32"/>
          <w:szCs w:val="32"/>
          <w:lang w:eastAsia="zh-CN"/>
        </w:rPr>
        <w:t>与</w:t>
      </w:r>
      <w:r>
        <w:rPr>
          <w:rFonts w:hint="eastAsia" w:eastAsia="仿宋_GB2312" w:cs="仿宋_GB2312"/>
          <w:sz w:val="32"/>
          <w:szCs w:val="32"/>
        </w:rPr>
        <w:t>上年度</w:t>
      </w:r>
      <w:r>
        <w:rPr>
          <w:rFonts w:hint="eastAsia" w:eastAsia="仿宋_GB2312" w:cs="仿宋_GB2312"/>
          <w:sz w:val="32"/>
          <w:szCs w:val="32"/>
          <w:lang w:eastAsia="zh-CN"/>
        </w:rPr>
        <w:t>持平。</w:t>
      </w:r>
    </w:p>
    <w:p w14:paraId="50B46F5F">
      <w:pPr>
        <w:spacing w:line="600" w:lineRule="exact"/>
        <w:ind w:firstLine="640"/>
        <w:rPr>
          <w:rFonts w:hint="eastAsia" w:eastAsia="仿宋_GB2312" w:cs="仿宋_GB2312"/>
          <w:sz w:val="32"/>
          <w:szCs w:val="32"/>
        </w:rPr>
      </w:pPr>
      <w:r>
        <w:rPr>
          <w:rFonts w:hint="eastAsia" w:eastAsia="仿宋_GB2312" w:cs="仿宋_GB2312"/>
          <w:sz w:val="32"/>
          <w:szCs w:val="32"/>
        </w:rPr>
        <w:t>2.公务用车购置及运行维护费支出</w:t>
      </w:r>
      <w:r>
        <w:rPr>
          <w:rFonts w:hint="eastAsia" w:eastAsia="仿宋_GB2312" w:cs="仿宋_GB2312"/>
          <w:sz w:val="32"/>
          <w:szCs w:val="32"/>
          <w:lang w:val="en-US" w:eastAsia="zh-CN"/>
        </w:rPr>
        <w:t>8.51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%。公务用车购置及运行维护费支出决算</w:t>
      </w:r>
      <w:r>
        <w:rPr>
          <w:rFonts w:hint="eastAsia" w:eastAsia="仿宋_GB2312" w:cs="仿宋_GB2312"/>
          <w:sz w:val="32"/>
          <w:szCs w:val="32"/>
          <w:lang w:eastAsia="zh-CN"/>
        </w:rPr>
        <w:t>与</w:t>
      </w:r>
      <w:r>
        <w:rPr>
          <w:rFonts w:hint="eastAsia" w:eastAsia="仿宋_GB2312" w:cs="仿宋_GB2312"/>
          <w:sz w:val="32"/>
          <w:szCs w:val="32"/>
        </w:rPr>
        <w:t>上年度</w:t>
      </w:r>
      <w:r>
        <w:rPr>
          <w:rFonts w:hint="eastAsia" w:eastAsia="仿宋_GB2312" w:cs="仿宋_GB2312"/>
          <w:sz w:val="32"/>
          <w:szCs w:val="32"/>
          <w:lang w:eastAsia="zh-CN"/>
        </w:rPr>
        <w:t>持平。</w:t>
      </w:r>
      <w:r>
        <w:rPr>
          <w:rFonts w:hint="eastAsia" w:eastAsia="仿宋_GB2312" w:cs="仿宋_GB2312"/>
          <w:sz w:val="32"/>
          <w:szCs w:val="32"/>
        </w:rPr>
        <w:t>其中：公务用车购置支出</w:t>
      </w:r>
      <w:r>
        <w:rPr>
          <w:rFonts w:hint="eastAsia"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w:t>
      </w:r>
    </w:p>
    <w:p w14:paraId="4ED435F8">
      <w:pPr>
        <w:spacing w:line="600" w:lineRule="exact"/>
        <w:ind w:firstLine="640"/>
        <w:rPr>
          <w:rFonts w:hint="eastAsia" w:eastAsia="仿宋_GB2312" w:cs="仿宋_GB2312"/>
          <w:sz w:val="32"/>
          <w:szCs w:val="32"/>
        </w:rPr>
      </w:pPr>
      <w:r>
        <w:rPr>
          <w:rFonts w:hint="eastAsia" w:eastAsia="仿宋_GB2312" w:cs="仿宋_GB2312"/>
          <w:sz w:val="32"/>
          <w:szCs w:val="32"/>
        </w:rPr>
        <w:t>截至2025年12月31日，单位共有公务用车</w:t>
      </w:r>
      <w:r>
        <w:rPr>
          <w:rFonts w:hint="eastAsia" w:eastAsia="仿宋_GB2312" w:cs="仿宋_GB2312"/>
          <w:sz w:val="32"/>
          <w:szCs w:val="32"/>
          <w:lang w:val="en-US" w:eastAsia="zh-CN"/>
        </w:rPr>
        <w:t>6</w:t>
      </w:r>
      <w:r>
        <w:rPr>
          <w:rFonts w:hint="eastAsia" w:eastAsia="仿宋_GB2312" w:cs="仿宋_GB2312"/>
          <w:sz w:val="32"/>
          <w:szCs w:val="32"/>
        </w:rPr>
        <w:t>辆，</w:t>
      </w:r>
      <w:r>
        <w:rPr>
          <w:rFonts w:hint="default" w:ascii="Times New Roman" w:hAnsi="Times New Roman" w:eastAsia="仿宋_GB2312" w:cs="Times New Roman"/>
          <w:bCs/>
          <w:color w:val="000000"/>
          <w:sz w:val="32"/>
          <w:szCs w:val="32"/>
        </w:rPr>
        <w:t>但实有公务用车为</w:t>
      </w:r>
      <w:r>
        <w:rPr>
          <w:rFonts w:hint="eastAsia" w:eastAsia="仿宋_GB2312" w:cs="Times New Roman"/>
          <w:bCs/>
          <w:color w:val="000000"/>
          <w:sz w:val="32"/>
          <w:szCs w:val="32"/>
          <w:lang w:val="en-US" w:eastAsia="zh-CN"/>
        </w:rPr>
        <w:t>5</w:t>
      </w:r>
      <w:r>
        <w:rPr>
          <w:rFonts w:hint="default" w:ascii="Times New Roman" w:hAnsi="Times New Roman" w:eastAsia="仿宋_GB2312" w:cs="Times New Roman"/>
          <w:bCs/>
          <w:color w:val="000000"/>
          <w:sz w:val="32"/>
          <w:szCs w:val="32"/>
        </w:rPr>
        <w:t>辆（</w:t>
      </w:r>
      <w:r>
        <w:rPr>
          <w:rFonts w:hint="default" w:ascii="Times New Roman" w:hAnsi="Times New Roman" w:eastAsia="仿宋_GB2312" w:cs="Times New Roman"/>
          <w:sz w:val="32"/>
          <w:szCs w:val="32"/>
        </w:rPr>
        <w:t>2016年7月公车改革时攀枝花市机关事务管理局将车辆调回进行拍卖处置</w:t>
      </w:r>
      <w:r>
        <w:rPr>
          <w:rFonts w:hint="default" w:ascii="Times New Roman" w:hAnsi="Times New Roman" w:eastAsia="仿宋_GB2312" w:cs="Times New Roman"/>
          <w:bCs/>
          <w:color w:val="000000"/>
          <w:sz w:val="32"/>
          <w:szCs w:val="32"/>
        </w:rPr>
        <w:t>，</w:t>
      </w:r>
      <w:r>
        <w:rPr>
          <w:rFonts w:hint="default" w:ascii="Times New Roman" w:hAnsi="Times New Roman" w:eastAsia="仿宋_GB2312" w:cs="Times New Roman"/>
          <w:bCs/>
          <w:color w:val="000000"/>
          <w:sz w:val="32"/>
          <w:szCs w:val="32"/>
          <w:lang w:eastAsia="zh-CN"/>
        </w:rPr>
        <w:t>成办</w:t>
      </w:r>
      <w:r>
        <w:rPr>
          <w:rFonts w:hint="default" w:ascii="Times New Roman" w:hAnsi="Times New Roman" w:eastAsia="仿宋_GB2312" w:cs="Times New Roman"/>
          <w:sz w:val="32"/>
          <w:szCs w:val="32"/>
        </w:rPr>
        <w:t>仍有1辆轿车因资料</w:t>
      </w:r>
      <w:r>
        <w:rPr>
          <w:rFonts w:hint="default" w:ascii="Times New Roman" w:hAnsi="Times New Roman" w:eastAsia="仿宋_GB2312" w:cs="Times New Roman"/>
          <w:sz w:val="32"/>
          <w:szCs w:val="32"/>
          <w:lang w:eastAsia="zh-CN"/>
        </w:rPr>
        <w:t>不全，财政暂</w:t>
      </w:r>
      <w:r>
        <w:rPr>
          <w:rFonts w:hint="default" w:ascii="Times New Roman" w:hAnsi="Times New Roman" w:eastAsia="仿宋_GB2312" w:cs="Times New Roman"/>
          <w:sz w:val="32"/>
          <w:szCs w:val="32"/>
        </w:rPr>
        <w:t>无法批复核销）</w:t>
      </w:r>
      <w:r>
        <w:rPr>
          <w:rFonts w:hint="eastAsia" w:ascii="Times New Roman" w:hAnsi="Times New Roman" w:eastAsia="仿宋_GB2312" w:cs="Times New Roman"/>
          <w:sz w:val="32"/>
          <w:szCs w:val="32"/>
          <w:lang w:eastAsia="zh-CN"/>
        </w:rPr>
        <w:t>，</w:t>
      </w:r>
      <w:r>
        <w:rPr>
          <w:rFonts w:hint="eastAsia" w:eastAsia="仿宋_GB2312" w:cs="仿宋_GB2312"/>
          <w:sz w:val="32"/>
          <w:szCs w:val="32"/>
        </w:rPr>
        <w:t>其中：轿车</w:t>
      </w:r>
      <w:r>
        <w:rPr>
          <w:rFonts w:hint="eastAsia" w:eastAsia="仿宋_GB2312" w:cs="仿宋_GB2312"/>
          <w:sz w:val="32"/>
          <w:szCs w:val="32"/>
          <w:lang w:val="en-US" w:eastAsia="zh-CN"/>
        </w:rPr>
        <w:t>4</w:t>
      </w:r>
      <w:r>
        <w:rPr>
          <w:rFonts w:hint="eastAsia" w:eastAsia="仿宋_GB2312" w:cs="仿宋_GB2312"/>
          <w:sz w:val="32"/>
          <w:szCs w:val="32"/>
        </w:rPr>
        <w:t>辆、越野车</w:t>
      </w:r>
      <w:r>
        <w:rPr>
          <w:rFonts w:hint="eastAsia" w:eastAsia="仿宋_GB2312" w:cs="仿宋_GB2312"/>
          <w:sz w:val="32"/>
          <w:szCs w:val="32"/>
          <w:lang w:val="en-US" w:eastAsia="zh-CN"/>
        </w:rPr>
        <w:t>1</w:t>
      </w:r>
      <w:r>
        <w:rPr>
          <w:rFonts w:hint="eastAsia" w:eastAsia="仿宋_GB2312" w:cs="仿宋_GB2312"/>
          <w:sz w:val="32"/>
          <w:szCs w:val="32"/>
        </w:rPr>
        <w:t>辆、载客汽车</w:t>
      </w:r>
      <w:r>
        <w:rPr>
          <w:rFonts w:hint="eastAsia" w:eastAsia="仿宋_GB2312" w:cs="仿宋_GB2312"/>
          <w:sz w:val="32"/>
          <w:szCs w:val="32"/>
          <w:lang w:val="en-US" w:eastAsia="zh-CN"/>
        </w:rPr>
        <w:t>0</w:t>
      </w:r>
      <w:r>
        <w:rPr>
          <w:rFonts w:hint="eastAsia" w:eastAsia="仿宋_GB2312" w:cs="仿宋_GB2312"/>
          <w:sz w:val="32"/>
          <w:szCs w:val="32"/>
        </w:rPr>
        <w:t>辆。</w:t>
      </w:r>
    </w:p>
    <w:p w14:paraId="2CCA3F29">
      <w:pPr>
        <w:spacing w:line="600" w:lineRule="exact"/>
        <w:ind w:firstLine="640"/>
        <w:rPr>
          <w:rFonts w:hint="eastAsia" w:eastAsia="仿宋_GB2312" w:cs="仿宋_GB2312"/>
          <w:sz w:val="32"/>
          <w:szCs w:val="32"/>
        </w:rPr>
      </w:pPr>
      <w:r>
        <w:rPr>
          <w:rFonts w:hint="eastAsia" w:eastAsia="仿宋_GB2312" w:cs="仿宋_GB2312"/>
          <w:sz w:val="32"/>
          <w:szCs w:val="32"/>
        </w:rPr>
        <w:t>公务用车运行维护费支出</w:t>
      </w:r>
      <w:r>
        <w:rPr>
          <w:rFonts w:hint="eastAsia" w:eastAsia="仿宋_GB2312" w:cs="仿宋_GB2312"/>
          <w:sz w:val="32"/>
          <w:szCs w:val="32"/>
          <w:lang w:val="en-US" w:eastAsia="zh-CN"/>
        </w:rPr>
        <w:t>8.51</w:t>
      </w:r>
      <w:r>
        <w:rPr>
          <w:rFonts w:hint="eastAsia" w:eastAsia="仿宋_GB2312" w:cs="仿宋_GB2312"/>
          <w:sz w:val="32"/>
          <w:szCs w:val="32"/>
        </w:rPr>
        <w:t>万元。主要用于</w:t>
      </w:r>
      <w:r>
        <w:rPr>
          <w:rFonts w:hint="eastAsia" w:eastAsia="仿宋_GB2312" w:cs="仿宋_GB2312"/>
          <w:sz w:val="32"/>
          <w:szCs w:val="32"/>
          <w:lang w:eastAsia="zh-CN"/>
        </w:rPr>
        <w:t>日常工作及老干部服务</w:t>
      </w:r>
      <w:r>
        <w:rPr>
          <w:rFonts w:hint="eastAsia" w:eastAsia="仿宋_GB2312" w:cs="仿宋_GB2312"/>
          <w:sz w:val="32"/>
          <w:szCs w:val="32"/>
        </w:rPr>
        <w:t>所需的公务用车燃料费、维修费、过路过桥费、保险费等支出。</w:t>
      </w:r>
    </w:p>
    <w:p w14:paraId="36F30ED2">
      <w:pPr>
        <w:spacing w:line="600" w:lineRule="exact"/>
        <w:ind w:firstLine="640"/>
        <w:rPr>
          <w:rFonts w:hint="eastAsia" w:eastAsia="仿宋_GB2312" w:cs="仿宋_GB2312"/>
          <w:sz w:val="32"/>
          <w:szCs w:val="32"/>
        </w:rPr>
      </w:pPr>
      <w:r>
        <w:rPr>
          <w:rFonts w:hint="eastAsia" w:eastAsia="仿宋_GB2312" w:cs="仿宋_GB2312"/>
          <w:sz w:val="32"/>
          <w:szCs w:val="32"/>
        </w:rPr>
        <w:t>3.公务接待费支出</w:t>
      </w:r>
      <w:r>
        <w:rPr>
          <w:rFonts w:hint="eastAsia" w:eastAsia="仿宋_GB2312" w:cs="仿宋_GB2312"/>
          <w:sz w:val="32"/>
          <w:szCs w:val="32"/>
          <w:lang w:val="en-US" w:eastAsia="zh-CN"/>
        </w:rPr>
        <w:t>17.5</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%。公务接待费支出决算比上年度减少</w:t>
      </w:r>
      <w:r>
        <w:rPr>
          <w:rFonts w:hint="eastAsia" w:eastAsia="仿宋_GB2312" w:cs="仿宋_GB2312"/>
          <w:sz w:val="32"/>
          <w:szCs w:val="32"/>
          <w:lang w:val="en-US" w:eastAsia="zh-CN"/>
        </w:rPr>
        <w:t>0.11</w:t>
      </w:r>
      <w:r>
        <w:rPr>
          <w:rFonts w:hint="eastAsia" w:eastAsia="仿宋_GB2312" w:cs="仿宋_GB2312"/>
          <w:sz w:val="32"/>
          <w:szCs w:val="32"/>
        </w:rPr>
        <w:t>万元，下降</w:t>
      </w:r>
      <w:r>
        <w:rPr>
          <w:rFonts w:hint="eastAsia" w:eastAsia="仿宋_GB2312" w:cs="仿宋_GB2312"/>
          <w:sz w:val="32"/>
          <w:szCs w:val="32"/>
          <w:lang w:val="en-US" w:eastAsia="zh-CN"/>
        </w:rPr>
        <w:t>0.62</w:t>
      </w:r>
      <w:r>
        <w:rPr>
          <w:rFonts w:hint="eastAsia" w:eastAsia="仿宋_GB2312" w:cs="仿宋_GB2312"/>
          <w:sz w:val="32"/>
          <w:szCs w:val="32"/>
        </w:rPr>
        <w:t>%。主要原因是</w:t>
      </w:r>
      <w:r>
        <w:rPr>
          <w:rFonts w:hint="eastAsia" w:eastAsia="仿宋_GB2312" w:cs="仿宋_GB2312"/>
          <w:sz w:val="32"/>
          <w:szCs w:val="32"/>
          <w:lang w:val="en-US" w:eastAsia="zh-CN"/>
        </w:rPr>
        <w:t>干休所2025年未发生公务接待支出</w:t>
      </w:r>
      <w:r>
        <w:rPr>
          <w:rFonts w:hint="eastAsia" w:eastAsia="仿宋_GB2312" w:cs="仿宋_GB2312"/>
          <w:sz w:val="32"/>
          <w:szCs w:val="32"/>
        </w:rPr>
        <w:t>。其中：</w:t>
      </w:r>
    </w:p>
    <w:p w14:paraId="05F5D59C">
      <w:pPr>
        <w:spacing w:line="600" w:lineRule="exact"/>
        <w:ind w:firstLine="640"/>
        <w:rPr>
          <w:rFonts w:hint="eastAsia" w:eastAsia="仿宋_GB2312" w:cs="仿宋_GB2312"/>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17.5</w:t>
      </w:r>
      <w:r>
        <w:rPr>
          <w:rFonts w:hint="eastAsia" w:eastAsia="仿宋_GB2312" w:cs="仿宋_GB2312"/>
          <w:sz w:val="32"/>
          <w:szCs w:val="32"/>
        </w:rPr>
        <w:t>万元，主要用于执行公务、开展业务活动开支的交通费、住宿费、用餐费等。</w:t>
      </w:r>
      <w:r>
        <w:rPr>
          <w:rFonts w:hint="default" w:ascii="Times New Roman" w:hAnsi="Times New Roman" w:eastAsia="仿宋_GB2312" w:cs="Times New Roman"/>
          <w:color w:val="auto"/>
          <w:kern w:val="2"/>
          <w:sz w:val="32"/>
          <w:szCs w:val="32"/>
          <w:highlight w:val="none"/>
          <w:lang w:val="en-US" w:eastAsia="zh-CN" w:bidi="ar-SA"/>
        </w:rPr>
        <w:t>国内公务接待</w:t>
      </w: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162</w:t>
      </w:r>
      <w:r>
        <w:rPr>
          <w:rFonts w:hint="default" w:ascii="Times New Roman" w:hAnsi="Times New Roman" w:eastAsia="仿宋_GB2312" w:cs="Times New Roman"/>
          <w:color w:val="auto"/>
          <w:kern w:val="2"/>
          <w:sz w:val="32"/>
          <w:szCs w:val="32"/>
          <w:highlight w:val="none"/>
          <w:lang w:val="en-US" w:eastAsia="zh-CN" w:bidi="ar-SA"/>
        </w:rPr>
        <w:t>批次，</w:t>
      </w: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657</w:t>
      </w:r>
      <w:r>
        <w:rPr>
          <w:rFonts w:hint="default" w:ascii="Times New Roman" w:hAnsi="Times New Roman" w:eastAsia="仿宋_GB2312" w:cs="Times New Roman"/>
          <w:color w:val="auto"/>
          <w:kern w:val="2"/>
          <w:sz w:val="32"/>
          <w:szCs w:val="32"/>
          <w:highlight w:val="none"/>
          <w:lang w:val="en-US" w:eastAsia="zh-CN" w:bidi="ar-SA"/>
        </w:rPr>
        <w:t>人次（不包括陪同人员）。</w:t>
      </w:r>
    </w:p>
    <w:p w14:paraId="4B1DAB1B">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val="en-US" w:eastAsia="zh-CN"/>
        </w:rPr>
        <w:t>0</w:t>
      </w:r>
      <w:r>
        <w:rPr>
          <w:rFonts w:hint="eastAsia" w:eastAsia="仿宋_GB2312" w:cs="仿宋_GB2312"/>
          <w:sz w:val="32"/>
          <w:szCs w:val="32"/>
        </w:rPr>
        <w:t>万元。外事接待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bookmarkStart w:id="35" w:name="_Toc15396610"/>
      <w:bookmarkStart w:id="36" w:name="_Toc15377218"/>
    </w:p>
    <w:p w14:paraId="175DDA9A">
      <w:pPr>
        <w:spacing w:line="600" w:lineRule="exact"/>
        <w:ind w:firstLine="640"/>
        <w:outlineLvl w:val="1"/>
        <w:rPr>
          <w:rStyle w:val="31"/>
          <w:rFonts w:ascii="Times New Roman" w:hAnsi="Times New Roman" w:eastAsia="黑体"/>
        </w:rPr>
      </w:pPr>
      <w:r>
        <w:rPr>
          <w:rFonts w:hint="eastAsia" w:eastAsia="黑体"/>
          <w:sz w:val="32"/>
          <w:szCs w:val="32"/>
        </w:rPr>
        <w:t>八、</w:t>
      </w:r>
      <w:r>
        <w:rPr>
          <w:rStyle w:val="31"/>
          <w:rFonts w:hint="eastAsia" w:ascii="Times New Roman" w:hAnsi="Times New Roman" w:eastAsia="黑体"/>
          <w:b w:val="0"/>
        </w:rPr>
        <w:t>政府性基金预算支出决算情况说明</w:t>
      </w:r>
      <w:bookmarkEnd w:id="35"/>
      <w:bookmarkEnd w:id="36"/>
    </w:p>
    <w:p w14:paraId="42AFB279">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%。与上年度</w:t>
      </w:r>
      <w:r>
        <w:rPr>
          <w:rFonts w:hint="eastAsia" w:eastAsia="仿宋_GB2312" w:cs="仿宋_GB2312"/>
          <w:sz w:val="32"/>
          <w:szCs w:val="32"/>
          <w:lang w:eastAsia="zh-CN"/>
        </w:rPr>
        <w:t>持平。</w:t>
      </w:r>
    </w:p>
    <w:p w14:paraId="0C3CEC06">
      <w:pPr>
        <w:spacing w:line="600" w:lineRule="exact"/>
        <w:ind w:left="630"/>
        <w:outlineLvl w:val="1"/>
        <w:rPr>
          <w:rStyle w:val="31"/>
          <w:rFonts w:ascii="Times New Roman" w:hAnsi="Times New Roman" w:eastAsia="黑体"/>
          <w:b w:val="0"/>
        </w:rPr>
      </w:pPr>
      <w:bookmarkStart w:id="37" w:name="_Toc15396611"/>
      <w:bookmarkStart w:id="38" w:name="_Toc15377219"/>
      <w:r>
        <w:rPr>
          <w:rStyle w:val="31"/>
          <w:rFonts w:hint="eastAsia" w:ascii="Times New Roman" w:hAnsi="Times New Roman" w:eastAsia="黑体"/>
          <w:b w:val="0"/>
        </w:rPr>
        <w:t>九、国有资本经营预算支出决算情况说明</w:t>
      </w:r>
      <w:bookmarkEnd w:id="37"/>
      <w:bookmarkEnd w:id="38"/>
    </w:p>
    <w:p w14:paraId="598B2108">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%。与上年度</w:t>
      </w:r>
      <w:r>
        <w:rPr>
          <w:rFonts w:hint="eastAsia" w:eastAsia="仿宋_GB2312" w:cs="仿宋_GB2312"/>
          <w:sz w:val="32"/>
          <w:szCs w:val="32"/>
          <w:lang w:eastAsia="zh-CN"/>
        </w:rPr>
        <w:t>持平。</w:t>
      </w:r>
    </w:p>
    <w:p w14:paraId="16FAC552">
      <w:pPr>
        <w:spacing w:line="600" w:lineRule="exact"/>
        <w:ind w:left="630"/>
        <w:outlineLvl w:val="1"/>
        <w:rPr>
          <w:rStyle w:val="31"/>
          <w:rFonts w:ascii="Times New Roman" w:hAnsi="Times New Roman" w:eastAsia="黑体"/>
          <w:b w:val="0"/>
        </w:rPr>
      </w:pPr>
      <w:bookmarkStart w:id="39" w:name="_Toc15396612"/>
      <w:bookmarkStart w:id="40" w:name="_Toc15377221"/>
      <w:r>
        <w:rPr>
          <w:rStyle w:val="31"/>
          <w:rFonts w:hint="eastAsia" w:ascii="Times New Roman" w:hAnsi="Times New Roman" w:eastAsia="黑体"/>
          <w:b w:val="0"/>
        </w:rPr>
        <w:t>十、其他重要事项的情况说明</w:t>
      </w:r>
      <w:bookmarkEnd w:id="39"/>
      <w:bookmarkEnd w:id="40"/>
    </w:p>
    <w:p w14:paraId="7290ED8B">
      <w:pPr>
        <w:spacing w:line="600" w:lineRule="exact"/>
        <w:ind w:firstLine="643" w:firstLineChars="200"/>
        <w:outlineLvl w:val="2"/>
        <w:rPr>
          <w:rFonts w:eastAsia="楷体_GB2312" w:cs="楷体_GB2312"/>
          <w:b/>
          <w:sz w:val="32"/>
          <w:szCs w:val="32"/>
        </w:rPr>
      </w:pPr>
      <w:bookmarkStart w:id="41" w:name="_Toc15377222"/>
      <w:r>
        <w:rPr>
          <w:rFonts w:hint="eastAsia" w:eastAsia="楷体_GB2312" w:cs="楷体_GB2312"/>
          <w:b/>
          <w:sz w:val="32"/>
          <w:szCs w:val="32"/>
        </w:rPr>
        <w:t>（一）机关运行经费支出情况</w:t>
      </w:r>
      <w:bookmarkEnd w:id="41"/>
    </w:p>
    <w:p w14:paraId="15409710">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default" w:ascii="Times New Roman" w:hAnsi="Times New Roman" w:eastAsia="仿宋_GB2312" w:cs="Times New Roman"/>
          <w:sz w:val="32"/>
          <w:szCs w:val="32"/>
        </w:rPr>
        <w:t>攀枝花市人民政府驻成都办事处</w:t>
      </w:r>
      <w:r>
        <w:rPr>
          <w:rFonts w:hint="eastAsia" w:eastAsia="仿宋_GB2312" w:cs="仿宋_GB2312"/>
          <w:sz w:val="32"/>
          <w:szCs w:val="32"/>
        </w:rPr>
        <w:t>机关运行经费支出</w:t>
      </w:r>
      <w:r>
        <w:rPr>
          <w:rFonts w:hint="eastAsia" w:eastAsia="仿宋_GB2312" w:cs="仿宋_GB2312"/>
          <w:sz w:val="32"/>
          <w:szCs w:val="32"/>
          <w:lang w:val="en-US" w:eastAsia="zh-CN"/>
        </w:rPr>
        <w:t>102.52</w:t>
      </w:r>
      <w:r>
        <w:rPr>
          <w:rFonts w:hint="eastAsia" w:eastAsia="仿宋_GB2312" w:cs="仿宋_GB2312"/>
          <w:sz w:val="32"/>
          <w:szCs w:val="32"/>
        </w:rPr>
        <w:t>万元，比上年度减少</w:t>
      </w:r>
      <w:r>
        <w:rPr>
          <w:rFonts w:hint="eastAsia" w:eastAsia="仿宋_GB2312" w:cs="仿宋_GB2312"/>
          <w:sz w:val="32"/>
          <w:szCs w:val="32"/>
          <w:lang w:val="en-US" w:eastAsia="zh-CN"/>
        </w:rPr>
        <w:t>9.67</w:t>
      </w:r>
      <w:r>
        <w:rPr>
          <w:rFonts w:hint="eastAsia" w:eastAsia="仿宋_GB2312" w:cs="仿宋_GB2312"/>
          <w:sz w:val="32"/>
          <w:szCs w:val="32"/>
        </w:rPr>
        <w:t>万元，下降</w:t>
      </w:r>
      <w:r>
        <w:rPr>
          <w:rFonts w:hint="eastAsia" w:eastAsia="仿宋_GB2312" w:cs="仿宋_GB2312"/>
          <w:sz w:val="32"/>
          <w:szCs w:val="32"/>
          <w:lang w:val="en-US" w:eastAsia="zh-CN"/>
        </w:rPr>
        <w:t>8.62</w:t>
      </w:r>
      <w:r>
        <w:rPr>
          <w:rFonts w:hint="eastAsia" w:eastAsia="仿宋_GB2312" w:cs="仿宋_GB2312"/>
          <w:sz w:val="32"/>
          <w:szCs w:val="32"/>
        </w:rPr>
        <w:t>%</w:t>
      </w:r>
      <w:r>
        <w:rPr>
          <w:rFonts w:hint="eastAsia" w:eastAsia="仿宋_GB2312" w:cs="仿宋_GB2312"/>
          <w:sz w:val="32"/>
          <w:szCs w:val="32"/>
          <w:lang w:eastAsia="zh-CN"/>
        </w:rPr>
        <w:t>，</w:t>
      </w:r>
      <w:r>
        <w:rPr>
          <w:rFonts w:hint="eastAsia" w:eastAsia="仿宋_GB2312" w:cs="仿宋_GB2312"/>
          <w:sz w:val="32"/>
          <w:szCs w:val="32"/>
        </w:rPr>
        <w:t>主要原因是</w:t>
      </w:r>
      <w:r>
        <w:rPr>
          <w:rFonts w:hint="eastAsia" w:eastAsia="仿宋_GB2312" w:cs="仿宋_GB2312"/>
          <w:sz w:val="32"/>
          <w:szCs w:val="32"/>
          <w:lang w:eastAsia="zh-CN"/>
        </w:rPr>
        <w:t>削减公用经费</w:t>
      </w:r>
      <w:r>
        <w:rPr>
          <w:rFonts w:hint="eastAsia" w:eastAsia="仿宋_GB2312" w:cs="仿宋_GB2312"/>
          <w:sz w:val="32"/>
          <w:szCs w:val="32"/>
          <w:lang w:val="en-US" w:eastAsia="zh-CN"/>
        </w:rPr>
        <w:t>9.98万元。</w:t>
      </w:r>
    </w:p>
    <w:p w14:paraId="5CA6FABE">
      <w:pPr>
        <w:spacing w:line="600" w:lineRule="exact"/>
        <w:ind w:firstLine="643" w:firstLineChars="200"/>
        <w:outlineLvl w:val="2"/>
        <w:rPr>
          <w:rFonts w:eastAsia="楷体_GB2312" w:cs="楷体_GB2312"/>
          <w:b/>
          <w:sz w:val="32"/>
          <w:szCs w:val="32"/>
        </w:rPr>
      </w:pPr>
      <w:bookmarkStart w:id="42" w:name="_Toc15377223"/>
      <w:r>
        <w:rPr>
          <w:rFonts w:hint="eastAsia" w:eastAsia="楷体_GB2312" w:cs="楷体_GB2312"/>
          <w:b/>
          <w:sz w:val="32"/>
          <w:szCs w:val="32"/>
        </w:rPr>
        <w:t>（二）政府采购支出情况</w:t>
      </w:r>
      <w:bookmarkEnd w:id="42"/>
    </w:p>
    <w:p w14:paraId="5284A0D0">
      <w:pPr>
        <w:spacing w:line="600" w:lineRule="exact"/>
        <w:ind w:firstLine="640"/>
        <w:rPr>
          <w:rFonts w:eastAsia="仿宋_GB2312" w:cs="仿宋_GB2312"/>
          <w:sz w:val="32"/>
          <w:szCs w:val="32"/>
        </w:rPr>
      </w:pPr>
      <w:r>
        <w:rPr>
          <w:rFonts w:hint="eastAsia" w:eastAsia="仿宋_GB2312" w:cs="仿宋_GB2312"/>
          <w:sz w:val="32"/>
          <w:szCs w:val="32"/>
        </w:rPr>
        <w:t>2025年度，政府采购支出总额</w:t>
      </w:r>
      <w:r>
        <w:rPr>
          <w:rFonts w:hint="eastAsia" w:eastAsia="仿宋_GB2312" w:cs="仿宋_GB2312"/>
          <w:sz w:val="32"/>
          <w:szCs w:val="32"/>
          <w:lang w:val="en-US" w:eastAsia="zh-CN"/>
        </w:rPr>
        <w:t>0</w:t>
      </w:r>
      <w:r>
        <w:rPr>
          <w:rFonts w:hint="eastAsia" w:eastAsia="仿宋_GB2312" w:cs="仿宋_GB2312"/>
          <w:sz w:val="32"/>
          <w:szCs w:val="32"/>
        </w:rPr>
        <w:t>万元，其中：政府采购货物支出</w:t>
      </w:r>
      <w:r>
        <w:rPr>
          <w:rFonts w:hint="eastAsia" w:eastAsia="仿宋_GB2312" w:cs="仿宋_GB2312"/>
          <w:sz w:val="32"/>
          <w:szCs w:val="32"/>
          <w:lang w:val="en-US" w:eastAsia="zh-CN"/>
        </w:rPr>
        <w:t>0</w:t>
      </w:r>
      <w:r>
        <w:rPr>
          <w:rFonts w:hint="eastAsia" w:eastAsia="仿宋_GB2312" w:cs="仿宋_GB2312"/>
          <w:sz w:val="32"/>
          <w:szCs w:val="32"/>
        </w:rPr>
        <w:t>万元、政府采购工程支出</w:t>
      </w:r>
      <w:r>
        <w:rPr>
          <w:rFonts w:hint="eastAsia" w:eastAsia="仿宋_GB2312" w:cs="仿宋_GB2312"/>
          <w:sz w:val="32"/>
          <w:szCs w:val="32"/>
          <w:lang w:val="en-US" w:eastAsia="zh-CN"/>
        </w:rPr>
        <w:t>0</w:t>
      </w:r>
      <w:r>
        <w:rPr>
          <w:rFonts w:hint="eastAsia" w:eastAsia="仿宋_GB2312" w:cs="仿宋_GB2312"/>
          <w:sz w:val="32"/>
          <w:szCs w:val="32"/>
        </w:rPr>
        <w:t>万元、政府采购服务支出</w:t>
      </w:r>
      <w:r>
        <w:rPr>
          <w:rFonts w:hint="eastAsia" w:eastAsia="仿宋_GB2312" w:cs="仿宋_GB2312"/>
          <w:sz w:val="32"/>
          <w:szCs w:val="32"/>
          <w:lang w:val="en-US" w:eastAsia="zh-CN"/>
        </w:rPr>
        <w:t>0</w:t>
      </w:r>
      <w:r>
        <w:rPr>
          <w:rFonts w:hint="eastAsia" w:eastAsia="仿宋_GB2312" w:cs="仿宋_GB2312"/>
          <w:sz w:val="32"/>
          <w:szCs w:val="32"/>
        </w:rPr>
        <w:t>万元。授予中小企业合同金额</w:t>
      </w:r>
      <w:r>
        <w:rPr>
          <w:rFonts w:hint="eastAsia" w:eastAsia="仿宋_GB2312" w:cs="仿宋_GB2312"/>
          <w:sz w:val="32"/>
          <w:szCs w:val="32"/>
          <w:lang w:val="en-US" w:eastAsia="zh-CN"/>
        </w:rPr>
        <w:t>0</w:t>
      </w:r>
      <w:r>
        <w:rPr>
          <w:rFonts w:hint="eastAsia" w:eastAsia="仿宋_GB2312" w:cs="仿宋_GB2312"/>
          <w:sz w:val="32"/>
          <w:szCs w:val="32"/>
        </w:rPr>
        <w:t>万元，占政府采购支出总额的</w:t>
      </w:r>
      <w:r>
        <w:rPr>
          <w:rFonts w:hint="eastAsia" w:eastAsia="仿宋_GB2312" w:cs="仿宋_GB2312"/>
          <w:sz w:val="32"/>
          <w:szCs w:val="32"/>
          <w:lang w:val="en-US" w:eastAsia="zh-CN"/>
        </w:rPr>
        <w:t>0</w:t>
      </w:r>
      <w:r>
        <w:rPr>
          <w:rFonts w:hint="eastAsia" w:eastAsia="仿宋_GB2312" w:cs="仿宋_GB2312"/>
          <w:sz w:val="32"/>
          <w:szCs w:val="32"/>
        </w:rPr>
        <w:t>%，其中：授予小微企业合同金额</w:t>
      </w:r>
      <w:r>
        <w:rPr>
          <w:rFonts w:hint="eastAsia" w:eastAsia="仿宋_GB2312" w:cs="仿宋_GB2312"/>
          <w:sz w:val="32"/>
          <w:szCs w:val="32"/>
          <w:lang w:val="en-US" w:eastAsia="zh-CN"/>
        </w:rPr>
        <w:t>0</w:t>
      </w:r>
      <w:r>
        <w:rPr>
          <w:rFonts w:hint="eastAsia" w:eastAsia="仿宋_GB2312" w:cs="仿宋_GB2312"/>
          <w:sz w:val="32"/>
          <w:szCs w:val="32"/>
        </w:rPr>
        <w:t>万元，占政府采购支出总额的</w:t>
      </w:r>
      <w:r>
        <w:rPr>
          <w:rFonts w:hint="eastAsia" w:eastAsia="仿宋_GB2312" w:cs="仿宋_GB2312"/>
          <w:sz w:val="32"/>
          <w:szCs w:val="32"/>
          <w:lang w:val="en-US" w:eastAsia="zh-CN"/>
        </w:rPr>
        <w:t>0</w:t>
      </w:r>
      <w:r>
        <w:rPr>
          <w:rFonts w:hint="eastAsia" w:eastAsia="仿宋_GB2312" w:cs="仿宋_GB2312"/>
          <w:sz w:val="32"/>
          <w:szCs w:val="32"/>
        </w:rPr>
        <w:t>%。</w:t>
      </w:r>
    </w:p>
    <w:p w14:paraId="107750E4">
      <w:pPr>
        <w:spacing w:line="600" w:lineRule="exact"/>
        <w:ind w:firstLine="643" w:firstLineChars="200"/>
        <w:outlineLvl w:val="2"/>
        <w:rPr>
          <w:rFonts w:eastAsia="楷体_GB2312" w:cs="楷体_GB2312"/>
          <w:b/>
          <w:sz w:val="32"/>
          <w:szCs w:val="32"/>
        </w:rPr>
      </w:pPr>
      <w:bookmarkStart w:id="43" w:name="_Toc15377224"/>
      <w:r>
        <w:rPr>
          <w:rFonts w:hint="eastAsia" w:eastAsia="楷体_GB2312" w:cs="楷体_GB2312"/>
          <w:b/>
          <w:sz w:val="32"/>
          <w:szCs w:val="32"/>
        </w:rPr>
        <w:t>（三）国有资产占有使用情况</w:t>
      </w:r>
      <w:bookmarkEnd w:id="43"/>
    </w:p>
    <w:p w14:paraId="5BA74ABD">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截至202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年12月31日，</w:t>
      </w:r>
      <w:r>
        <w:rPr>
          <w:rFonts w:hint="default" w:ascii="Times New Roman" w:hAnsi="Times New Roman" w:eastAsia="仿宋_GB2312" w:cs="Times New Roman"/>
          <w:sz w:val="32"/>
          <w:szCs w:val="32"/>
        </w:rPr>
        <w:t>攀枝花市人民政府驻成都办事处</w:t>
      </w:r>
      <w:r>
        <w:rPr>
          <w:rFonts w:hint="default" w:ascii="Times New Roman" w:hAnsi="Times New Roman" w:eastAsia="仿宋_GB2312" w:cs="Times New Roman"/>
          <w:sz w:val="32"/>
          <w:szCs w:val="32"/>
          <w:lang w:val="en-US" w:eastAsia="zh-CN"/>
        </w:rPr>
        <w:t>共有车辆</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辆，其中：主要负责人用车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sz w:val="32"/>
          <w:szCs w:val="32"/>
          <w:lang w:val="en-US" w:eastAsia="zh-CN"/>
        </w:rPr>
        <w:t>辆、机要通信用车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sz w:val="32"/>
          <w:szCs w:val="32"/>
          <w:lang w:val="en-US" w:eastAsia="zh-CN"/>
        </w:rPr>
        <w:t>辆、应急保障用车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sz w:val="32"/>
          <w:szCs w:val="32"/>
          <w:lang w:val="en-US" w:eastAsia="zh-CN"/>
        </w:rPr>
        <w:t>辆、其他用车</w:t>
      </w:r>
      <w:r>
        <w:rPr>
          <w:rFonts w:hint="eastAsia" w:eastAsia="仿宋_GB2312" w:cs="Times New Roman"/>
          <w:sz w:val="32"/>
          <w:szCs w:val="32"/>
          <w:lang w:val="en-US" w:eastAsia="zh-CN"/>
        </w:rPr>
        <w:t>5</w:t>
      </w:r>
      <w:bookmarkStart w:id="63" w:name="_GoBack"/>
      <w:bookmarkEnd w:id="63"/>
      <w:r>
        <w:rPr>
          <w:rFonts w:hint="default" w:ascii="Times New Roman" w:hAnsi="Times New Roman" w:eastAsia="仿宋_GB2312" w:cs="Times New Roman"/>
          <w:sz w:val="32"/>
          <w:szCs w:val="32"/>
          <w:lang w:val="en-US" w:eastAsia="zh-CN"/>
        </w:rPr>
        <w:t>辆，</w:t>
      </w:r>
      <w:r>
        <w:rPr>
          <w:rFonts w:hint="default" w:ascii="Times New Roman" w:hAnsi="Times New Roman" w:eastAsia="仿宋_GB2312" w:cs="Times New Roman"/>
          <w:sz w:val="32"/>
          <w:szCs w:val="32"/>
        </w:rPr>
        <w:t>其他用车主要是用于用于</w:t>
      </w:r>
      <w:r>
        <w:rPr>
          <w:rFonts w:hint="default" w:ascii="Times New Roman" w:hAnsi="Times New Roman" w:eastAsia="仿宋_GB2312" w:cs="Times New Roman"/>
          <w:sz w:val="32"/>
          <w:szCs w:val="32"/>
          <w:lang w:eastAsia="zh-CN"/>
        </w:rPr>
        <w:t>公务</w:t>
      </w:r>
      <w:r>
        <w:rPr>
          <w:rFonts w:hint="default" w:ascii="Times New Roman" w:hAnsi="Times New Roman" w:eastAsia="仿宋_GB2312" w:cs="Times New Roman"/>
          <w:sz w:val="32"/>
          <w:szCs w:val="32"/>
        </w:rPr>
        <w:t>接待、招商引资、信息联络、离</w:t>
      </w:r>
      <w:r>
        <w:rPr>
          <w:rFonts w:hint="default" w:ascii="Times New Roman" w:hAnsi="Times New Roman" w:eastAsia="仿宋_GB2312" w:cs="Times New Roman"/>
          <w:sz w:val="32"/>
          <w:szCs w:val="32"/>
          <w:lang w:eastAsia="zh-CN"/>
        </w:rPr>
        <w:t>退</w:t>
      </w:r>
      <w:r>
        <w:rPr>
          <w:rFonts w:hint="default" w:ascii="Times New Roman" w:hAnsi="Times New Roman" w:eastAsia="仿宋_GB2312" w:cs="Times New Roman"/>
          <w:sz w:val="32"/>
          <w:szCs w:val="32"/>
        </w:rPr>
        <w:t>休老干部服务工作及单位日常工作正常运</w:t>
      </w:r>
      <w:r>
        <w:rPr>
          <w:rFonts w:hint="default" w:ascii="Times New Roman" w:hAnsi="Times New Roman" w:eastAsia="仿宋_GB2312" w:cs="Times New Roman"/>
          <w:sz w:val="32"/>
          <w:szCs w:val="32"/>
          <w:lang w:eastAsia="zh-CN"/>
        </w:rPr>
        <w:t>转</w:t>
      </w:r>
      <w:r>
        <w:rPr>
          <w:rFonts w:hint="default" w:ascii="Times New Roman" w:hAnsi="Times New Roman" w:eastAsia="仿宋_GB2312" w:cs="Times New Roman"/>
          <w:sz w:val="32"/>
          <w:szCs w:val="32"/>
        </w:rPr>
        <w:t>等所需的公务用车</w:t>
      </w:r>
      <w:r>
        <w:rPr>
          <w:rFonts w:hint="eastAsia" w:ascii="Times New Roman" w:hAnsi="Times New Roman" w:eastAsia="仿宋_GB2312" w:cs="Times New Roman"/>
          <w:sz w:val="32"/>
          <w:szCs w:val="32"/>
        </w:rPr>
        <w:t>单价100万元（含）以上设备（不含车辆）</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台（套）。</w:t>
      </w:r>
    </w:p>
    <w:p w14:paraId="283BA1D7">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7E12CD63">
      <w:pPr>
        <w:spacing w:line="600" w:lineRule="exact"/>
        <w:ind w:firstLine="64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根据预算绩效管理要求，市成办在2025年度，组织对信访维稳及招商引资活动经费等4个项目涉及金额31万元开展了事前绩效评估，对4个项目编制了绩效目标，预算执行过程中，对所有项目开展绩效监控。</w:t>
      </w:r>
    </w:p>
    <w:p w14:paraId="5FFB7A04">
      <w:pPr>
        <w:spacing w:line="600" w:lineRule="exact"/>
        <w:ind w:firstLine="64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组织对2025年度一般公共预算、政府性基金预算、国有资本经营预算、社会保险基金预算以及资本资产、债券资金等全面开展绩效自评，形成本部门预算绩效自评报告、信访维稳及招商引资活动经费等4个专项预算项目绩效自评报告，其中，部门预算绩效自评得分为98.68分；4个专项预算项目绩效自评得分均为100分，绩效自评综述</w:t>
      </w:r>
      <w:r>
        <w:rPr>
          <w:rFonts w:hint="default" w:ascii="Times New Roman" w:hAnsi="Times New Roman" w:eastAsia="仿宋_GB2312" w:cs="Times New Roman"/>
          <w:sz w:val="32"/>
          <w:szCs w:val="32"/>
          <w:lang w:val="en-US" w:eastAsia="zh-CN"/>
        </w:rPr>
        <w:t>圆满完成了市委、市政府赋予的各项工作任务，为攀枝花在蓉的政务活动保驾护航。</w:t>
      </w:r>
      <w:r>
        <w:rPr>
          <w:rFonts w:hint="eastAsia" w:ascii="Times New Roman" w:hAnsi="Times New Roman" w:eastAsia="仿宋_GB2312" w:cs="Times New Roman"/>
          <w:sz w:val="32"/>
          <w:szCs w:val="32"/>
          <w:lang w:val="en-US" w:eastAsia="zh-CN"/>
        </w:rPr>
        <w:t>绩效自评报告详见附件。</w:t>
      </w:r>
    </w:p>
    <w:p w14:paraId="2F6E2331">
      <w:pPr>
        <w:spacing w:line="600" w:lineRule="exact"/>
        <w:ind w:firstLine="640"/>
        <w:rPr>
          <w:rFonts w:eastAsia="仿宋_GB2312" w:cs="仿宋_GB2312"/>
          <w:sz w:val="32"/>
          <w:szCs w:val="32"/>
        </w:rPr>
      </w:pPr>
    </w:p>
    <w:p w14:paraId="72EA1D9A">
      <w:pPr>
        <w:spacing w:line="600" w:lineRule="exact"/>
        <w:ind w:firstLine="640"/>
        <w:rPr>
          <w:rFonts w:eastAsia="仿宋_GB2312" w:cs="仿宋_GB2312"/>
          <w:sz w:val="32"/>
          <w:szCs w:val="32"/>
        </w:rPr>
      </w:pPr>
    </w:p>
    <w:p w14:paraId="1A08B848">
      <w:pPr>
        <w:spacing w:line="600" w:lineRule="exact"/>
        <w:ind w:firstLine="640"/>
        <w:rPr>
          <w:rFonts w:eastAsia="仿宋_GB2312" w:cs="仿宋_GB2312"/>
          <w:sz w:val="32"/>
          <w:szCs w:val="32"/>
        </w:rPr>
      </w:pPr>
    </w:p>
    <w:p w14:paraId="36A6C88C">
      <w:pPr>
        <w:spacing w:line="600" w:lineRule="exact"/>
        <w:ind w:firstLine="640"/>
        <w:rPr>
          <w:rFonts w:eastAsia="仿宋_GB2312" w:cs="仿宋_GB2312"/>
          <w:sz w:val="32"/>
          <w:szCs w:val="32"/>
        </w:rPr>
      </w:pPr>
    </w:p>
    <w:p w14:paraId="17F40FE2">
      <w:pPr>
        <w:spacing w:line="600" w:lineRule="exact"/>
        <w:ind w:firstLine="640"/>
        <w:rPr>
          <w:rFonts w:eastAsia="仿宋_GB2312" w:cs="仿宋_GB2312"/>
          <w:sz w:val="32"/>
          <w:szCs w:val="32"/>
        </w:rPr>
      </w:pPr>
    </w:p>
    <w:p w14:paraId="6EAD5C46">
      <w:pPr>
        <w:spacing w:line="600" w:lineRule="exact"/>
        <w:ind w:firstLine="640"/>
        <w:rPr>
          <w:rFonts w:eastAsia="仿宋_GB2312" w:cs="仿宋_GB2312"/>
          <w:sz w:val="32"/>
          <w:szCs w:val="32"/>
        </w:rPr>
      </w:pPr>
    </w:p>
    <w:p w14:paraId="511611EE">
      <w:pPr>
        <w:spacing w:line="600" w:lineRule="exact"/>
        <w:ind w:firstLine="640"/>
        <w:rPr>
          <w:rFonts w:eastAsia="仿宋_GB2312" w:cs="仿宋_GB2312"/>
          <w:sz w:val="32"/>
          <w:szCs w:val="32"/>
        </w:rPr>
      </w:pPr>
    </w:p>
    <w:p w14:paraId="780F295D">
      <w:pPr>
        <w:pStyle w:val="7"/>
        <w:ind w:left="0" w:leftChars="0" w:firstLine="0" w:firstLineChars="0"/>
      </w:pPr>
    </w:p>
    <w:p w14:paraId="4449D836">
      <w:pPr>
        <w:spacing w:line="600" w:lineRule="exact"/>
        <w:jc w:val="center"/>
        <w:outlineLvl w:val="0"/>
        <w:rPr>
          <w:rFonts w:eastAsia="黑体"/>
          <w:sz w:val="44"/>
          <w:szCs w:val="44"/>
        </w:rPr>
      </w:pPr>
      <w:bookmarkStart w:id="44" w:name="_Toc15396613"/>
      <w:bookmarkStart w:id="45" w:name="_Toc15377225"/>
      <w:r>
        <w:rPr>
          <w:rFonts w:hint="eastAsia" w:eastAsia="黑体"/>
          <w:sz w:val="44"/>
          <w:szCs w:val="44"/>
        </w:rPr>
        <w:t>第三部分  名词解释</w:t>
      </w:r>
      <w:bookmarkEnd w:id="44"/>
      <w:bookmarkEnd w:id="45"/>
    </w:p>
    <w:p w14:paraId="5B9E2A00">
      <w:pPr>
        <w:spacing w:line="600" w:lineRule="exact"/>
        <w:jc w:val="left"/>
        <w:rPr>
          <w:b/>
          <w:sz w:val="44"/>
          <w:szCs w:val="44"/>
        </w:rPr>
      </w:pPr>
    </w:p>
    <w:p w14:paraId="743FF59B">
      <w:pPr>
        <w:spacing w:line="600" w:lineRule="exact"/>
        <w:ind w:firstLine="640"/>
        <w:rPr>
          <w:rFonts w:hint="default" w:ascii="Times New Roman" w:hAnsi="Times New Roman" w:eastAsia="仿宋_GB2312" w:cs="Times New Roman"/>
          <w:sz w:val="32"/>
          <w:szCs w:val="32"/>
          <w:lang w:val="en-US" w:eastAsia="zh-CN"/>
        </w:rPr>
      </w:pPr>
      <w:bookmarkStart w:id="46" w:name="_Toc15377226"/>
      <w:r>
        <w:rPr>
          <w:rFonts w:hint="default" w:ascii="Times New Roman" w:hAnsi="Times New Roman" w:eastAsia="仿宋_GB2312" w:cs="Times New Roman"/>
          <w:sz w:val="32"/>
          <w:szCs w:val="32"/>
          <w:lang w:val="en-US" w:eastAsia="zh-CN"/>
        </w:rPr>
        <w:t>1.财政拨款收入：指单位从同级财政部门取得的财政预算资金。</w:t>
      </w:r>
    </w:p>
    <w:p w14:paraId="4978BC09">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2.年初结转和结余：指以前年度尚未完成、结转到本年按有关规定继续使用的资金。 </w:t>
      </w:r>
    </w:p>
    <w:p w14:paraId="128DEF56">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3.年末结转和结余：指单位按有关规定结转到下年或以后年度继续使用的资金。</w:t>
      </w:r>
    </w:p>
    <w:p w14:paraId="62F7503B">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4.一般公共服务（类）政府办公厅（室）及相关机构事务（款）行政运行（项）：指反映行政单位（包括实行公务员管理的事业单位）的基本支出。</w:t>
      </w:r>
    </w:p>
    <w:p w14:paraId="7FB1EF5A">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5.一般公共服务（类）政府办公厅（室）及相关机构事务（款）一般行政管理事务（项）：指反映行政单位（包括实行公务员管理的事业单位）未单独设置项级科目的其他项目支出。</w:t>
      </w:r>
    </w:p>
    <w:p w14:paraId="38D1A4FE">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一般公共服务（类）政府办公厅（室）及相关机构事务（款）专项业务及机关事务管理（项）：指反映各级政府举行各类重大活动、召开重要会议（如国务院一类会议、国庆招待会、全国劳模大会）的支出，政府机关房地产管理、公务用车管理等方面的支出。</w:t>
      </w:r>
    </w:p>
    <w:p w14:paraId="5E59D5D2">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7.一般公共服务（类）政府办公厅（室）及相关机构事务（款）事业运行（项）：指反映事业单位的基本支出，不包括行政单位（包括实行公务员管理的事业单位）后勤服务中心、医务室等附属事业单位。</w:t>
      </w:r>
    </w:p>
    <w:p w14:paraId="57FC26C6">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8.社会保障和就业（类）行政事业单位养老支出（款）行政单位离退休（项）：指反映行政单位（包括实行公务员管理的事业单位）开支的离退休经费。</w:t>
      </w:r>
    </w:p>
    <w:p w14:paraId="362B4C65">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9.社会保障和就业（类）行政事业单位养老支出（款）事业单位离退休（项）：指反映事业单位开支的离退休经费。</w:t>
      </w:r>
    </w:p>
    <w:p w14:paraId="6E6BE0C1">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10.社会保障和就业（类）行政事业单位养老支出（款）机关事业单位基本养老保险缴费支出（项）：指反映机关事业单位实施养老保险制度由单位缴纳的基本养老保险费支出。</w:t>
      </w:r>
    </w:p>
    <w:p w14:paraId="29DD9EF4">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11.社会保障和就业（类）抚恤（款）死亡抚恤（项）：指反映按规定用于烈士和牺牲、病故人员家属的一次性和定期抚恤金、丧葬补助费以及烈士褒扬金。</w:t>
      </w:r>
    </w:p>
    <w:p w14:paraId="7483396C">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12.社会保障和就业（类）其他社会保障和就业支出（款）其他社会保障和就业支出（项）：指反映除上述项目以外其他用于社会保障和就业方面的支出。</w:t>
      </w:r>
    </w:p>
    <w:p w14:paraId="5ADD8F6B">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13.卫生健康（类）行政事业单位医疗（款）行政单位医疗（项）：指反映财政部门安排的行政单位包括实行公务员管理的事业单位）基本医疗保险缴费经费，未参加医疗保险的行政单位的公费医疗经费，按国家规定享受离休人员、红军老战士待遇人员的医疗经费。</w:t>
      </w:r>
    </w:p>
    <w:p w14:paraId="492FE0F4">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14.卫生健康（类）行政事业单位医疗（款）事业单位医疗（项）：指反映财政部门安排的事业单位基本医疗保险缴费经费，未参加医疗保险的事业单位的公费医疗经费，按国家规定享受离休人员待遇的医疗经费。</w:t>
      </w:r>
    </w:p>
    <w:p w14:paraId="1F8DD5F5">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15.卫生健康（类）行政事业单位医疗（款）公务员医疗补助（项）：指反映财政部门安排的公务员医疗补助经费。</w:t>
      </w:r>
    </w:p>
    <w:p w14:paraId="13A13DE7">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16.卫生健康（类）行政事业单位医疗（款）其他行政事业单位医疗支出（项）：指反映除上述项目以外的其他用于行政事业单位医疗方面的支出。</w:t>
      </w:r>
    </w:p>
    <w:p w14:paraId="297930F3">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17.卫生健康（类）其他卫生健康支出（款）其他卫生健康支出（项）：指反映除上述项目以外其他用于卫生健康方面的支出。</w:t>
      </w:r>
    </w:p>
    <w:p w14:paraId="25067548">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18.住房保障支出（类）-住房改革支出（款）-住房公积金（项）：指反映行政事业单位按人力资源和社会保障部、财政部规定的基本工资和津贴补贴以及规定比例为职工缴纳的住房公积金。</w:t>
      </w:r>
    </w:p>
    <w:p w14:paraId="64038725">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19.基本支出：指为保障机构正常运转、完成日常工作任务而发生的人员支出和公用支出。</w:t>
      </w:r>
    </w:p>
    <w:p w14:paraId="0F7638B2">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20.项目支出：指在基本支出之外为完成特定行政任务和事业发展目标所发生的支出。 </w:t>
      </w:r>
    </w:p>
    <w:p w14:paraId="3E84D0F7">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21.“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4374DC4">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F8996EA">
      <w:pPr>
        <w:spacing w:line="600" w:lineRule="exact"/>
        <w:jc w:val="center"/>
        <w:rPr>
          <w:rStyle w:val="30"/>
          <w:rFonts w:eastAsia="黑体"/>
          <w:b w:val="0"/>
        </w:rPr>
      </w:pPr>
      <w:r>
        <w:rPr>
          <w:rFonts w:hint="eastAsia" w:eastAsia="仿宋_GB2312" w:cs="仿宋_GB2312"/>
          <w:sz w:val="32"/>
          <w:szCs w:val="32"/>
        </w:rPr>
        <w:br w:type="page"/>
      </w:r>
      <w:bookmarkStart w:id="47" w:name="_Toc15396614"/>
      <w:r>
        <w:rPr>
          <w:rFonts w:hint="eastAsia" w:eastAsia="黑体"/>
          <w:sz w:val="44"/>
          <w:szCs w:val="44"/>
        </w:rPr>
        <w:t>第四部分  附件</w:t>
      </w:r>
      <w:bookmarkEnd w:id="47"/>
    </w:p>
    <w:p w14:paraId="75EFF677">
      <w:pPr>
        <w:spacing w:line="572" w:lineRule="exact"/>
        <w:jc w:val="left"/>
        <w:outlineLvl w:val="0"/>
        <w:rPr>
          <w:rFonts w:eastAsia="黑体" w:cs="黑体"/>
          <w:color w:val="FF0000"/>
          <w:sz w:val="32"/>
          <w:szCs w:val="32"/>
        </w:rPr>
      </w:pPr>
    </w:p>
    <w:p w14:paraId="21D5DEB5">
      <w:pPr>
        <w:pStyle w:val="14"/>
      </w:pPr>
    </w:p>
    <w:p w14:paraId="5FC1F931">
      <w:pPr>
        <w:spacing w:line="572" w:lineRule="exact"/>
        <w:jc w:val="left"/>
        <w:outlineLvl w:val="0"/>
        <w:rPr>
          <w:rFonts w:eastAsia="黑体" w:cs="方正小标宋简体"/>
          <w:sz w:val="44"/>
          <w:szCs w:val="44"/>
        </w:rPr>
      </w:pPr>
      <w:r>
        <w:rPr>
          <w:rFonts w:hint="eastAsia" w:eastAsia="黑体" w:cs="黑体"/>
          <w:sz w:val="32"/>
          <w:szCs w:val="32"/>
        </w:rPr>
        <w:t>附件1</w:t>
      </w:r>
    </w:p>
    <w:p w14:paraId="41A77591">
      <w:pPr>
        <w:widowControl/>
        <w:spacing w:line="578" w:lineRule="exact"/>
        <w:contextualSpacing/>
        <w:jc w:val="center"/>
        <w:rPr>
          <w:rFonts w:eastAsia="方正小标宋简体"/>
          <w:bCs/>
          <w:sz w:val="44"/>
          <w:szCs w:val="44"/>
          <w:shd w:val="clear" w:color="auto" w:fill="FFFFFF"/>
        </w:rPr>
      </w:pPr>
    </w:p>
    <w:p w14:paraId="37E0E4CE">
      <w:pPr>
        <w:widowControl/>
        <w:spacing w:line="578" w:lineRule="exact"/>
        <w:contextualSpacing/>
        <w:jc w:val="center"/>
        <w:rPr>
          <w:rFonts w:hint="eastAsia" w:eastAsia="方正小标宋简体"/>
          <w:bCs/>
          <w:sz w:val="44"/>
          <w:szCs w:val="44"/>
          <w:shd w:val="clear" w:color="auto" w:fill="FFFFFF"/>
          <w:lang w:val="en-US" w:eastAsia="zh-CN"/>
        </w:rPr>
      </w:pP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评价</w:t>
      </w:r>
      <w:r>
        <w:rPr>
          <w:rFonts w:eastAsia="方正小标宋简体"/>
          <w:bCs/>
          <w:sz w:val="44"/>
          <w:szCs w:val="44"/>
          <w:shd w:val="clear" w:color="auto" w:fill="FFFFFF"/>
        </w:rPr>
        <w:t>报告</w:t>
      </w:r>
    </w:p>
    <w:p w14:paraId="248E6A22">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14:paraId="629F8FB6">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hint="eastAsia" w:eastAsia="黑体"/>
          <w:color w:val="000000"/>
          <w:kern w:val="0"/>
          <w:sz w:val="32"/>
          <w:szCs w:val="32"/>
          <w:shd w:val="clear" w:color="auto" w:fill="FFFFFF"/>
          <w:lang w:val="zh-CN"/>
        </w:rPr>
        <w:t>一、</w:t>
      </w:r>
      <w:r>
        <w:rPr>
          <w:rFonts w:eastAsia="黑体"/>
          <w:color w:val="000000"/>
          <w:kern w:val="0"/>
          <w:sz w:val="32"/>
          <w:szCs w:val="32"/>
          <w:shd w:val="clear" w:color="auto" w:fill="FFFFFF"/>
          <w:lang w:val="zh-CN"/>
        </w:rPr>
        <w:t>部门（单位）基本情况</w:t>
      </w:r>
    </w:p>
    <w:p w14:paraId="071739AA">
      <w:pPr>
        <w:widowControl/>
        <w:adjustRightInd w:val="0"/>
        <w:snapToGrid w:val="0"/>
        <w:spacing w:line="578" w:lineRule="exact"/>
        <w:ind w:firstLine="643" w:firstLineChars="200"/>
        <w:contextualSpacing/>
        <w:jc w:val="left"/>
        <w:rPr>
          <w:rFonts w:eastAsia="楷体_GB2312" w:cs="楷体_GB2312"/>
          <w:b/>
          <w:sz w:val="32"/>
          <w:szCs w:val="32"/>
          <w:lang w:val="zh-CN"/>
        </w:rPr>
      </w:pPr>
      <w:r>
        <w:rPr>
          <w:rFonts w:hint="eastAsia" w:eastAsia="楷体_GB2312" w:cs="楷体_GB2312"/>
          <w:b/>
          <w:sz w:val="32"/>
          <w:szCs w:val="32"/>
          <w:lang w:val="zh-CN"/>
        </w:rPr>
        <w:t>（一）</w:t>
      </w:r>
      <w:r>
        <w:rPr>
          <w:rFonts w:eastAsia="楷体_GB2312" w:cs="楷体_GB2312"/>
          <w:b/>
          <w:sz w:val="32"/>
          <w:szCs w:val="32"/>
          <w:lang w:val="zh-CN"/>
        </w:rPr>
        <w:t>机构组成。</w:t>
      </w:r>
    </w:p>
    <w:p w14:paraId="4A64FA57">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部门所属机构数：行政机关单位1个（攀枝花市人民政府驻成都办事处，以下简称：成办）、参照公务员法管理的事业单位1个（攀枝花市成都干部休养所，以下简称：干休所）、其他事业单位1个（攀枝花市成都干部服务中心，以下简称：服务中心）。</w:t>
      </w:r>
    </w:p>
    <w:p w14:paraId="663F4CB4">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成办除内设科室“三科一办”，即党委办公室、综合科、经济联络信息科、接待管理科外，还挂有“中共攀枝花市委组织部驻成都流动党员服务站”、“共青团攀枝花市委驻成都工作委员会”和“攀枝花市驻成都群众工作站”等三个牌子。</w:t>
      </w:r>
    </w:p>
    <w:p w14:paraId="3A119AFA">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2.干休所内设有办公室、财务室和医务室。</w:t>
      </w:r>
    </w:p>
    <w:p w14:paraId="3A767779">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3.服务中心内设有办公室、财务室、业务宣传室。</w:t>
      </w:r>
    </w:p>
    <w:p w14:paraId="7F5ED489">
      <w:pPr>
        <w:widowControl/>
        <w:adjustRightInd w:val="0"/>
        <w:snapToGrid w:val="0"/>
        <w:spacing w:line="578" w:lineRule="exact"/>
        <w:ind w:firstLine="643" w:firstLineChars="200"/>
        <w:contextualSpacing/>
        <w:jc w:val="left"/>
        <w:rPr>
          <w:rFonts w:hint="eastAsia" w:eastAsia="楷体_GB2312" w:cs="楷体_GB2312"/>
          <w:b/>
          <w:sz w:val="32"/>
          <w:szCs w:val="32"/>
          <w:lang w:val="zh-CN"/>
        </w:rPr>
      </w:pPr>
      <w:r>
        <w:rPr>
          <w:rFonts w:eastAsia="楷体_GB2312" w:cs="楷体_GB2312"/>
          <w:b/>
          <w:sz w:val="32"/>
          <w:szCs w:val="32"/>
          <w:lang w:val="zh-CN"/>
        </w:rPr>
        <w:t>（二）机构职能</w:t>
      </w:r>
      <w:r>
        <w:rPr>
          <w:rFonts w:hint="eastAsia" w:eastAsia="楷体_GB2312" w:cs="楷体_GB2312"/>
          <w:b/>
          <w:sz w:val="32"/>
          <w:szCs w:val="32"/>
          <w:lang w:val="zh-CN"/>
        </w:rPr>
        <w:t>。</w:t>
      </w:r>
    </w:p>
    <w:p w14:paraId="2E1BDC5C">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1.成办</w:t>
      </w:r>
    </w:p>
    <w:p w14:paraId="2E2981DA">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负责川、渝地区的联络。负责与省级机关、重庆市、成都市的联系；积极向上争取政策、项目、资金；宣传介绍攀枝花的政治、经济和社会发展情况，促进城市间的相互了解和友好往来；参与我市在成都、重庆进行的有关重大活动的组织协调和服务工作。</w:t>
      </w:r>
    </w:p>
    <w:p w14:paraId="4F20BB60">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（2）加强调查研究，收集、整理和传递重要的政务、经济信息，为市委、市政府决策提供参考依据，为市级部门、县（区）和企业提供信息咨询服务。</w:t>
      </w:r>
    </w:p>
    <w:p w14:paraId="3F096662">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（3）开展招商引资和区域间经济、技术、人才、文化的交流与合作；围绕我市经济发展的支柱产业和重点项目，积极开展招商引资活动，着力引进技术和资金，同时协助市内企业拓展市外市场。</w:t>
      </w:r>
    </w:p>
    <w:p w14:paraId="5F106BDD">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（4）负责协调县（区）驻蓉办事处（联络处）的关系和业务指导。</w:t>
      </w:r>
    </w:p>
    <w:p w14:paraId="3F5F48C6">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（5）负责市级领导赴蓉及途经成都的接待工作，为市级各部门、县（区）和企事业单位在成都开展业务活动提供咨询服务和工作方便。</w:t>
      </w:r>
    </w:p>
    <w:p w14:paraId="670BC91D">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（6）负责与攀枝花调到成都和离退休后到成都定居的领导和干部的联系，为我市的经济建设和社会发展服务。</w:t>
      </w:r>
    </w:p>
    <w:p w14:paraId="70774AB0">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（7）协助市级有关部门做好本市人员到蓉上访的处置工作。</w:t>
      </w:r>
    </w:p>
    <w:p w14:paraId="7F863B9F">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（8）负责对办事处及所属单位的财产进行监督管理，保证国有资产保值增值。</w:t>
      </w:r>
    </w:p>
    <w:p w14:paraId="75874B95">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（9）承办市委、市政府和主管部门交办的其它事宜。</w:t>
      </w:r>
    </w:p>
    <w:p w14:paraId="13006BEC">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2.干休所</w:t>
      </w:r>
    </w:p>
    <w:p w14:paraId="461CE954">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（1）落实干休所离休老干部政治、生活待遇。</w:t>
      </w:r>
    </w:p>
    <w:p w14:paraId="3951137E">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（2）作好离休老同志日常管理服务。</w:t>
      </w:r>
    </w:p>
    <w:p w14:paraId="5331AD60">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（3）为方便离休老干部看病就医提供服务。</w:t>
      </w:r>
    </w:p>
    <w:p w14:paraId="2CC42726">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（4）开展离休老干部的文化娱乐活动</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组织他们外出参观考察。</w:t>
      </w:r>
    </w:p>
    <w:p w14:paraId="344BB2A9">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3.服务中心</w:t>
      </w:r>
    </w:p>
    <w:p w14:paraId="1C3FEE63">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（1）负责承担在蓉攀籍离退休干部的接待服务及维稳工作。</w:t>
      </w:r>
    </w:p>
    <w:p w14:paraId="7C9AF8FC">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（2）联络、协调攀枝花市调蓉的在职及离退休干部。</w:t>
      </w:r>
    </w:p>
    <w:p w14:paraId="7B485AAC">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（3）负责在蓉向曾经在攀工作的干部宣传介绍攀枝花，使之进一步为攀枝花建设和发展服务。</w:t>
      </w:r>
    </w:p>
    <w:p w14:paraId="5736B0A7">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（4）邀请医院医生为西锦·渡小区离退休干部进行现场健康问题解答。</w:t>
      </w:r>
    </w:p>
    <w:p w14:paraId="790B58D5">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（5）充分利用服务中心会议室、干部活动室、文体设施设备，为小区住户开展有益身心健康的文体活动。</w:t>
      </w:r>
    </w:p>
    <w:p w14:paraId="50D904A4">
      <w:pPr>
        <w:spacing w:line="600" w:lineRule="exact"/>
        <w:ind w:firstLine="640"/>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en-US" w:eastAsia="zh-CN"/>
        </w:rPr>
        <w:t>（6）协调西锦·渡物业管理部门做好管理及小区房屋、公共设施的维护保养工作。</w:t>
      </w:r>
    </w:p>
    <w:p w14:paraId="6669F76D">
      <w:pPr>
        <w:pStyle w:val="14"/>
        <w:rPr>
          <w:lang w:val="zh-CN"/>
        </w:rPr>
      </w:pPr>
    </w:p>
    <w:p w14:paraId="7928CF2A">
      <w:pPr>
        <w:numPr>
          <w:ilvl w:val="0"/>
          <w:numId w:val="2"/>
        </w:numPr>
        <w:spacing w:line="600" w:lineRule="exact"/>
        <w:ind w:firstLine="643" w:firstLineChars="200"/>
        <w:rPr>
          <w:rFonts w:hint="eastAsia"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人员概况</w:t>
      </w:r>
      <w:r>
        <w:rPr>
          <w:rFonts w:hint="eastAsia" w:eastAsia="楷体_GB2312"/>
          <w:b/>
          <w:bCs/>
          <w:color w:val="000000"/>
          <w:kern w:val="0"/>
          <w:sz w:val="32"/>
          <w:szCs w:val="32"/>
          <w:shd w:val="clear" w:color="auto" w:fill="FFFFFF"/>
          <w:lang w:val="zh-CN"/>
        </w:rPr>
        <w:t>。</w:t>
      </w:r>
    </w:p>
    <w:p w14:paraId="32C6F03A">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1.成办截至202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年12月31日，编制人数为：政府机关人员（公务员）</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人、机关工勤7人。实有人数为：公务员</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人、机关工勤4人、按照攀委办〔2012〕86号文管理的聘用人员2人共</w:t>
      </w:r>
      <w:r>
        <w:rPr>
          <w:rFonts w:hint="eastAsia" w:ascii="Times New Roman" w:hAnsi="Times New Roman" w:eastAsia="仿宋_GB2312" w:cs="Times New Roman"/>
          <w:sz w:val="32"/>
          <w:szCs w:val="32"/>
          <w:lang w:val="en-US" w:eastAsia="zh-CN"/>
        </w:rPr>
        <w:t>14</w:t>
      </w:r>
      <w:r>
        <w:rPr>
          <w:rFonts w:hint="default" w:ascii="Times New Roman" w:hAnsi="Times New Roman" w:eastAsia="仿宋_GB2312" w:cs="Times New Roman"/>
          <w:sz w:val="32"/>
          <w:szCs w:val="32"/>
          <w:lang w:val="en-US" w:eastAsia="zh-CN"/>
        </w:rPr>
        <w:t>人；退休人员已全部纳入社保统筹管理。</w:t>
      </w:r>
    </w:p>
    <w:p w14:paraId="15A81025">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2.干休所截止202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年12月31日，编制人数为：参公管理事业人员3人。实有人数为：参公管理事业人员3人、按照攀委办〔2012〕86号文管理的聘用驾驶员1人共4人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还有退休返聘人员2人（会计1人、医生1人）、长期聘用临时人员4人（门卫2人、因离休干部身体的原因而一直临聘有护理经验的护工2人）；退休人员8人已纳入社保统筹管理。</w:t>
      </w:r>
    </w:p>
    <w:p w14:paraId="22A42046">
      <w:pPr>
        <w:spacing w:line="600" w:lineRule="exact"/>
        <w:ind w:firstLine="640"/>
      </w:pPr>
      <w:r>
        <w:rPr>
          <w:rFonts w:hint="default" w:ascii="Times New Roman" w:hAnsi="Times New Roman" w:eastAsia="仿宋_GB2312" w:cs="Times New Roman"/>
          <w:sz w:val="32"/>
          <w:szCs w:val="32"/>
          <w:lang w:val="en-US" w:eastAsia="zh-CN"/>
        </w:rPr>
        <w:t>3.服务中心截止202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年12月31日，编制人数为：事业管理人员1人、专业技术人员</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人、事业工勤人员3人。实有人数为：有事业管理人员1人、专业技术人员</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人、事业工勤人员3人共6人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退休人员5人已纳入社保统筹管理。</w:t>
      </w:r>
    </w:p>
    <w:p w14:paraId="4440AE78">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二、部门资金收支情况</w:t>
      </w:r>
    </w:p>
    <w:p w14:paraId="19B42C0C">
      <w:pPr>
        <w:widowControl/>
        <w:adjustRightInd w:val="0"/>
        <w:snapToGrid w:val="0"/>
        <w:spacing w:line="578" w:lineRule="exact"/>
        <w:ind w:firstLine="643"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收入情况</w:t>
      </w:r>
      <w:r>
        <w:rPr>
          <w:rFonts w:eastAsia="楷体_GB2312"/>
          <w:b/>
          <w:bCs/>
          <w:color w:val="000000"/>
          <w:kern w:val="0"/>
          <w:sz w:val="32"/>
          <w:szCs w:val="32"/>
          <w:shd w:val="clear" w:color="auto" w:fill="FFFFFF"/>
          <w:lang w:val="zh-CN"/>
        </w:rPr>
        <w:t>。</w:t>
      </w:r>
    </w:p>
    <w:p w14:paraId="73BA6702">
      <w:pPr>
        <w:widowControl/>
        <w:adjustRightInd w:val="0"/>
        <w:snapToGrid w:val="0"/>
        <w:spacing w:line="578" w:lineRule="exact"/>
        <w:ind w:firstLine="640" w:firstLineChars="200"/>
        <w:contextualSpacing/>
        <w:jc w:val="left"/>
        <w:rPr>
          <w:rFonts w:hint="eastAsia" w:eastAsia="仿宋_GB2312"/>
          <w:sz w:val="32"/>
          <w:szCs w:val="32"/>
        </w:rPr>
      </w:pPr>
      <w:r>
        <w:rPr>
          <w:rFonts w:hint="eastAsia" w:ascii="Times New Roman" w:hAnsi="Times New Roman" w:eastAsia="仿宋_GB2312" w:cs="Times New Roman"/>
          <w:sz w:val="32"/>
          <w:szCs w:val="32"/>
          <w:lang w:val="zh-CN"/>
        </w:rPr>
        <w:t>本部门</w:t>
      </w:r>
      <w:r>
        <w:rPr>
          <w:rFonts w:hint="eastAsia" w:ascii="Times New Roman" w:hAnsi="Times New Roman" w:eastAsia="仿宋_GB2312" w:cs="Times New Roman"/>
          <w:sz w:val="32"/>
          <w:szCs w:val="32"/>
        </w:rPr>
        <w:t>20</w:t>
      </w:r>
      <w:r>
        <w:rPr>
          <w:rFonts w:hint="eastAsia" w:eastAsia="仿宋_GB2312"/>
          <w:sz w:val="32"/>
          <w:szCs w:val="32"/>
        </w:rPr>
        <w:t>25年年初预算收入情况、决算报表收入情况</w:t>
      </w:r>
    </w:p>
    <w:tbl>
      <w:tblPr>
        <w:tblStyle w:val="17"/>
        <w:tblW w:w="8186" w:type="dxa"/>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9"/>
        <w:gridCol w:w="3469"/>
        <w:gridCol w:w="2172"/>
        <w:gridCol w:w="2086"/>
      </w:tblGrid>
      <w:tr w14:paraId="66104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928" w:type="dxa"/>
            <w:gridSpan w:val="2"/>
            <w:noWrap w:val="0"/>
            <w:vAlign w:val="center"/>
          </w:tcPr>
          <w:p w14:paraId="20734A01">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科目名称</w:t>
            </w:r>
          </w:p>
        </w:tc>
        <w:tc>
          <w:tcPr>
            <w:tcW w:w="2172" w:type="dxa"/>
            <w:noWrap w:val="0"/>
            <w:vAlign w:val="center"/>
          </w:tcPr>
          <w:p w14:paraId="0987B96D">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仿宋_GB2312" w:hAnsi="仿宋_GB2312" w:eastAsia="仿宋_GB2312" w:cs="仿宋_GB2312"/>
                <w:sz w:val="21"/>
                <w:szCs w:val="21"/>
              </w:rPr>
            </w:pPr>
            <w:r>
              <w:rPr>
                <w:rFonts w:hint="eastAsia" w:ascii="仿宋_GB2312" w:hAnsi="宋体" w:eastAsia="仿宋_GB2312"/>
                <w:sz w:val="21"/>
                <w:szCs w:val="21"/>
              </w:rPr>
              <w:t>本年</w:t>
            </w:r>
            <w:r>
              <w:rPr>
                <w:rFonts w:hint="eastAsia" w:ascii="仿宋_GB2312" w:hAnsi="宋体" w:eastAsia="仿宋_GB2312"/>
                <w:sz w:val="21"/>
                <w:szCs w:val="21"/>
                <w:lang w:eastAsia="zh-CN"/>
              </w:rPr>
              <w:t>财政拨款收入</w:t>
            </w:r>
          </w:p>
        </w:tc>
        <w:tc>
          <w:tcPr>
            <w:tcW w:w="2086" w:type="dxa"/>
            <w:noWrap w:val="0"/>
            <w:vAlign w:val="center"/>
          </w:tcPr>
          <w:p w14:paraId="7702D7AE">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仿宋_GB2312" w:hAnsi="仿宋_GB2312" w:eastAsia="仿宋_GB2312" w:cs="仿宋_GB2312"/>
                <w:sz w:val="21"/>
                <w:szCs w:val="21"/>
              </w:rPr>
            </w:pPr>
            <w:r>
              <w:rPr>
                <w:rFonts w:hint="eastAsia" w:ascii="仿宋_GB2312" w:hAnsi="宋体" w:eastAsia="仿宋_GB2312"/>
                <w:sz w:val="21"/>
                <w:szCs w:val="21"/>
              </w:rPr>
              <w:t>本年</w:t>
            </w:r>
            <w:r>
              <w:rPr>
                <w:rFonts w:hint="eastAsia" w:ascii="仿宋_GB2312" w:hAnsi="宋体" w:eastAsia="仿宋_GB2312"/>
                <w:sz w:val="21"/>
                <w:szCs w:val="21"/>
                <w:lang w:eastAsia="zh-CN"/>
              </w:rPr>
              <w:t>支出</w:t>
            </w:r>
            <w:r>
              <w:rPr>
                <w:rFonts w:hint="eastAsia" w:ascii="仿宋_GB2312" w:hAnsi="宋体" w:eastAsia="仿宋_GB2312"/>
                <w:sz w:val="21"/>
                <w:szCs w:val="21"/>
              </w:rPr>
              <w:t>决算数</w:t>
            </w:r>
          </w:p>
        </w:tc>
      </w:tr>
      <w:tr w14:paraId="6F171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459" w:type="dxa"/>
            <w:vMerge w:val="restart"/>
            <w:noWrap w:val="0"/>
            <w:textDirection w:val="tbRlV"/>
            <w:vAlign w:val="center"/>
          </w:tcPr>
          <w:p w14:paraId="3DED9BF6">
            <w:pPr>
              <w:keepNext w:val="0"/>
              <w:keepLines w:val="0"/>
              <w:pageBreakBefore w:val="0"/>
              <w:widowControl w:val="0"/>
              <w:kinsoku/>
              <w:wordWrap/>
              <w:overflowPunct/>
              <w:topLinePunct w:val="0"/>
              <w:autoSpaceDE/>
              <w:autoSpaceDN/>
              <w:bidi w:val="0"/>
              <w:adjustRightInd/>
              <w:snapToGrid w:val="0"/>
              <w:spacing w:line="240" w:lineRule="exact"/>
              <w:ind w:left="113" w:right="113"/>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基</w:t>
            </w:r>
            <w:r>
              <w:rPr>
                <w:rFonts w:hint="eastAsia" w:ascii="仿宋_GB2312" w:hAnsi="仿宋_GB2312" w:eastAsia="仿宋_GB2312" w:cs="仿宋_GB2312"/>
                <w:sz w:val="21"/>
                <w:szCs w:val="21"/>
                <w:lang w:eastAsia="zh-CN"/>
              </w:rPr>
              <w:t>本</w:t>
            </w:r>
            <w:r>
              <w:rPr>
                <w:rFonts w:hint="eastAsia" w:ascii="仿宋_GB2312" w:hAnsi="仿宋_GB2312" w:eastAsia="仿宋_GB2312" w:cs="仿宋_GB2312"/>
                <w:sz w:val="21"/>
                <w:szCs w:val="21"/>
              </w:rPr>
              <w:t>支出</w:t>
            </w:r>
          </w:p>
        </w:tc>
        <w:tc>
          <w:tcPr>
            <w:tcW w:w="3469" w:type="dxa"/>
            <w:noWrap w:val="0"/>
            <w:vAlign w:val="center"/>
          </w:tcPr>
          <w:p w14:paraId="1E54943E">
            <w:pPr>
              <w:keepNext w:val="0"/>
              <w:keepLines w:val="0"/>
              <w:pageBreakBefore w:val="0"/>
              <w:widowControl w:val="0"/>
              <w:kinsoku/>
              <w:wordWrap/>
              <w:overflowPunct/>
              <w:topLinePunct w:val="0"/>
              <w:autoSpaceDE/>
              <w:autoSpaceDN/>
              <w:bidi w:val="0"/>
              <w:adjustRightInd/>
              <w:snapToGrid w:val="0"/>
              <w:spacing w:line="200" w:lineRule="exact"/>
              <w:jc w:val="both"/>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政府办公厅（室）及相关机构事务</w:t>
            </w:r>
            <w:r>
              <w:rPr>
                <w:rFonts w:hint="eastAsia" w:ascii="仿宋_GB2312" w:hAnsi="仿宋_GB2312" w:eastAsia="仿宋_GB2312" w:cs="仿宋_GB2312"/>
                <w:sz w:val="21"/>
                <w:szCs w:val="21"/>
                <w:lang w:val="en-US" w:eastAsia="zh-CN"/>
              </w:rPr>
              <w:t>-</w:t>
            </w:r>
            <w:r>
              <w:rPr>
                <w:rFonts w:hint="eastAsia" w:ascii="仿宋_GB2312" w:hAnsi="仿宋_GB2312" w:eastAsia="仿宋_GB2312" w:cs="仿宋_GB2312"/>
                <w:sz w:val="21"/>
                <w:szCs w:val="21"/>
              </w:rPr>
              <w:t>行政运行</w:t>
            </w:r>
          </w:p>
        </w:tc>
        <w:tc>
          <w:tcPr>
            <w:tcW w:w="2172" w:type="dxa"/>
            <w:noWrap w:val="0"/>
            <w:vAlign w:val="center"/>
          </w:tcPr>
          <w:p w14:paraId="3122DBEE">
            <w:pPr>
              <w:keepNext w:val="0"/>
              <w:keepLines w:val="0"/>
              <w:pageBreakBefore w:val="0"/>
              <w:widowControl w:val="0"/>
              <w:kinsoku/>
              <w:wordWrap/>
              <w:overflowPunct/>
              <w:topLinePunct w:val="0"/>
              <w:autoSpaceDE/>
              <w:autoSpaceDN/>
              <w:bidi w:val="0"/>
              <w:adjustRightInd/>
              <w:snapToGrid w:val="0"/>
              <w:spacing w:line="200" w:lineRule="exact"/>
              <w:jc w:val="right"/>
              <w:textAlignment w:val="auto"/>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389.41</w:t>
            </w:r>
          </w:p>
        </w:tc>
        <w:tc>
          <w:tcPr>
            <w:tcW w:w="2086" w:type="dxa"/>
            <w:noWrap w:val="0"/>
            <w:vAlign w:val="center"/>
          </w:tcPr>
          <w:p w14:paraId="36DE30E4">
            <w:pPr>
              <w:keepNext w:val="0"/>
              <w:keepLines w:val="0"/>
              <w:pageBreakBefore w:val="0"/>
              <w:widowControl w:val="0"/>
              <w:kinsoku/>
              <w:wordWrap/>
              <w:overflowPunct/>
              <w:topLinePunct w:val="0"/>
              <w:autoSpaceDE/>
              <w:autoSpaceDN/>
              <w:bidi w:val="0"/>
              <w:adjustRightInd/>
              <w:snapToGrid w:val="0"/>
              <w:spacing w:line="200" w:lineRule="exact"/>
              <w:jc w:val="righ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389.41</w:t>
            </w:r>
          </w:p>
        </w:tc>
      </w:tr>
      <w:tr w14:paraId="7F489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459" w:type="dxa"/>
            <w:vMerge w:val="continue"/>
            <w:noWrap w:val="0"/>
            <w:vAlign w:val="top"/>
          </w:tcPr>
          <w:p w14:paraId="0F2AAA51">
            <w:pPr>
              <w:snapToGrid w:val="0"/>
              <w:spacing w:line="360" w:lineRule="auto"/>
              <w:jc w:val="center"/>
              <w:rPr>
                <w:rFonts w:hint="eastAsia" w:ascii="仿宋_GB2312" w:hAnsi="仿宋_GB2312" w:eastAsia="仿宋_GB2312" w:cs="仿宋_GB2312"/>
                <w:sz w:val="21"/>
                <w:szCs w:val="21"/>
              </w:rPr>
            </w:pPr>
          </w:p>
        </w:tc>
        <w:tc>
          <w:tcPr>
            <w:tcW w:w="3469" w:type="dxa"/>
            <w:noWrap w:val="0"/>
            <w:vAlign w:val="center"/>
          </w:tcPr>
          <w:p w14:paraId="1D5BEA85">
            <w:pPr>
              <w:keepNext w:val="0"/>
              <w:keepLines w:val="0"/>
              <w:pageBreakBefore w:val="0"/>
              <w:widowControl w:val="0"/>
              <w:kinsoku/>
              <w:wordWrap/>
              <w:overflowPunct/>
              <w:topLinePunct w:val="0"/>
              <w:autoSpaceDE/>
              <w:autoSpaceDN/>
              <w:bidi w:val="0"/>
              <w:adjustRightInd/>
              <w:snapToGrid w:val="0"/>
              <w:spacing w:line="200" w:lineRule="exact"/>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政府办公厅（室）及相关机构事务</w:t>
            </w:r>
            <w:r>
              <w:rPr>
                <w:rFonts w:hint="eastAsia" w:ascii="仿宋_GB2312" w:hAnsi="仿宋_GB2312" w:eastAsia="仿宋_GB2312" w:cs="仿宋_GB2312"/>
                <w:sz w:val="21"/>
                <w:szCs w:val="21"/>
                <w:lang w:val="en-US" w:eastAsia="zh-CN"/>
              </w:rPr>
              <w:t>-</w:t>
            </w:r>
            <w:r>
              <w:rPr>
                <w:rFonts w:hint="eastAsia" w:ascii="仿宋_GB2312" w:hAnsi="仿宋_GB2312" w:eastAsia="仿宋_GB2312" w:cs="仿宋_GB2312"/>
                <w:sz w:val="21"/>
                <w:szCs w:val="21"/>
                <w:lang w:eastAsia="zh-CN"/>
              </w:rPr>
              <w:t>事业</w:t>
            </w:r>
            <w:r>
              <w:rPr>
                <w:rFonts w:hint="eastAsia" w:ascii="仿宋_GB2312" w:hAnsi="仿宋_GB2312" w:eastAsia="仿宋_GB2312" w:cs="仿宋_GB2312"/>
                <w:sz w:val="21"/>
                <w:szCs w:val="21"/>
              </w:rPr>
              <w:t>运行</w:t>
            </w:r>
          </w:p>
        </w:tc>
        <w:tc>
          <w:tcPr>
            <w:tcW w:w="2172" w:type="dxa"/>
            <w:noWrap w:val="0"/>
            <w:vAlign w:val="center"/>
          </w:tcPr>
          <w:p w14:paraId="5769F641">
            <w:pPr>
              <w:keepNext w:val="0"/>
              <w:keepLines w:val="0"/>
              <w:pageBreakBefore w:val="0"/>
              <w:widowControl w:val="0"/>
              <w:kinsoku/>
              <w:wordWrap/>
              <w:overflowPunct/>
              <w:topLinePunct w:val="0"/>
              <w:autoSpaceDE/>
              <w:autoSpaceDN/>
              <w:bidi w:val="0"/>
              <w:adjustRightInd/>
              <w:snapToGrid w:val="0"/>
              <w:spacing w:line="200" w:lineRule="exact"/>
              <w:jc w:val="right"/>
              <w:textAlignment w:val="auto"/>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94</w:t>
            </w:r>
          </w:p>
        </w:tc>
        <w:tc>
          <w:tcPr>
            <w:tcW w:w="2086" w:type="dxa"/>
            <w:noWrap w:val="0"/>
            <w:vAlign w:val="center"/>
          </w:tcPr>
          <w:p w14:paraId="09363243">
            <w:pPr>
              <w:keepNext w:val="0"/>
              <w:keepLines w:val="0"/>
              <w:pageBreakBefore w:val="0"/>
              <w:widowControl w:val="0"/>
              <w:kinsoku/>
              <w:wordWrap/>
              <w:overflowPunct/>
              <w:topLinePunct w:val="0"/>
              <w:autoSpaceDE/>
              <w:autoSpaceDN/>
              <w:bidi w:val="0"/>
              <w:adjustRightInd/>
              <w:snapToGrid w:val="0"/>
              <w:spacing w:line="200" w:lineRule="exact"/>
              <w:jc w:val="righ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94</w:t>
            </w:r>
          </w:p>
        </w:tc>
      </w:tr>
      <w:tr w14:paraId="47C34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459" w:type="dxa"/>
            <w:vMerge w:val="continue"/>
            <w:noWrap w:val="0"/>
            <w:vAlign w:val="top"/>
          </w:tcPr>
          <w:p w14:paraId="3BA8FC1A">
            <w:pPr>
              <w:snapToGrid w:val="0"/>
              <w:spacing w:line="360" w:lineRule="auto"/>
              <w:jc w:val="center"/>
              <w:rPr>
                <w:rFonts w:hint="eastAsia" w:ascii="仿宋_GB2312" w:hAnsi="仿宋_GB2312" w:eastAsia="仿宋_GB2312" w:cs="仿宋_GB2312"/>
                <w:sz w:val="21"/>
                <w:szCs w:val="21"/>
              </w:rPr>
            </w:pPr>
          </w:p>
        </w:tc>
        <w:tc>
          <w:tcPr>
            <w:tcW w:w="3469" w:type="dxa"/>
            <w:noWrap w:val="0"/>
            <w:vAlign w:val="center"/>
          </w:tcPr>
          <w:p w14:paraId="4E3525B3">
            <w:pPr>
              <w:keepNext w:val="0"/>
              <w:keepLines w:val="0"/>
              <w:pageBreakBefore w:val="0"/>
              <w:widowControl w:val="0"/>
              <w:kinsoku/>
              <w:wordWrap/>
              <w:overflowPunct/>
              <w:topLinePunct w:val="0"/>
              <w:autoSpaceDE/>
              <w:autoSpaceDN/>
              <w:bidi w:val="0"/>
              <w:adjustRightInd/>
              <w:snapToGrid w:val="0"/>
              <w:spacing w:line="200" w:lineRule="exac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行政单位离退休</w:t>
            </w:r>
          </w:p>
        </w:tc>
        <w:tc>
          <w:tcPr>
            <w:tcW w:w="2172" w:type="dxa"/>
            <w:noWrap w:val="0"/>
            <w:vAlign w:val="center"/>
          </w:tcPr>
          <w:p w14:paraId="4F2C4BE6">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148.75</w:t>
            </w:r>
          </w:p>
        </w:tc>
        <w:tc>
          <w:tcPr>
            <w:tcW w:w="2086" w:type="dxa"/>
            <w:noWrap w:val="0"/>
            <w:vAlign w:val="center"/>
          </w:tcPr>
          <w:p w14:paraId="17F19625">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148.75</w:t>
            </w:r>
          </w:p>
        </w:tc>
      </w:tr>
      <w:tr w14:paraId="7F704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459" w:type="dxa"/>
            <w:vMerge w:val="continue"/>
            <w:noWrap w:val="0"/>
            <w:vAlign w:val="top"/>
          </w:tcPr>
          <w:p w14:paraId="32ED3EF8">
            <w:pPr>
              <w:snapToGrid w:val="0"/>
              <w:spacing w:line="360" w:lineRule="auto"/>
              <w:jc w:val="center"/>
              <w:rPr>
                <w:rFonts w:hint="eastAsia" w:ascii="仿宋_GB2312" w:hAnsi="仿宋_GB2312" w:eastAsia="仿宋_GB2312" w:cs="仿宋_GB2312"/>
                <w:sz w:val="21"/>
                <w:szCs w:val="21"/>
              </w:rPr>
            </w:pPr>
          </w:p>
        </w:tc>
        <w:tc>
          <w:tcPr>
            <w:tcW w:w="3469" w:type="dxa"/>
            <w:noWrap w:val="0"/>
            <w:vAlign w:val="center"/>
          </w:tcPr>
          <w:p w14:paraId="5CE53AF3">
            <w:pPr>
              <w:keepNext w:val="0"/>
              <w:keepLines w:val="0"/>
              <w:pageBreakBefore w:val="0"/>
              <w:widowControl w:val="0"/>
              <w:kinsoku/>
              <w:wordWrap/>
              <w:overflowPunct/>
              <w:topLinePunct w:val="0"/>
              <w:autoSpaceDE/>
              <w:autoSpaceDN/>
              <w:bidi w:val="0"/>
              <w:adjustRightInd/>
              <w:snapToGrid w:val="0"/>
              <w:spacing w:line="200" w:lineRule="exac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eastAsia="zh-CN"/>
              </w:rPr>
              <w:t>事业</w:t>
            </w:r>
            <w:r>
              <w:rPr>
                <w:rFonts w:hint="eastAsia" w:ascii="仿宋_GB2312" w:hAnsi="仿宋_GB2312" w:eastAsia="仿宋_GB2312" w:cs="仿宋_GB2312"/>
                <w:sz w:val="21"/>
                <w:szCs w:val="21"/>
              </w:rPr>
              <w:t>单位离退休</w:t>
            </w:r>
          </w:p>
        </w:tc>
        <w:tc>
          <w:tcPr>
            <w:tcW w:w="2172" w:type="dxa"/>
            <w:noWrap w:val="0"/>
            <w:vAlign w:val="center"/>
          </w:tcPr>
          <w:p w14:paraId="2313DB23">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14.13</w:t>
            </w:r>
          </w:p>
        </w:tc>
        <w:tc>
          <w:tcPr>
            <w:tcW w:w="2086" w:type="dxa"/>
            <w:noWrap w:val="0"/>
            <w:vAlign w:val="center"/>
          </w:tcPr>
          <w:p w14:paraId="7F585554">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14.13</w:t>
            </w:r>
          </w:p>
        </w:tc>
      </w:tr>
      <w:tr w14:paraId="22C02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59" w:type="dxa"/>
            <w:vMerge w:val="continue"/>
            <w:noWrap w:val="0"/>
            <w:vAlign w:val="top"/>
          </w:tcPr>
          <w:p w14:paraId="7F16739F">
            <w:pPr>
              <w:snapToGrid w:val="0"/>
              <w:spacing w:line="360" w:lineRule="auto"/>
              <w:jc w:val="center"/>
              <w:rPr>
                <w:rFonts w:hint="eastAsia" w:ascii="仿宋_GB2312" w:hAnsi="仿宋_GB2312" w:eastAsia="仿宋_GB2312" w:cs="仿宋_GB2312"/>
                <w:sz w:val="21"/>
                <w:szCs w:val="21"/>
              </w:rPr>
            </w:pPr>
          </w:p>
        </w:tc>
        <w:tc>
          <w:tcPr>
            <w:tcW w:w="3469" w:type="dxa"/>
            <w:noWrap w:val="0"/>
            <w:vAlign w:val="center"/>
          </w:tcPr>
          <w:p w14:paraId="33047894">
            <w:pPr>
              <w:keepNext w:val="0"/>
              <w:keepLines w:val="0"/>
              <w:pageBreakBefore w:val="0"/>
              <w:widowControl w:val="0"/>
              <w:kinsoku/>
              <w:wordWrap/>
              <w:overflowPunct/>
              <w:topLinePunct w:val="0"/>
              <w:autoSpaceDE/>
              <w:autoSpaceDN/>
              <w:bidi w:val="0"/>
              <w:adjustRightInd/>
              <w:snapToGrid w:val="0"/>
              <w:spacing w:line="200" w:lineRule="exac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eastAsia="zh-CN"/>
              </w:rPr>
              <w:t>机关事业单位基本养老保险缴费支出</w:t>
            </w:r>
          </w:p>
        </w:tc>
        <w:tc>
          <w:tcPr>
            <w:tcW w:w="2172" w:type="dxa"/>
            <w:noWrap w:val="0"/>
            <w:vAlign w:val="center"/>
          </w:tcPr>
          <w:p w14:paraId="7635D904">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53.39</w:t>
            </w:r>
          </w:p>
        </w:tc>
        <w:tc>
          <w:tcPr>
            <w:tcW w:w="2086" w:type="dxa"/>
            <w:noWrap w:val="0"/>
            <w:vAlign w:val="center"/>
          </w:tcPr>
          <w:p w14:paraId="718DAADC">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53.39</w:t>
            </w:r>
          </w:p>
        </w:tc>
      </w:tr>
      <w:tr w14:paraId="693A4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459" w:type="dxa"/>
            <w:vMerge w:val="continue"/>
            <w:noWrap w:val="0"/>
            <w:vAlign w:val="top"/>
          </w:tcPr>
          <w:p w14:paraId="11243417">
            <w:pPr>
              <w:snapToGrid w:val="0"/>
              <w:spacing w:line="360" w:lineRule="auto"/>
              <w:jc w:val="center"/>
              <w:rPr>
                <w:rFonts w:hint="eastAsia" w:ascii="仿宋_GB2312" w:hAnsi="仿宋_GB2312" w:eastAsia="仿宋_GB2312" w:cs="仿宋_GB2312"/>
                <w:sz w:val="21"/>
                <w:szCs w:val="21"/>
              </w:rPr>
            </w:pPr>
          </w:p>
        </w:tc>
        <w:tc>
          <w:tcPr>
            <w:tcW w:w="3469" w:type="dxa"/>
            <w:noWrap w:val="0"/>
            <w:vAlign w:val="center"/>
          </w:tcPr>
          <w:p w14:paraId="714AB131">
            <w:pPr>
              <w:keepNext w:val="0"/>
              <w:keepLines w:val="0"/>
              <w:pageBreakBefore w:val="0"/>
              <w:widowControl w:val="0"/>
              <w:kinsoku/>
              <w:wordWrap/>
              <w:overflowPunct/>
              <w:topLinePunct w:val="0"/>
              <w:autoSpaceDE/>
              <w:autoSpaceDN/>
              <w:bidi w:val="0"/>
              <w:adjustRightInd/>
              <w:snapToGrid w:val="0"/>
              <w:spacing w:line="200" w:lineRule="exac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机关事业单位职业年金缴费支出</w:t>
            </w:r>
          </w:p>
        </w:tc>
        <w:tc>
          <w:tcPr>
            <w:tcW w:w="2172" w:type="dxa"/>
            <w:noWrap w:val="0"/>
            <w:vAlign w:val="center"/>
          </w:tcPr>
          <w:p w14:paraId="3A750C98">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26.36</w:t>
            </w:r>
          </w:p>
        </w:tc>
        <w:tc>
          <w:tcPr>
            <w:tcW w:w="2086" w:type="dxa"/>
            <w:noWrap w:val="0"/>
            <w:vAlign w:val="center"/>
          </w:tcPr>
          <w:p w14:paraId="42A039DC">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26.36</w:t>
            </w:r>
          </w:p>
        </w:tc>
      </w:tr>
      <w:tr w14:paraId="071D3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459" w:type="dxa"/>
            <w:vMerge w:val="continue"/>
            <w:noWrap w:val="0"/>
            <w:vAlign w:val="top"/>
          </w:tcPr>
          <w:p w14:paraId="6CF34758">
            <w:pPr>
              <w:snapToGrid w:val="0"/>
              <w:spacing w:line="360" w:lineRule="auto"/>
              <w:jc w:val="center"/>
              <w:rPr>
                <w:rFonts w:hint="eastAsia" w:ascii="仿宋_GB2312" w:hAnsi="仿宋_GB2312" w:eastAsia="仿宋_GB2312" w:cs="仿宋_GB2312"/>
                <w:sz w:val="21"/>
                <w:szCs w:val="21"/>
              </w:rPr>
            </w:pPr>
          </w:p>
        </w:tc>
        <w:tc>
          <w:tcPr>
            <w:tcW w:w="3469" w:type="dxa"/>
            <w:noWrap w:val="0"/>
            <w:vAlign w:val="center"/>
          </w:tcPr>
          <w:p w14:paraId="7B3184E7">
            <w:pPr>
              <w:keepNext w:val="0"/>
              <w:keepLines w:val="0"/>
              <w:pageBreakBefore w:val="0"/>
              <w:widowControl w:val="0"/>
              <w:kinsoku/>
              <w:wordWrap/>
              <w:overflowPunct/>
              <w:topLinePunct w:val="0"/>
              <w:autoSpaceDE/>
              <w:autoSpaceDN/>
              <w:bidi w:val="0"/>
              <w:adjustRightInd/>
              <w:snapToGrid w:val="0"/>
              <w:spacing w:line="200" w:lineRule="exact"/>
              <w:textAlignment w:val="auto"/>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死亡抚恤金</w:t>
            </w:r>
          </w:p>
        </w:tc>
        <w:tc>
          <w:tcPr>
            <w:tcW w:w="2172" w:type="dxa"/>
            <w:noWrap w:val="0"/>
            <w:vAlign w:val="center"/>
          </w:tcPr>
          <w:p w14:paraId="0018C922">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36.67</w:t>
            </w:r>
          </w:p>
        </w:tc>
        <w:tc>
          <w:tcPr>
            <w:tcW w:w="2086" w:type="dxa"/>
            <w:noWrap w:val="0"/>
            <w:vAlign w:val="center"/>
          </w:tcPr>
          <w:p w14:paraId="3593A050">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36.67</w:t>
            </w:r>
          </w:p>
        </w:tc>
      </w:tr>
      <w:tr w14:paraId="6EEFA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3928" w:type="dxa"/>
            <w:gridSpan w:val="2"/>
            <w:noWrap w:val="0"/>
            <w:vAlign w:val="center"/>
          </w:tcPr>
          <w:p w14:paraId="2CDAEE9C">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科目名称</w:t>
            </w:r>
          </w:p>
        </w:tc>
        <w:tc>
          <w:tcPr>
            <w:tcW w:w="2172" w:type="dxa"/>
            <w:noWrap w:val="0"/>
            <w:vAlign w:val="center"/>
          </w:tcPr>
          <w:p w14:paraId="6429838E">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仿宋_GB2312" w:hAnsi="仿宋_GB2312" w:eastAsia="仿宋_GB2312" w:cs="仿宋_GB2312"/>
                <w:kern w:val="2"/>
                <w:sz w:val="21"/>
                <w:szCs w:val="21"/>
                <w:lang w:val="en-US" w:eastAsia="zh-CN" w:bidi="ar-SA"/>
              </w:rPr>
            </w:pPr>
            <w:r>
              <w:rPr>
                <w:rFonts w:hint="eastAsia" w:ascii="仿宋_GB2312" w:hAnsi="宋体" w:eastAsia="仿宋_GB2312"/>
                <w:sz w:val="21"/>
                <w:szCs w:val="21"/>
              </w:rPr>
              <w:t>本年</w:t>
            </w:r>
            <w:r>
              <w:rPr>
                <w:rFonts w:hint="eastAsia" w:ascii="仿宋_GB2312" w:hAnsi="宋体" w:eastAsia="仿宋_GB2312"/>
                <w:sz w:val="21"/>
                <w:szCs w:val="21"/>
                <w:lang w:eastAsia="zh-CN"/>
              </w:rPr>
              <w:t>财政拨款收入</w:t>
            </w:r>
          </w:p>
        </w:tc>
        <w:tc>
          <w:tcPr>
            <w:tcW w:w="2086" w:type="dxa"/>
            <w:noWrap w:val="0"/>
            <w:vAlign w:val="center"/>
          </w:tcPr>
          <w:p w14:paraId="58E344E8">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仿宋_GB2312" w:hAnsi="仿宋_GB2312" w:eastAsia="仿宋_GB2312" w:cs="仿宋_GB2312"/>
                <w:kern w:val="2"/>
                <w:sz w:val="21"/>
                <w:szCs w:val="21"/>
                <w:lang w:val="en-US" w:eastAsia="zh-CN" w:bidi="ar-SA"/>
              </w:rPr>
            </w:pPr>
            <w:r>
              <w:rPr>
                <w:rFonts w:hint="eastAsia" w:ascii="仿宋_GB2312" w:hAnsi="宋体" w:eastAsia="仿宋_GB2312"/>
                <w:sz w:val="21"/>
                <w:szCs w:val="21"/>
              </w:rPr>
              <w:t>本年</w:t>
            </w:r>
            <w:r>
              <w:rPr>
                <w:rFonts w:hint="eastAsia" w:ascii="仿宋_GB2312" w:hAnsi="宋体" w:eastAsia="仿宋_GB2312"/>
                <w:sz w:val="21"/>
                <w:szCs w:val="21"/>
                <w:lang w:eastAsia="zh-CN"/>
              </w:rPr>
              <w:t>支出</w:t>
            </w:r>
            <w:r>
              <w:rPr>
                <w:rFonts w:hint="eastAsia" w:ascii="仿宋_GB2312" w:hAnsi="宋体" w:eastAsia="仿宋_GB2312"/>
                <w:sz w:val="21"/>
                <w:szCs w:val="21"/>
              </w:rPr>
              <w:t>决算数</w:t>
            </w:r>
          </w:p>
        </w:tc>
      </w:tr>
      <w:tr w14:paraId="31834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459" w:type="dxa"/>
            <w:vMerge w:val="restart"/>
            <w:noWrap w:val="0"/>
            <w:textDirection w:val="tbRlV"/>
            <w:vAlign w:val="center"/>
          </w:tcPr>
          <w:p w14:paraId="2415F49E">
            <w:pPr>
              <w:keepNext w:val="0"/>
              <w:keepLines w:val="0"/>
              <w:pageBreakBefore w:val="0"/>
              <w:widowControl w:val="0"/>
              <w:kinsoku/>
              <w:wordWrap/>
              <w:overflowPunct/>
              <w:topLinePunct w:val="0"/>
              <w:autoSpaceDE/>
              <w:autoSpaceDN/>
              <w:bidi w:val="0"/>
              <w:adjustRightInd/>
              <w:snapToGrid w:val="0"/>
              <w:spacing w:line="240" w:lineRule="exact"/>
              <w:ind w:left="113" w:leftChars="0" w:right="113" w:rightChars="0"/>
              <w:jc w:val="center"/>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基本支出</w:t>
            </w:r>
          </w:p>
        </w:tc>
        <w:tc>
          <w:tcPr>
            <w:tcW w:w="3469" w:type="dxa"/>
            <w:noWrap w:val="0"/>
            <w:vAlign w:val="center"/>
          </w:tcPr>
          <w:p w14:paraId="52CE26F5">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kern w:val="2"/>
                <w:sz w:val="21"/>
                <w:szCs w:val="21"/>
                <w:lang w:val="en-US" w:eastAsia="zh-CN" w:bidi="ar-SA"/>
              </w:rPr>
              <w:t>其他社会保障和就业支出</w:t>
            </w:r>
          </w:p>
        </w:tc>
        <w:tc>
          <w:tcPr>
            <w:tcW w:w="2172" w:type="dxa"/>
            <w:noWrap w:val="0"/>
            <w:vAlign w:val="center"/>
          </w:tcPr>
          <w:p w14:paraId="43256038">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kern w:val="2"/>
                <w:sz w:val="21"/>
                <w:szCs w:val="21"/>
                <w:lang w:val="en-US" w:eastAsia="zh-CN" w:bidi="ar-SA"/>
              </w:rPr>
              <w:t>1.07</w:t>
            </w:r>
          </w:p>
        </w:tc>
        <w:tc>
          <w:tcPr>
            <w:tcW w:w="2086" w:type="dxa"/>
            <w:noWrap w:val="0"/>
            <w:vAlign w:val="center"/>
          </w:tcPr>
          <w:p w14:paraId="51A0272C">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1.07</w:t>
            </w:r>
          </w:p>
        </w:tc>
      </w:tr>
      <w:tr w14:paraId="65B6E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459" w:type="dxa"/>
            <w:vMerge w:val="continue"/>
            <w:noWrap w:val="0"/>
            <w:textDirection w:val="tbRlV"/>
            <w:vAlign w:val="center"/>
          </w:tcPr>
          <w:p w14:paraId="5211554F">
            <w:pPr>
              <w:keepNext w:val="0"/>
              <w:keepLines w:val="0"/>
              <w:pageBreakBefore w:val="0"/>
              <w:widowControl w:val="0"/>
              <w:kinsoku/>
              <w:wordWrap/>
              <w:overflowPunct/>
              <w:topLinePunct w:val="0"/>
              <w:autoSpaceDE/>
              <w:autoSpaceDN/>
              <w:bidi w:val="0"/>
              <w:adjustRightInd/>
              <w:snapToGrid w:val="0"/>
              <w:spacing w:line="240" w:lineRule="exact"/>
              <w:ind w:left="113" w:leftChars="0" w:right="113" w:rightChars="0"/>
              <w:jc w:val="center"/>
              <w:textAlignment w:val="auto"/>
              <w:rPr>
                <w:rFonts w:hint="eastAsia" w:ascii="仿宋_GB2312" w:hAnsi="仿宋_GB2312" w:eastAsia="仿宋_GB2312" w:cs="仿宋_GB2312"/>
                <w:kern w:val="2"/>
                <w:sz w:val="21"/>
                <w:szCs w:val="21"/>
                <w:lang w:val="en-US" w:eastAsia="zh-CN" w:bidi="ar-SA"/>
              </w:rPr>
            </w:pPr>
          </w:p>
        </w:tc>
        <w:tc>
          <w:tcPr>
            <w:tcW w:w="3469" w:type="dxa"/>
            <w:noWrap w:val="0"/>
            <w:vAlign w:val="center"/>
          </w:tcPr>
          <w:p w14:paraId="231DF580">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行政单位医疗</w:t>
            </w:r>
          </w:p>
        </w:tc>
        <w:tc>
          <w:tcPr>
            <w:tcW w:w="2172" w:type="dxa"/>
            <w:noWrap w:val="0"/>
            <w:vAlign w:val="center"/>
          </w:tcPr>
          <w:p w14:paraId="7AAEB46C">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kern w:val="2"/>
                <w:sz w:val="21"/>
                <w:szCs w:val="21"/>
                <w:lang w:val="en-US" w:eastAsia="zh-CN" w:bidi="ar-SA"/>
              </w:rPr>
              <w:t>21.17</w:t>
            </w:r>
          </w:p>
        </w:tc>
        <w:tc>
          <w:tcPr>
            <w:tcW w:w="2086" w:type="dxa"/>
            <w:noWrap w:val="0"/>
            <w:vAlign w:val="center"/>
          </w:tcPr>
          <w:p w14:paraId="400ADE10">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21.17</w:t>
            </w:r>
          </w:p>
        </w:tc>
      </w:tr>
      <w:tr w14:paraId="483CC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459" w:type="dxa"/>
            <w:vMerge w:val="continue"/>
            <w:noWrap w:val="0"/>
            <w:vAlign w:val="top"/>
          </w:tcPr>
          <w:p w14:paraId="39306239">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仿宋_GB2312" w:hAnsi="仿宋_GB2312" w:eastAsia="仿宋_GB2312" w:cs="仿宋_GB2312"/>
                <w:sz w:val="21"/>
                <w:szCs w:val="21"/>
              </w:rPr>
            </w:pPr>
          </w:p>
        </w:tc>
        <w:tc>
          <w:tcPr>
            <w:tcW w:w="3469" w:type="dxa"/>
            <w:noWrap w:val="0"/>
            <w:vAlign w:val="center"/>
          </w:tcPr>
          <w:p w14:paraId="1E39EF9C">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事业单位医疗</w:t>
            </w:r>
          </w:p>
        </w:tc>
        <w:tc>
          <w:tcPr>
            <w:tcW w:w="2172" w:type="dxa"/>
            <w:noWrap w:val="0"/>
            <w:vAlign w:val="center"/>
          </w:tcPr>
          <w:p w14:paraId="0A613DB4">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6.2</w:t>
            </w:r>
          </w:p>
        </w:tc>
        <w:tc>
          <w:tcPr>
            <w:tcW w:w="2086" w:type="dxa"/>
            <w:noWrap w:val="0"/>
            <w:vAlign w:val="center"/>
          </w:tcPr>
          <w:p w14:paraId="7DC24EC3">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6.2</w:t>
            </w:r>
          </w:p>
        </w:tc>
      </w:tr>
      <w:tr w14:paraId="63AA3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459" w:type="dxa"/>
            <w:vMerge w:val="continue"/>
            <w:noWrap w:val="0"/>
            <w:vAlign w:val="top"/>
          </w:tcPr>
          <w:p w14:paraId="1B3B43DB">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仿宋_GB2312" w:hAnsi="仿宋_GB2312" w:eastAsia="仿宋_GB2312" w:cs="仿宋_GB2312"/>
                <w:sz w:val="21"/>
                <w:szCs w:val="21"/>
              </w:rPr>
            </w:pPr>
          </w:p>
        </w:tc>
        <w:tc>
          <w:tcPr>
            <w:tcW w:w="3469" w:type="dxa"/>
            <w:noWrap w:val="0"/>
            <w:vAlign w:val="center"/>
          </w:tcPr>
          <w:p w14:paraId="26101585">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eastAsia="zh-CN"/>
              </w:rPr>
              <w:t>公务员医疗补助</w:t>
            </w:r>
          </w:p>
        </w:tc>
        <w:tc>
          <w:tcPr>
            <w:tcW w:w="2172" w:type="dxa"/>
            <w:noWrap w:val="0"/>
            <w:vAlign w:val="center"/>
          </w:tcPr>
          <w:p w14:paraId="7EE568D2">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2.71</w:t>
            </w:r>
          </w:p>
        </w:tc>
        <w:tc>
          <w:tcPr>
            <w:tcW w:w="2086" w:type="dxa"/>
            <w:noWrap w:val="0"/>
            <w:vAlign w:val="center"/>
          </w:tcPr>
          <w:p w14:paraId="706281CC">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2.71</w:t>
            </w:r>
          </w:p>
        </w:tc>
      </w:tr>
      <w:tr w14:paraId="77E20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459" w:type="dxa"/>
            <w:vMerge w:val="continue"/>
            <w:noWrap w:val="0"/>
            <w:vAlign w:val="top"/>
          </w:tcPr>
          <w:p w14:paraId="54F6A102">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仿宋_GB2312" w:hAnsi="仿宋_GB2312" w:eastAsia="仿宋_GB2312" w:cs="仿宋_GB2312"/>
                <w:sz w:val="21"/>
                <w:szCs w:val="21"/>
              </w:rPr>
            </w:pPr>
          </w:p>
        </w:tc>
        <w:tc>
          <w:tcPr>
            <w:tcW w:w="3469" w:type="dxa"/>
            <w:noWrap w:val="0"/>
            <w:vAlign w:val="center"/>
          </w:tcPr>
          <w:p w14:paraId="0BA414C7">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其他行政事业单位医疗支出</w:t>
            </w:r>
          </w:p>
        </w:tc>
        <w:tc>
          <w:tcPr>
            <w:tcW w:w="2172" w:type="dxa"/>
            <w:noWrap w:val="0"/>
            <w:vAlign w:val="center"/>
          </w:tcPr>
          <w:p w14:paraId="73E9A6E6">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7.98</w:t>
            </w:r>
          </w:p>
        </w:tc>
        <w:tc>
          <w:tcPr>
            <w:tcW w:w="2086" w:type="dxa"/>
            <w:noWrap w:val="0"/>
            <w:vAlign w:val="center"/>
          </w:tcPr>
          <w:p w14:paraId="7DEE7869">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7.98</w:t>
            </w:r>
          </w:p>
        </w:tc>
      </w:tr>
      <w:tr w14:paraId="166B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459" w:type="dxa"/>
            <w:vMerge w:val="continue"/>
            <w:noWrap w:val="0"/>
            <w:vAlign w:val="top"/>
          </w:tcPr>
          <w:p w14:paraId="4E4982D4">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仿宋_GB2312" w:hAnsi="仿宋_GB2312" w:eastAsia="仿宋_GB2312" w:cs="仿宋_GB2312"/>
                <w:sz w:val="21"/>
                <w:szCs w:val="21"/>
              </w:rPr>
            </w:pPr>
          </w:p>
        </w:tc>
        <w:tc>
          <w:tcPr>
            <w:tcW w:w="3469" w:type="dxa"/>
            <w:noWrap w:val="0"/>
            <w:vAlign w:val="center"/>
          </w:tcPr>
          <w:p w14:paraId="1D893A62">
            <w:pPr>
              <w:keepNext w:val="0"/>
              <w:keepLines w:val="0"/>
              <w:pageBreakBefore w:val="0"/>
              <w:widowControl w:val="0"/>
              <w:kinsoku/>
              <w:wordWrap/>
              <w:overflowPunct/>
              <w:topLinePunct w:val="0"/>
              <w:autoSpaceDE/>
              <w:autoSpaceDN/>
              <w:bidi w:val="0"/>
              <w:adjustRightInd/>
              <w:snapToGrid w:val="0"/>
              <w:spacing w:line="200" w:lineRule="exact"/>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其他卫生健康支出</w:t>
            </w:r>
          </w:p>
        </w:tc>
        <w:tc>
          <w:tcPr>
            <w:tcW w:w="2172" w:type="dxa"/>
            <w:noWrap w:val="0"/>
            <w:vAlign w:val="center"/>
          </w:tcPr>
          <w:p w14:paraId="1578877D">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1.96</w:t>
            </w:r>
          </w:p>
        </w:tc>
        <w:tc>
          <w:tcPr>
            <w:tcW w:w="2086" w:type="dxa"/>
            <w:noWrap w:val="0"/>
            <w:vAlign w:val="center"/>
          </w:tcPr>
          <w:p w14:paraId="7BF98AA2">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1.96</w:t>
            </w:r>
          </w:p>
        </w:tc>
      </w:tr>
      <w:tr w14:paraId="101AE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459" w:type="dxa"/>
            <w:vMerge w:val="continue"/>
            <w:noWrap w:val="0"/>
            <w:vAlign w:val="top"/>
          </w:tcPr>
          <w:p w14:paraId="447205D6">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仿宋_GB2312" w:hAnsi="仿宋_GB2312" w:eastAsia="仿宋_GB2312" w:cs="仿宋_GB2312"/>
                <w:sz w:val="21"/>
                <w:szCs w:val="21"/>
              </w:rPr>
            </w:pPr>
          </w:p>
        </w:tc>
        <w:tc>
          <w:tcPr>
            <w:tcW w:w="3469" w:type="dxa"/>
            <w:noWrap w:val="0"/>
            <w:vAlign w:val="center"/>
          </w:tcPr>
          <w:p w14:paraId="73BA5CB6">
            <w:pPr>
              <w:keepNext w:val="0"/>
              <w:keepLines w:val="0"/>
              <w:pageBreakBefore w:val="0"/>
              <w:widowControl w:val="0"/>
              <w:kinsoku/>
              <w:wordWrap/>
              <w:overflowPunct/>
              <w:topLinePunct w:val="0"/>
              <w:autoSpaceDE/>
              <w:autoSpaceDN/>
              <w:bidi w:val="0"/>
              <w:adjustRightInd/>
              <w:snapToGrid w:val="0"/>
              <w:spacing w:line="200" w:lineRule="exact"/>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住房公积金</w:t>
            </w:r>
          </w:p>
        </w:tc>
        <w:tc>
          <w:tcPr>
            <w:tcW w:w="2172" w:type="dxa"/>
            <w:noWrap w:val="0"/>
            <w:vAlign w:val="center"/>
          </w:tcPr>
          <w:p w14:paraId="77B3CC3E">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kern w:val="2"/>
                <w:sz w:val="21"/>
                <w:szCs w:val="21"/>
                <w:lang w:val="en-US" w:eastAsia="zh-CN" w:bidi="ar-SA"/>
              </w:rPr>
              <w:t>41.62</w:t>
            </w:r>
          </w:p>
        </w:tc>
        <w:tc>
          <w:tcPr>
            <w:tcW w:w="2086" w:type="dxa"/>
            <w:noWrap w:val="0"/>
            <w:vAlign w:val="center"/>
          </w:tcPr>
          <w:p w14:paraId="6A529A8E">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41.62</w:t>
            </w:r>
          </w:p>
        </w:tc>
      </w:tr>
      <w:tr w14:paraId="61C23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459" w:type="dxa"/>
            <w:vMerge w:val="continue"/>
            <w:noWrap w:val="0"/>
            <w:vAlign w:val="top"/>
          </w:tcPr>
          <w:p w14:paraId="6F84BEE2">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仿宋_GB2312" w:hAnsi="仿宋_GB2312" w:eastAsia="仿宋_GB2312" w:cs="仿宋_GB2312"/>
                <w:sz w:val="21"/>
                <w:szCs w:val="21"/>
              </w:rPr>
            </w:pPr>
          </w:p>
        </w:tc>
        <w:tc>
          <w:tcPr>
            <w:tcW w:w="3469" w:type="dxa"/>
            <w:noWrap w:val="0"/>
            <w:vAlign w:val="center"/>
          </w:tcPr>
          <w:p w14:paraId="6ED26BF7">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小计</w:t>
            </w:r>
          </w:p>
        </w:tc>
        <w:tc>
          <w:tcPr>
            <w:tcW w:w="2172" w:type="dxa"/>
            <w:noWrap w:val="0"/>
            <w:vAlign w:val="center"/>
          </w:tcPr>
          <w:p w14:paraId="2C8CAD61">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82.71</w:t>
            </w:r>
          </w:p>
        </w:tc>
        <w:tc>
          <w:tcPr>
            <w:tcW w:w="2086" w:type="dxa"/>
            <w:noWrap w:val="0"/>
            <w:vAlign w:val="center"/>
          </w:tcPr>
          <w:p w14:paraId="011677C3">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82.71</w:t>
            </w:r>
          </w:p>
        </w:tc>
      </w:tr>
      <w:tr w14:paraId="288DB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459" w:type="dxa"/>
            <w:vMerge w:val="continue"/>
            <w:noWrap w:val="0"/>
            <w:textDirection w:val="tbRlV"/>
            <w:vAlign w:val="center"/>
          </w:tcPr>
          <w:p w14:paraId="0362F78C">
            <w:pPr>
              <w:keepNext w:val="0"/>
              <w:keepLines w:val="0"/>
              <w:pageBreakBefore w:val="0"/>
              <w:widowControl w:val="0"/>
              <w:kinsoku/>
              <w:wordWrap/>
              <w:overflowPunct/>
              <w:topLinePunct w:val="0"/>
              <w:autoSpaceDE/>
              <w:autoSpaceDN/>
              <w:bidi w:val="0"/>
              <w:adjustRightInd/>
              <w:snapToGrid w:val="0"/>
              <w:spacing w:line="240" w:lineRule="exact"/>
              <w:ind w:left="113" w:right="113"/>
              <w:jc w:val="center"/>
              <w:textAlignment w:val="auto"/>
              <w:rPr>
                <w:rFonts w:hint="eastAsia" w:ascii="仿宋_GB2312" w:hAnsi="仿宋_GB2312" w:eastAsia="仿宋_GB2312" w:cs="仿宋_GB2312"/>
                <w:sz w:val="21"/>
                <w:szCs w:val="21"/>
              </w:rPr>
            </w:pPr>
          </w:p>
        </w:tc>
        <w:tc>
          <w:tcPr>
            <w:tcW w:w="3469" w:type="dxa"/>
            <w:noWrap w:val="0"/>
            <w:vAlign w:val="center"/>
          </w:tcPr>
          <w:p w14:paraId="66AE6EB7">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基本支出小计</w:t>
            </w:r>
          </w:p>
        </w:tc>
        <w:tc>
          <w:tcPr>
            <w:tcW w:w="2172" w:type="dxa"/>
            <w:noWrap w:val="0"/>
            <w:vAlign w:val="center"/>
          </w:tcPr>
          <w:p w14:paraId="6F687DE7">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845.42</w:t>
            </w:r>
          </w:p>
        </w:tc>
        <w:tc>
          <w:tcPr>
            <w:tcW w:w="2086" w:type="dxa"/>
            <w:noWrap w:val="0"/>
            <w:vAlign w:val="center"/>
          </w:tcPr>
          <w:p w14:paraId="29F6EBA6">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845.42</w:t>
            </w:r>
          </w:p>
        </w:tc>
      </w:tr>
      <w:tr w14:paraId="12CB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459" w:type="dxa"/>
            <w:vMerge w:val="restart"/>
            <w:noWrap w:val="0"/>
            <w:textDirection w:val="tbRlV"/>
            <w:vAlign w:val="center"/>
          </w:tcPr>
          <w:p w14:paraId="333B3198">
            <w:pPr>
              <w:keepNext w:val="0"/>
              <w:keepLines w:val="0"/>
              <w:pageBreakBefore w:val="0"/>
              <w:widowControl w:val="0"/>
              <w:kinsoku/>
              <w:wordWrap/>
              <w:overflowPunct/>
              <w:topLinePunct w:val="0"/>
              <w:autoSpaceDE/>
              <w:autoSpaceDN/>
              <w:bidi w:val="0"/>
              <w:adjustRightInd/>
              <w:snapToGrid w:val="0"/>
              <w:spacing w:line="240" w:lineRule="exact"/>
              <w:ind w:left="113" w:right="113"/>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项目支出</w:t>
            </w:r>
          </w:p>
        </w:tc>
        <w:tc>
          <w:tcPr>
            <w:tcW w:w="3469" w:type="dxa"/>
            <w:noWrap w:val="0"/>
            <w:vAlign w:val="center"/>
          </w:tcPr>
          <w:p w14:paraId="54137015">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一般行政管理事务</w:t>
            </w:r>
          </w:p>
        </w:tc>
        <w:tc>
          <w:tcPr>
            <w:tcW w:w="2172" w:type="dxa"/>
            <w:noWrap w:val="0"/>
            <w:vAlign w:val="center"/>
          </w:tcPr>
          <w:p w14:paraId="66A64108">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28</w:t>
            </w:r>
          </w:p>
        </w:tc>
        <w:tc>
          <w:tcPr>
            <w:tcW w:w="2086" w:type="dxa"/>
            <w:noWrap w:val="0"/>
            <w:vAlign w:val="center"/>
          </w:tcPr>
          <w:p w14:paraId="374522FE">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28</w:t>
            </w:r>
          </w:p>
        </w:tc>
      </w:tr>
      <w:tr w14:paraId="0204F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459" w:type="dxa"/>
            <w:vMerge w:val="continue"/>
            <w:noWrap w:val="0"/>
            <w:vAlign w:val="center"/>
          </w:tcPr>
          <w:p w14:paraId="0F48EB2A">
            <w:pPr>
              <w:snapToGrid w:val="0"/>
              <w:spacing w:line="360" w:lineRule="auto"/>
              <w:jc w:val="center"/>
              <w:rPr>
                <w:rFonts w:hint="eastAsia" w:ascii="仿宋_GB2312" w:hAnsi="仿宋_GB2312" w:eastAsia="仿宋_GB2312" w:cs="仿宋_GB2312"/>
                <w:sz w:val="21"/>
                <w:szCs w:val="21"/>
              </w:rPr>
            </w:pPr>
          </w:p>
        </w:tc>
        <w:tc>
          <w:tcPr>
            <w:tcW w:w="3469" w:type="dxa"/>
            <w:noWrap w:val="0"/>
            <w:vAlign w:val="center"/>
          </w:tcPr>
          <w:p w14:paraId="23874D35">
            <w:pPr>
              <w:keepNext w:val="0"/>
              <w:keepLines w:val="0"/>
              <w:pageBreakBefore w:val="0"/>
              <w:widowControl w:val="0"/>
              <w:kinsoku/>
              <w:wordWrap/>
              <w:overflowPunct/>
              <w:topLinePunct w:val="0"/>
              <w:autoSpaceDE/>
              <w:autoSpaceDN/>
              <w:bidi w:val="0"/>
              <w:adjustRightInd/>
              <w:snapToGrid w:val="0"/>
              <w:spacing w:line="240" w:lineRule="exact"/>
              <w:jc w:val="left"/>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专项业务及机关事务管理</w:t>
            </w:r>
          </w:p>
        </w:tc>
        <w:tc>
          <w:tcPr>
            <w:tcW w:w="2172" w:type="dxa"/>
            <w:noWrap w:val="0"/>
            <w:vAlign w:val="center"/>
          </w:tcPr>
          <w:p w14:paraId="48CBF117">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w:t>
            </w:r>
          </w:p>
        </w:tc>
        <w:tc>
          <w:tcPr>
            <w:tcW w:w="2086" w:type="dxa"/>
            <w:noWrap w:val="0"/>
            <w:vAlign w:val="center"/>
          </w:tcPr>
          <w:p w14:paraId="4621BB53">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3</w:t>
            </w:r>
          </w:p>
        </w:tc>
      </w:tr>
      <w:tr w14:paraId="68233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459" w:type="dxa"/>
            <w:vMerge w:val="continue"/>
            <w:noWrap w:val="0"/>
            <w:vAlign w:val="center"/>
          </w:tcPr>
          <w:p w14:paraId="4A51C442">
            <w:pPr>
              <w:snapToGrid w:val="0"/>
              <w:spacing w:line="360" w:lineRule="auto"/>
              <w:jc w:val="center"/>
              <w:rPr>
                <w:rFonts w:hint="eastAsia" w:ascii="仿宋_GB2312" w:hAnsi="仿宋_GB2312" w:eastAsia="仿宋_GB2312" w:cs="仿宋_GB2312"/>
                <w:sz w:val="21"/>
                <w:szCs w:val="21"/>
              </w:rPr>
            </w:pPr>
          </w:p>
        </w:tc>
        <w:tc>
          <w:tcPr>
            <w:tcW w:w="3469" w:type="dxa"/>
            <w:noWrap w:val="0"/>
            <w:vAlign w:val="center"/>
          </w:tcPr>
          <w:p w14:paraId="75B69C96">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项目支出</w:t>
            </w:r>
            <w:r>
              <w:rPr>
                <w:rFonts w:hint="eastAsia" w:ascii="仿宋_GB2312" w:hAnsi="仿宋_GB2312" w:eastAsia="仿宋_GB2312" w:cs="仿宋_GB2312"/>
                <w:sz w:val="21"/>
                <w:szCs w:val="21"/>
              </w:rPr>
              <w:t>小计</w:t>
            </w:r>
          </w:p>
        </w:tc>
        <w:tc>
          <w:tcPr>
            <w:tcW w:w="2172" w:type="dxa"/>
            <w:noWrap w:val="0"/>
            <w:vAlign w:val="center"/>
          </w:tcPr>
          <w:p w14:paraId="0BCED835">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31</w:t>
            </w:r>
          </w:p>
        </w:tc>
        <w:tc>
          <w:tcPr>
            <w:tcW w:w="2086" w:type="dxa"/>
            <w:noWrap w:val="0"/>
            <w:vAlign w:val="center"/>
          </w:tcPr>
          <w:p w14:paraId="750C9876">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31</w:t>
            </w:r>
          </w:p>
        </w:tc>
      </w:tr>
      <w:tr w14:paraId="3E4A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3928" w:type="dxa"/>
            <w:gridSpan w:val="2"/>
            <w:noWrap w:val="0"/>
            <w:vAlign w:val="center"/>
          </w:tcPr>
          <w:p w14:paraId="187171B6">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合  计</w:t>
            </w:r>
          </w:p>
        </w:tc>
        <w:tc>
          <w:tcPr>
            <w:tcW w:w="2172" w:type="dxa"/>
            <w:noWrap w:val="0"/>
            <w:vAlign w:val="center"/>
          </w:tcPr>
          <w:p w14:paraId="6A6B4A1B">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876.42</w:t>
            </w:r>
          </w:p>
        </w:tc>
        <w:tc>
          <w:tcPr>
            <w:tcW w:w="2086" w:type="dxa"/>
            <w:noWrap w:val="0"/>
            <w:vAlign w:val="center"/>
          </w:tcPr>
          <w:p w14:paraId="6FD08B3C">
            <w:pPr>
              <w:keepNext w:val="0"/>
              <w:keepLines w:val="0"/>
              <w:pageBreakBefore w:val="0"/>
              <w:widowControl w:val="0"/>
              <w:kinsoku/>
              <w:wordWrap/>
              <w:overflowPunct/>
              <w:topLinePunct w:val="0"/>
              <w:autoSpaceDE/>
              <w:autoSpaceDN/>
              <w:bidi w:val="0"/>
              <w:adjustRightInd/>
              <w:snapToGrid w:val="0"/>
              <w:spacing w:line="240" w:lineRule="exact"/>
              <w:jc w:val="right"/>
              <w:textAlignment w:val="auto"/>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876.42</w:t>
            </w:r>
          </w:p>
        </w:tc>
      </w:tr>
    </w:tbl>
    <w:p w14:paraId="16989737">
      <w:pPr>
        <w:pStyle w:val="14"/>
      </w:pPr>
    </w:p>
    <w:p w14:paraId="3F0EBB0A">
      <w:pPr>
        <w:adjustRightInd w:val="0"/>
        <w:snapToGrid w:val="0"/>
        <w:spacing w:line="578" w:lineRule="exact"/>
        <w:ind w:firstLine="640" w:firstLineChars="200"/>
        <w:contextualSpacing/>
        <w:jc w:val="left"/>
        <w:rPr>
          <w:rFonts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eastAsia="zh-CN"/>
        </w:rPr>
        <w:t>本年实际收到的财政拨款收入与支出决算数是一致的，具体说明如下：“</w:t>
      </w:r>
      <w:r>
        <w:rPr>
          <w:rFonts w:hint="eastAsia" w:ascii="Times New Roman" w:hAnsi="Times New Roman" w:eastAsia="仿宋_GB2312" w:cs="仿宋_GB2312"/>
          <w:sz w:val="32"/>
          <w:szCs w:val="32"/>
          <w:lang w:val="zh-CN"/>
        </w:rPr>
        <w:t>政府办公厅（室）及相关机构事务</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lang w:val="zh-CN"/>
        </w:rPr>
        <w:t>行政运行</w:t>
      </w:r>
      <w:r>
        <w:rPr>
          <w:rFonts w:hint="eastAsia" w:ascii="Times New Roman" w:hAnsi="Times New Roman" w:eastAsia="仿宋_GB2312" w:cs="仿宋_GB2312"/>
          <w:sz w:val="32"/>
          <w:szCs w:val="32"/>
          <w:lang w:val="zh-CN" w:eastAsia="zh-CN"/>
        </w:rPr>
        <w:t>”和“</w:t>
      </w:r>
      <w:r>
        <w:rPr>
          <w:rFonts w:hint="eastAsia" w:ascii="Times New Roman" w:hAnsi="Times New Roman" w:eastAsia="仿宋_GB2312" w:cs="仿宋_GB2312"/>
          <w:sz w:val="32"/>
          <w:szCs w:val="32"/>
          <w:lang w:val="zh-CN"/>
        </w:rPr>
        <w:t>政府办公厅（室）及相关机构事务</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lang w:val="zh-CN" w:eastAsia="zh-CN"/>
        </w:rPr>
        <w:t>事业</w:t>
      </w:r>
      <w:r>
        <w:rPr>
          <w:rFonts w:hint="eastAsia" w:ascii="Times New Roman" w:hAnsi="Times New Roman" w:eastAsia="仿宋_GB2312" w:cs="仿宋_GB2312"/>
          <w:sz w:val="32"/>
          <w:szCs w:val="32"/>
          <w:lang w:val="zh-CN"/>
        </w:rPr>
        <w:t>运行</w:t>
      </w:r>
      <w:r>
        <w:rPr>
          <w:rFonts w:hint="eastAsia" w:ascii="Times New Roman" w:hAnsi="Times New Roman" w:eastAsia="仿宋_GB2312" w:cs="仿宋_GB2312"/>
          <w:sz w:val="32"/>
          <w:szCs w:val="32"/>
          <w:lang w:val="zh-CN" w:eastAsia="zh-CN"/>
        </w:rPr>
        <w:t>”分别是指行政和事业单位人员经费和日常公用经费的财政预算支出；“行政单位离退休”和“事业单位离退休”是行政和事业单位离退休人员的人员经费和公用经费，主要是退休人员除社保统筹外的房贴、年度生活补助、一次性补贴及公用经费、党建活动经费等；“死亡抚恤”是去世的退休人员一次性丧葬抚恤金；“机关事业单位基本养老保险缴费支出”、</w:t>
      </w:r>
      <w:r>
        <w:rPr>
          <w:rFonts w:hint="eastAsia" w:ascii="Times New Roman" w:hAnsi="Times New Roman" w:eastAsia="仿宋_GB2312" w:cs="仿宋_GB2312"/>
          <w:sz w:val="32"/>
          <w:szCs w:val="32"/>
          <w:lang w:val="en-US" w:eastAsia="zh-CN"/>
        </w:rPr>
        <w:t>“其他社会保障和就业支出”、“行政单位医疗”、“事业单位医疗”、“</w:t>
      </w:r>
      <w:r>
        <w:rPr>
          <w:rFonts w:hint="eastAsia" w:ascii="Times New Roman" w:hAnsi="Times New Roman" w:eastAsia="仿宋_GB2312" w:cs="仿宋_GB2312"/>
          <w:sz w:val="32"/>
          <w:szCs w:val="32"/>
          <w:lang w:val="zh-CN" w:eastAsia="zh-CN"/>
        </w:rPr>
        <w:t>公务员医疗补助”、“其他行政事业单位医疗支出”、“住房公积金”反映的是补贴给职工的基本养老保险、失业工伤保险、基本医疗保险、公务员医疗补助、补充医疗保险和住房公积金等单位缴费（含</w:t>
      </w:r>
      <w:r>
        <w:rPr>
          <w:rFonts w:hint="eastAsia" w:ascii="Times New Roman" w:hAnsi="Times New Roman" w:eastAsia="仿宋_GB2312" w:cs="仿宋_GB2312"/>
          <w:sz w:val="32"/>
          <w:szCs w:val="32"/>
          <w:lang w:val="en-US" w:eastAsia="zh-CN"/>
        </w:rPr>
        <w:t xml:space="preserve"> 退休人员的</w:t>
      </w:r>
      <w:r>
        <w:rPr>
          <w:rFonts w:hint="eastAsia" w:ascii="Times New Roman" w:hAnsi="Times New Roman" w:eastAsia="仿宋_GB2312" w:cs="仿宋_GB2312"/>
          <w:sz w:val="32"/>
          <w:szCs w:val="32"/>
          <w:lang w:val="zh-CN" w:eastAsia="zh-CN"/>
        </w:rPr>
        <w:t>公务员医疗补助和补充医疗保险）；“其他卫生健康支出”</w:t>
      </w:r>
      <w:r>
        <w:rPr>
          <w:rFonts w:hint="eastAsia" w:ascii="Times New Roman" w:hAnsi="Times New Roman" w:eastAsia="仿宋_GB2312" w:cs="仿宋_GB2312"/>
          <w:sz w:val="32"/>
          <w:szCs w:val="32"/>
          <w:lang w:val="en-US" w:eastAsia="zh-CN"/>
        </w:rPr>
        <w:t>是财政拨付的2025年干部异地体检费；</w:t>
      </w:r>
      <w:r>
        <w:rPr>
          <w:rFonts w:hint="eastAsia" w:ascii="Times New Roman" w:hAnsi="Times New Roman" w:eastAsia="仿宋_GB2312" w:cs="仿宋_GB2312"/>
          <w:sz w:val="32"/>
          <w:szCs w:val="32"/>
          <w:lang w:val="zh-CN" w:eastAsia="zh-CN"/>
        </w:rPr>
        <w:t>以上为财政拨款收入中的基本支出。而财政拨款收入中的项目支出则是“一般行政管理事务”和“专项业务及机关事务管理”，本年包括“物业管理费”、“招商引资活动经费”</w:t>
      </w:r>
      <w:r>
        <w:rPr>
          <w:rFonts w:hint="eastAsia" w:ascii="Times New Roman" w:hAnsi="Times New Roman" w:eastAsia="仿宋_GB2312" w:cs="仿宋_GB2312"/>
          <w:sz w:val="32"/>
          <w:szCs w:val="32"/>
          <w:lang w:val="en-US" w:eastAsia="zh-CN"/>
        </w:rPr>
        <w:t>、“机关运转项目经费”、“维修维护费”，其中，干休所的“机关运转项目经费”用于离休老干部活动慰问、服务人员劳务及弥补公用支出不足的办公费支出。</w:t>
      </w:r>
    </w:p>
    <w:p w14:paraId="74078A38">
      <w:pPr>
        <w:numPr>
          <w:ilvl w:val="0"/>
          <w:numId w:val="3"/>
        </w:numPr>
        <w:adjustRightInd w:val="0"/>
        <w:snapToGrid w:val="0"/>
        <w:spacing w:line="578" w:lineRule="exact"/>
        <w:ind w:firstLine="643" w:firstLineChars="200"/>
        <w:contextualSpacing/>
        <w:jc w:val="left"/>
        <w:rPr>
          <w:rFonts w:hint="eastAsia"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结余分配和结转结余情况</w:t>
      </w:r>
      <w:r>
        <w:rPr>
          <w:rFonts w:hint="eastAsia" w:eastAsia="楷体_GB2312"/>
          <w:b/>
          <w:bCs/>
          <w:color w:val="000000"/>
          <w:kern w:val="0"/>
          <w:sz w:val="32"/>
          <w:szCs w:val="32"/>
          <w:shd w:val="clear" w:color="auto" w:fill="FFFFFF"/>
          <w:lang w:val="zh-CN"/>
        </w:rPr>
        <w:t>。</w:t>
      </w:r>
    </w:p>
    <w:p w14:paraId="6A11725C">
      <w:pPr>
        <w:numPr>
          <w:ilvl w:val="0"/>
          <w:numId w:val="0"/>
        </w:numPr>
        <w:adjustRightInd w:val="0"/>
        <w:snapToGrid w:val="0"/>
        <w:spacing w:line="578" w:lineRule="exact"/>
        <w:ind w:firstLine="640" w:firstLineChars="200"/>
        <w:contextualSpacing/>
        <w:jc w:val="left"/>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zh-CN" w:eastAsia="zh-CN"/>
        </w:rPr>
        <w:t>1．</w:t>
      </w:r>
      <w:r>
        <w:rPr>
          <w:rFonts w:hint="eastAsia" w:ascii="Times New Roman" w:hAnsi="Times New Roman" w:eastAsia="仿宋_GB2312" w:cs="仿宋_GB2312"/>
          <w:sz w:val="32"/>
          <w:szCs w:val="32"/>
          <w:lang w:val="en-US" w:eastAsia="zh-CN"/>
        </w:rPr>
        <w:t>财政拨款结转和结余</w:t>
      </w:r>
    </w:p>
    <w:p w14:paraId="6ED11809">
      <w:pPr>
        <w:adjustRightInd w:val="0"/>
        <w:snapToGrid w:val="0"/>
        <w:spacing w:line="578" w:lineRule="exact"/>
        <w:ind w:firstLine="640" w:firstLineChars="200"/>
        <w:contextualSpacing/>
        <w:jc w:val="left"/>
        <w:rPr>
          <w:rFonts w:hint="eastAsia"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zh-CN" w:eastAsia="zh-CN"/>
        </w:rPr>
        <w:t>根据报表项目分财政拨款结转结余和非财政拨款结转结余分析年末结转结余总体情况。</w:t>
      </w:r>
    </w:p>
    <w:p w14:paraId="5515855D">
      <w:pPr>
        <w:adjustRightInd w:val="0"/>
        <w:snapToGrid w:val="0"/>
        <w:spacing w:line="578" w:lineRule="exact"/>
        <w:ind w:firstLine="640" w:firstLineChars="200"/>
        <w:contextualSpacing/>
        <w:jc w:val="left"/>
        <w:rPr>
          <w:rFonts w:hint="eastAsia"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zh-CN" w:eastAsia="zh-CN"/>
        </w:rPr>
        <w:t>因</w:t>
      </w:r>
      <w:r>
        <w:rPr>
          <w:rFonts w:hint="eastAsia" w:ascii="Times New Roman" w:hAnsi="Times New Roman" w:eastAsia="仿宋_GB2312" w:cs="仿宋_GB2312"/>
          <w:sz w:val="32"/>
          <w:szCs w:val="32"/>
          <w:lang w:val="en-US" w:eastAsia="zh-CN"/>
        </w:rPr>
        <w:t>2019年1月1日起财政拨款预算单位统一执行政府会计制度，所以原行政单位单列的“资产基金”、“</w:t>
      </w:r>
      <w:r>
        <w:rPr>
          <w:rFonts w:hint="eastAsia" w:ascii="Times New Roman" w:hAnsi="Times New Roman" w:eastAsia="仿宋_GB2312" w:cs="仿宋_GB2312"/>
          <w:sz w:val="32"/>
          <w:szCs w:val="32"/>
          <w:lang w:val="zh-CN" w:eastAsia="zh-CN"/>
        </w:rPr>
        <w:t>其他资金结转结余”和事业单位</w:t>
      </w:r>
      <w:r>
        <w:rPr>
          <w:rFonts w:hint="eastAsia" w:ascii="Times New Roman" w:hAnsi="Times New Roman" w:eastAsia="仿宋_GB2312" w:cs="仿宋_GB2312"/>
          <w:sz w:val="32"/>
          <w:szCs w:val="32"/>
          <w:lang w:val="en-US" w:eastAsia="zh-CN"/>
        </w:rPr>
        <w:t>单列的“非流动资产基金”、“事业基金”、“财政补助结余”、“非财政补助结转”全部转入“</w:t>
      </w:r>
      <w:r>
        <w:rPr>
          <w:rFonts w:hint="eastAsia" w:ascii="Times New Roman" w:hAnsi="Times New Roman" w:eastAsia="仿宋_GB2312" w:cs="仿宋_GB2312"/>
          <w:sz w:val="32"/>
          <w:szCs w:val="32"/>
          <w:lang w:val="zh-CN" w:eastAsia="zh-CN"/>
        </w:rPr>
        <w:t>累计盈余”中核算。</w:t>
      </w:r>
    </w:p>
    <w:p w14:paraId="0D81DF30">
      <w:pPr>
        <w:adjustRightInd w:val="0"/>
        <w:snapToGrid w:val="0"/>
        <w:spacing w:line="578" w:lineRule="exact"/>
        <w:ind w:firstLine="640" w:firstLineChars="200"/>
        <w:contextualSpacing/>
        <w:jc w:val="left"/>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①“</w:t>
      </w:r>
      <w:r>
        <w:rPr>
          <w:rFonts w:hint="eastAsia" w:ascii="Times New Roman" w:hAnsi="Times New Roman" w:eastAsia="仿宋_GB2312" w:cs="仿宋_GB2312"/>
          <w:sz w:val="32"/>
          <w:szCs w:val="32"/>
          <w:lang w:val="zh-CN" w:eastAsia="zh-CN"/>
        </w:rPr>
        <w:t>累计盈余”中的</w:t>
      </w:r>
      <w:r>
        <w:rPr>
          <w:rFonts w:hint="eastAsia" w:ascii="Times New Roman" w:hAnsi="Times New Roman" w:eastAsia="仿宋_GB2312" w:cs="仿宋_GB2312"/>
          <w:sz w:val="32"/>
          <w:szCs w:val="32"/>
          <w:lang w:val="en-US" w:eastAsia="zh-CN"/>
        </w:rPr>
        <w:t>“资产基金”和“非流动资产基金”是</w:t>
      </w:r>
      <w:r>
        <w:rPr>
          <w:rFonts w:hint="eastAsia" w:ascii="Times New Roman" w:hAnsi="Times New Roman" w:eastAsia="仿宋_GB2312" w:cs="仿宋_GB2312"/>
          <w:sz w:val="32"/>
          <w:szCs w:val="32"/>
          <w:lang w:val="zh-CN" w:eastAsia="zh-CN"/>
        </w:rPr>
        <w:t>由行政单位和事业单位的固定资产和无形资产净值构成的；</w:t>
      </w:r>
    </w:p>
    <w:p w14:paraId="4AA2F2E0">
      <w:pPr>
        <w:adjustRightInd w:val="0"/>
        <w:snapToGrid w:val="0"/>
        <w:spacing w:line="578" w:lineRule="exact"/>
        <w:ind w:firstLine="640" w:firstLineChars="200"/>
        <w:contextualSpacing/>
        <w:jc w:val="left"/>
        <w:rPr>
          <w:rFonts w:hint="eastAsia"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zh-CN" w:eastAsia="zh-CN"/>
        </w:rPr>
        <w:t>（2）分单位结转和结余情况。</w:t>
      </w:r>
    </w:p>
    <w:p w14:paraId="6C82412C">
      <w:pPr>
        <w:adjustRightInd w:val="0"/>
        <w:snapToGrid w:val="0"/>
        <w:spacing w:line="578" w:lineRule="exact"/>
        <w:ind w:firstLine="640" w:firstLineChars="200"/>
        <w:contextualSpacing/>
        <w:jc w:val="left"/>
        <w:rPr>
          <w:rFonts w:hint="eastAsia"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en-US" w:eastAsia="zh-CN"/>
        </w:rPr>
        <w:t>①成办</w:t>
      </w:r>
      <w:r>
        <w:rPr>
          <w:rFonts w:hint="eastAsia" w:ascii="Times New Roman" w:hAnsi="Times New Roman" w:eastAsia="仿宋_GB2312" w:cs="仿宋_GB2312"/>
          <w:sz w:val="32"/>
          <w:szCs w:val="32"/>
          <w:lang w:val="zh-CN" w:eastAsia="zh-CN"/>
        </w:rPr>
        <w:t>决算报表中“累计盈余”是由“</w:t>
      </w:r>
      <w:r>
        <w:rPr>
          <w:rFonts w:hint="eastAsia" w:ascii="Times New Roman" w:hAnsi="Times New Roman" w:eastAsia="仿宋_GB2312" w:cs="仿宋_GB2312"/>
          <w:sz w:val="32"/>
          <w:szCs w:val="32"/>
          <w:lang w:val="en-US" w:eastAsia="zh-CN"/>
        </w:rPr>
        <w:t>资产基金”</w:t>
      </w:r>
      <w:r>
        <w:rPr>
          <w:rFonts w:hint="eastAsia" w:ascii="Times New Roman" w:hAnsi="Times New Roman" w:eastAsia="仿宋_GB2312" w:cs="仿宋_GB2312"/>
          <w:sz w:val="32"/>
          <w:szCs w:val="32"/>
          <w:lang w:val="zh-CN" w:eastAsia="zh-CN"/>
        </w:rPr>
        <w:t>构成的。</w:t>
      </w:r>
    </w:p>
    <w:p w14:paraId="049674A5">
      <w:pPr>
        <w:adjustRightInd w:val="0"/>
        <w:snapToGrid w:val="0"/>
        <w:spacing w:line="578" w:lineRule="exact"/>
        <w:ind w:firstLine="640" w:firstLineChars="200"/>
        <w:contextualSpacing/>
        <w:jc w:val="left"/>
        <w:rPr>
          <w:rFonts w:hint="eastAsia"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en-US" w:eastAsia="zh-CN"/>
        </w:rPr>
        <w:t>②干休所</w:t>
      </w:r>
      <w:r>
        <w:rPr>
          <w:rFonts w:hint="eastAsia" w:ascii="Times New Roman" w:hAnsi="Times New Roman" w:eastAsia="仿宋_GB2312" w:cs="仿宋_GB2312"/>
          <w:sz w:val="32"/>
          <w:szCs w:val="32"/>
          <w:lang w:val="zh-CN" w:eastAsia="zh-CN"/>
        </w:rPr>
        <w:t>决算报表中“累计盈余”是由固定资产和无形资产净值</w:t>
      </w:r>
      <w:r>
        <w:rPr>
          <w:rFonts w:hint="eastAsia" w:ascii="Times New Roman" w:hAnsi="Times New Roman" w:eastAsia="仿宋_GB2312" w:cs="仿宋_GB2312"/>
          <w:sz w:val="32"/>
          <w:szCs w:val="32"/>
          <w:lang w:val="en-US" w:eastAsia="zh-CN"/>
        </w:rPr>
        <w:t>构成</w:t>
      </w:r>
      <w:r>
        <w:rPr>
          <w:rFonts w:hint="eastAsia" w:ascii="Times New Roman" w:hAnsi="Times New Roman" w:eastAsia="仿宋_GB2312" w:cs="仿宋_GB2312"/>
          <w:sz w:val="32"/>
          <w:szCs w:val="32"/>
          <w:lang w:val="zh-CN" w:eastAsia="zh-CN"/>
        </w:rPr>
        <w:t>的</w:t>
      </w:r>
      <w:r>
        <w:rPr>
          <w:rFonts w:hint="eastAsia" w:ascii="Times New Roman" w:hAnsi="Times New Roman" w:eastAsia="仿宋_GB2312" w:cs="仿宋_GB2312"/>
          <w:sz w:val="32"/>
          <w:szCs w:val="32"/>
          <w:lang w:val="en-US" w:eastAsia="zh-CN"/>
        </w:rPr>
        <w:t>“非流动资产基金”</w:t>
      </w:r>
      <w:r>
        <w:rPr>
          <w:rFonts w:hint="eastAsia" w:ascii="Times New Roman" w:hAnsi="Times New Roman" w:eastAsia="仿宋_GB2312" w:cs="仿宋_GB2312"/>
          <w:sz w:val="32"/>
          <w:szCs w:val="32"/>
          <w:lang w:val="zh-CN" w:eastAsia="zh-CN"/>
        </w:rPr>
        <w:t>。</w:t>
      </w:r>
    </w:p>
    <w:p w14:paraId="70D1AED3">
      <w:pPr>
        <w:adjustRightInd w:val="0"/>
        <w:snapToGrid w:val="0"/>
        <w:spacing w:line="578" w:lineRule="exact"/>
        <w:ind w:firstLine="640" w:firstLineChars="200"/>
        <w:contextualSpacing/>
        <w:jc w:val="left"/>
        <w:rPr>
          <w:rFonts w:hint="eastAsia"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en-US" w:eastAsia="zh-CN"/>
        </w:rPr>
        <w:t>③服务中心</w:t>
      </w:r>
      <w:r>
        <w:rPr>
          <w:rFonts w:hint="eastAsia" w:ascii="Times New Roman" w:hAnsi="Times New Roman" w:eastAsia="仿宋_GB2312" w:cs="仿宋_GB2312"/>
          <w:sz w:val="32"/>
          <w:szCs w:val="32"/>
          <w:lang w:val="zh-CN" w:eastAsia="zh-CN"/>
        </w:rPr>
        <w:t>决算报表中“累计盈余”就是</w:t>
      </w:r>
      <w:r>
        <w:rPr>
          <w:rFonts w:hint="eastAsia" w:ascii="Times New Roman" w:hAnsi="Times New Roman" w:eastAsia="仿宋_GB2312" w:cs="仿宋_GB2312"/>
          <w:sz w:val="32"/>
          <w:szCs w:val="32"/>
          <w:lang w:val="en-US" w:eastAsia="zh-CN"/>
        </w:rPr>
        <w:t>“非流动资产基金”-</w:t>
      </w:r>
      <w:r>
        <w:rPr>
          <w:rFonts w:hint="eastAsia" w:ascii="Times New Roman" w:hAnsi="Times New Roman" w:eastAsia="仿宋_GB2312" w:cs="仿宋_GB2312"/>
          <w:sz w:val="32"/>
          <w:szCs w:val="32"/>
          <w:lang w:val="zh-CN" w:eastAsia="zh-CN"/>
        </w:rPr>
        <w:t>固定资产和无形资产的净值。</w:t>
      </w:r>
    </w:p>
    <w:p w14:paraId="09669CDC">
      <w:pPr>
        <w:adjustRightInd w:val="0"/>
        <w:snapToGrid w:val="0"/>
        <w:spacing w:line="578" w:lineRule="exact"/>
        <w:ind w:firstLine="640" w:firstLineChars="200"/>
        <w:contextualSpacing/>
        <w:jc w:val="left"/>
        <w:rPr>
          <w:rFonts w:hint="eastAsia"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en-US" w:eastAsia="zh-CN"/>
        </w:rPr>
        <w:t>2.非财政拨款结转和结余：无结转和结余</w:t>
      </w:r>
    </w:p>
    <w:p w14:paraId="7BC53348">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三、部门预算绩效分析</w:t>
      </w:r>
    </w:p>
    <w:p w14:paraId="15100030">
      <w:pPr>
        <w:spacing w:line="600" w:lineRule="exact"/>
        <w:ind w:firstLine="640"/>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p>
    <w:p w14:paraId="41B7C721">
      <w:pPr>
        <w:adjustRightInd w:val="0"/>
        <w:snapToGrid w:val="0"/>
        <w:spacing w:line="578" w:lineRule="exact"/>
        <w:ind w:firstLine="640" w:firstLineChars="200"/>
        <w:contextualSpacing/>
        <w:jc w:val="left"/>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包括单位绩效目标制定、目标完成、预算编制准确、支出控制、预算动态调整、执行进度、预算完成情况和违规记录等情况。</w:t>
      </w:r>
    </w:p>
    <w:p w14:paraId="64191D8D">
      <w:pPr>
        <w:adjustRightInd w:val="0"/>
        <w:snapToGrid w:val="0"/>
        <w:spacing w:line="578" w:lineRule="exact"/>
        <w:ind w:firstLine="640" w:firstLineChars="200"/>
        <w:contextualSpacing/>
        <w:jc w:val="left"/>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编制的支出预算，首先保证单位履行基本职能所需要的人员经费和公用经费，然后才支付其他弹性支出和专项支出，但严格控制支出数额和范围。</w:t>
      </w:r>
    </w:p>
    <w:p w14:paraId="7B51FC68">
      <w:pPr>
        <w:adjustRightInd w:val="0"/>
        <w:snapToGrid w:val="0"/>
        <w:spacing w:line="578" w:lineRule="exact"/>
        <w:ind w:firstLine="640" w:firstLineChars="200"/>
        <w:contextualSpacing/>
        <w:jc w:val="left"/>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支出预算包括：人员支出、日常公用支出、项目支出。人员支出预算的编制严格按照国家政策规定和标准，逐项核定，没有政策规定的项目，不得列入预算；日常公用支出预算的编制本着节约、从俭的原则编报；项目支出预算的编制紧密结合本单位当年主要职责任务、工作目标及事业发展设想，并充分考虑财政的承受能力，本着实事求是、从严从紧、区别轻重缓急，急事优先的原则按序安排支出事项。</w:t>
      </w:r>
    </w:p>
    <w:p w14:paraId="6060FFE2">
      <w:pPr>
        <w:adjustRightInd w:val="0"/>
        <w:snapToGrid w:val="0"/>
        <w:spacing w:line="578" w:lineRule="exact"/>
        <w:ind w:firstLine="640" w:firstLineChars="200"/>
        <w:contextualSpacing/>
        <w:jc w:val="left"/>
        <w:rPr>
          <w:rFonts w:hint="default" w:ascii="Times New Roman" w:hAnsi="Times New Roman" w:eastAsia="仿宋_GB2312" w:cs="仿宋_GB2312"/>
          <w:sz w:val="32"/>
          <w:szCs w:val="32"/>
          <w:lang w:val="en-US" w:eastAsia="zh-CN"/>
        </w:rPr>
      </w:pPr>
    </w:p>
    <w:p w14:paraId="51CF3D36">
      <w:pPr>
        <w:adjustRightInd w:val="0"/>
        <w:snapToGrid w:val="0"/>
        <w:spacing w:line="578" w:lineRule="exact"/>
        <w:ind w:firstLine="640" w:firstLineChars="200"/>
        <w:contextualSpacing/>
        <w:jc w:val="left"/>
        <w:rPr>
          <w:rFonts w:hint="eastAsia" w:ascii="Times New Roman" w:hAnsi="Times New Roman" w:eastAsia="仿宋_GB2312" w:cs="仿宋_GB2312"/>
          <w:sz w:val="32"/>
          <w:szCs w:val="32"/>
          <w:lang w:val="zh-CN" w:eastAsia="zh-CN"/>
        </w:rPr>
      </w:pPr>
    </w:p>
    <w:p w14:paraId="195D18CA">
      <w:pPr>
        <w:numPr>
          <w:ilvl w:val="0"/>
          <w:numId w:val="0"/>
        </w:numPr>
        <w:adjustRightInd w:val="0"/>
        <w:snapToGrid w:val="0"/>
        <w:spacing w:line="578" w:lineRule="exact"/>
        <w:ind w:firstLine="643" w:firstLineChars="200"/>
        <w:contextualSpacing/>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部门预算项目绩效分析。</w:t>
      </w:r>
    </w:p>
    <w:tbl>
      <w:tblPr>
        <w:tblStyle w:val="16"/>
        <w:tblW w:w="8660" w:type="dxa"/>
        <w:tblInd w:w="0" w:type="dxa"/>
        <w:tblLayout w:type="fixed"/>
        <w:tblCellMar>
          <w:top w:w="0" w:type="dxa"/>
          <w:left w:w="0" w:type="dxa"/>
          <w:bottom w:w="0" w:type="dxa"/>
          <w:right w:w="0" w:type="dxa"/>
        </w:tblCellMar>
      </w:tblPr>
      <w:tblGrid>
        <w:gridCol w:w="468"/>
        <w:gridCol w:w="1135"/>
        <w:gridCol w:w="1077"/>
        <w:gridCol w:w="1183"/>
        <w:gridCol w:w="367"/>
        <w:gridCol w:w="4430"/>
      </w:tblGrid>
      <w:tr w14:paraId="246BB684">
        <w:tblPrEx>
          <w:tblCellMar>
            <w:top w:w="0" w:type="dxa"/>
            <w:left w:w="0" w:type="dxa"/>
            <w:bottom w:w="0" w:type="dxa"/>
            <w:right w:w="0" w:type="dxa"/>
          </w:tblCellMar>
        </w:tblPrEx>
        <w:trPr>
          <w:trHeight w:val="432" w:hRule="atLeast"/>
        </w:trPr>
        <w:tc>
          <w:tcPr>
            <w:tcW w:w="8660" w:type="dxa"/>
            <w:gridSpan w:val="6"/>
            <w:vMerge w:val="restart"/>
            <w:tcBorders>
              <w:top w:val="nil"/>
              <w:left w:val="nil"/>
              <w:bottom w:val="nil"/>
              <w:right w:val="nil"/>
            </w:tcBorders>
            <w:noWrap/>
            <w:tcMar>
              <w:top w:w="15" w:type="dxa"/>
              <w:left w:w="15" w:type="dxa"/>
              <w:right w:w="15" w:type="dxa"/>
            </w:tcMar>
            <w:vAlign w:val="center"/>
          </w:tcPr>
          <w:p w14:paraId="30EA7F8C">
            <w:pPr>
              <w:adjustRightInd w:val="0"/>
              <w:snapToGrid w:val="0"/>
              <w:spacing w:line="578" w:lineRule="exact"/>
              <w:ind w:firstLine="640" w:firstLineChars="200"/>
              <w:contextualSpacing/>
              <w:jc w:val="left"/>
              <w:rPr>
                <w:rFonts w:hint="eastAsia" w:ascii="宋体" w:hAnsi="宋体" w:eastAsia="宋体" w:cs="宋体"/>
                <w:b/>
                <w:i w:val="0"/>
                <w:color w:val="000000"/>
                <w:sz w:val="32"/>
                <w:szCs w:val="32"/>
                <w:u w:val="none"/>
              </w:rPr>
            </w:pPr>
            <w:r>
              <w:rPr>
                <w:rFonts w:hint="eastAsia" w:ascii="Times New Roman" w:hAnsi="Times New Roman" w:eastAsia="仿宋_GB2312" w:cs="仿宋_GB2312"/>
                <w:sz w:val="32"/>
                <w:szCs w:val="32"/>
                <w:lang w:val="en-US" w:eastAsia="zh-CN"/>
              </w:rPr>
              <w:t>1、根据预算绩效管理要求，本部门（单位）年终执行完毕后，“物业管理费”、“招商引资活动经费”、“机关运转项目经费”、“维修维护费”等4个项目开展了绩效目标完成情况自评，具体如下：</w:t>
            </w:r>
          </w:p>
        </w:tc>
      </w:tr>
      <w:tr w14:paraId="2AFAF465">
        <w:tblPrEx>
          <w:tblCellMar>
            <w:top w:w="0" w:type="dxa"/>
            <w:left w:w="0" w:type="dxa"/>
            <w:bottom w:w="0" w:type="dxa"/>
            <w:right w:w="0" w:type="dxa"/>
          </w:tblCellMar>
        </w:tblPrEx>
        <w:trPr>
          <w:trHeight w:val="529" w:hRule="atLeast"/>
        </w:trPr>
        <w:tc>
          <w:tcPr>
            <w:tcW w:w="8660" w:type="dxa"/>
            <w:gridSpan w:val="6"/>
            <w:vMerge w:val="continue"/>
            <w:tcBorders>
              <w:top w:val="nil"/>
              <w:left w:val="nil"/>
              <w:bottom w:val="nil"/>
              <w:right w:val="nil"/>
            </w:tcBorders>
            <w:noWrap/>
            <w:tcMar>
              <w:top w:w="15" w:type="dxa"/>
              <w:left w:w="15" w:type="dxa"/>
              <w:right w:w="15" w:type="dxa"/>
            </w:tcMar>
            <w:vAlign w:val="center"/>
          </w:tcPr>
          <w:p w14:paraId="1A5F2E07">
            <w:pPr>
              <w:jc w:val="center"/>
              <w:rPr>
                <w:rFonts w:hint="eastAsia" w:ascii="宋体" w:hAnsi="宋体" w:eastAsia="宋体" w:cs="宋体"/>
                <w:b/>
                <w:i w:val="0"/>
                <w:color w:val="000000"/>
                <w:sz w:val="32"/>
                <w:szCs w:val="32"/>
                <w:u w:val="none"/>
              </w:rPr>
            </w:pPr>
          </w:p>
        </w:tc>
      </w:tr>
      <w:tr w14:paraId="15DD9F49">
        <w:tblPrEx>
          <w:tblCellMar>
            <w:top w:w="0" w:type="dxa"/>
            <w:left w:w="0" w:type="dxa"/>
            <w:bottom w:w="0" w:type="dxa"/>
            <w:right w:w="0" w:type="dxa"/>
          </w:tblCellMar>
        </w:tblPrEx>
        <w:trPr>
          <w:trHeight w:val="432" w:hRule="atLeast"/>
        </w:trPr>
        <w:tc>
          <w:tcPr>
            <w:tcW w:w="8660" w:type="dxa"/>
            <w:gridSpan w:val="6"/>
            <w:vMerge w:val="restart"/>
            <w:tcBorders>
              <w:top w:val="nil"/>
              <w:left w:val="nil"/>
              <w:bottom w:val="nil"/>
              <w:right w:val="nil"/>
            </w:tcBorders>
            <w:noWrap/>
            <w:tcMar>
              <w:top w:w="15" w:type="dxa"/>
              <w:left w:w="15" w:type="dxa"/>
              <w:right w:w="15" w:type="dxa"/>
            </w:tcMar>
            <w:vAlign w:val="center"/>
          </w:tcPr>
          <w:p w14:paraId="04717B10">
            <w:pPr>
              <w:adjustRightInd w:val="0"/>
              <w:snapToGrid w:val="0"/>
              <w:spacing w:line="578" w:lineRule="exact"/>
              <w:ind w:firstLine="640" w:firstLineChars="200"/>
              <w:contextualSpacing/>
              <w:jc w:val="left"/>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①信访维稳及招商引资活动经费8万元，用于助推攀枝花经济的发展。</w:t>
            </w:r>
          </w:p>
          <w:p w14:paraId="334AE6C7">
            <w:pPr>
              <w:keepNext w:val="0"/>
              <w:keepLines w:val="0"/>
              <w:pageBreakBefore w:val="0"/>
              <w:widowControl w:val="0"/>
              <w:kinsoku/>
              <w:wordWrap/>
              <w:overflowPunct/>
              <w:topLinePunct w:val="0"/>
              <w:autoSpaceDE/>
              <w:autoSpaceDN/>
              <w:bidi w:val="0"/>
              <w:adjustRightInd/>
              <w:snapToGrid w:val="0"/>
              <w:spacing w:line="520" w:lineRule="exact"/>
              <w:ind w:firstLine="1920" w:firstLineChars="600"/>
              <w:textAlignment w:val="auto"/>
              <w:rPr>
                <w:rFonts w:hint="eastAsia" w:ascii="宋体" w:hAnsi="宋体" w:eastAsia="宋体" w:cs="宋体"/>
                <w:b/>
                <w:i w:val="0"/>
                <w:color w:val="000000"/>
                <w:sz w:val="32"/>
                <w:szCs w:val="32"/>
                <w:u w:val="none"/>
              </w:rPr>
            </w:pPr>
            <w:r>
              <w:rPr>
                <w:rFonts w:hint="eastAsia" w:ascii="仿宋_GB2312" w:hAnsi="仿宋_GB2312" w:eastAsia="仿宋_GB2312" w:cs="仿宋_GB2312"/>
                <w:b w:val="0"/>
                <w:bCs/>
                <w:i w:val="0"/>
                <w:color w:val="000000"/>
                <w:kern w:val="0"/>
                <w:sz w:val="32"/>
                <w:szCs w:val="32"/>
                <w:u w:val="none"/>
                <w:lang w:val="en-US" w:eastAsia="zh-CN" w:bidi="ar"/>
              </w:rPr>
              <w:t>部门（单位）预算项目支出绩效目标表</w:t>
            </w:r>
          </w:p>
        </w:tc>
      </w:tr>
      <w:tr w14:paraId="346E9D79">
        <w:tblPrEx>
          <w:tblCellMar>
            <w:top w:w="0" w:type="dxa"/>
            <w:left w:w="0" w:type="dxa"/>
            <w:bottom w:w="0" w:type="dxa"/>
            <w:right w:w="0" w:type="dxa"/>
          </w:tblCellMar>
        </w:tblPrEx>
        <w:trPr>
          <w:trHeight w:val="529" w:hRule="atLeast"/>
        </w:trPr>
        <w:tc>
          <w:tcPr>
            <w:tcW w:w="8660" w:type="dxa"/>
            <w:gridSpan w:val="6"/>
            <w:vMerge w:val="continue"/>
            <w:tcBorders>
              <w:top w:val="nil"/>
              <w:left w:val="nil"/>
              <w:bottom w:val="nil"/>
              <w:right w:val="nil"/>
            </w:tcBorders>
            <w:noWrap/>
            <w:tcMar>
              <w:top w:w="15" w:type="dxa"/>
              <w:left w:w="15" w:type="dxa"/>
              <w:right w:w="15" w:type="dxa"/>
            </w:tcMar>
            <w:vAlign w:val="center"/>
          </w:tcPr>
          <w:p w14:paraId="56993A16">
            <w:pPr>
              <w:jc w:val="center"/>
              <w:rPr>
                <w:rFonts w:hint="eastAsia" w:ascii="宋体" w:hAnsi="宋体" w:eastAsia="宋体" w:cs="宋体"/>
                <w:b/>
                <w:i w:val="0"/>
                <w:color w:val="000000"/>
                <w:sz w:val="32"/>
                <w:szCs w:val="32"/>
                <w:u w:val="none"/>
              </w:rPr>
            </w:pPr>
          </w:p>
        </w:tc>
      </w:tr>
      <w:tr w14:paraId="76D45783">
        <w:tblPrEx>
          <w:tblCellMar>
            <w:top w:w="0" w:type="dxa"/>
            <w:left w:w="0" w:type="dxa"/>
            <w:bottom w:w="0" w:type="dxa"/>
            <w:right w:w="0" w:type="dxa"/>
          </w:tblCellMar>
        </w:tblPrEx>
        <w:trPr>
          <w:trHeight w:val="460" w:hRule="atLeast"/>
        </w:trPr>
        <w:tc>
          <w:tcPr>
            <w:tcW w:w="8660" w:type="dxa"/>
            <w:gridSpan w:val="6"/>
            <w:tcBorders>
              <w:top w:val="nil"/>
              <w:left w:val="nil"/>
              <w:bottom w:val="nil"/>
              <w:right w:val="nil"/>
            </w:tcBorders>
            <w:noWrap/>
            <w:tcMar>
              <w:top w:w="15" w:type="dxa"/>
              <w:left w:w="15" w:type="dxa"/>
              <w:right w:w="15" w:type="dxa"/>
            </w:tcMar>
            <w:vAlign w:val="center"/>
          </w:tcPr>
          <w:p w14:paraId="3BC6FD28">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(2025年度)</w:t>
            </w:r>
          </w:p>
          <w:tbl>
            <w:tblPr>
              <w:tblStyle w:val="16"/>
              <w:tblW w:w="8979" w:type="dxa"/>
              <w:tblInd w:w="0" w:type="dxa"/>
              <w:tblLayout w:type="fixed"/>
              <w:tblCellMar>
                <w:top w:w="0" w:type="dxa"/>
                <w:left w:w="0" w:type="dxa"/>
                <w:bottom w:w="0" w:type="dxa"/>
                <w:right w:w="0" w:type="dxa"/>
              </w:tblCellMar>
            </w:tblPr>
            <w:tblGrid>
              <w:gridCol w:w="448"/>
              <w:gridCol w:w="874"/>
              <w:gridCol w:w="1140"/>
              <w:gridCol w:w="1335"/>
              <w:gridCol w:w="66"/>
              <w:gridCol w:w="5116"/>
            </w:tblGrid>
            <w:tr w14:paraId="3DC00E08">
              <w:tblPrEx>
                <w:tblCellMar>
                  <w:top w:w="0" w:type="dxa"/>
                  <w:left w:w="0" w:type="dxa"/>
                  <w:bottom w:w="0" w:type="dxa"/>
                  <w:right w:w="0" w:type="dxa"/>
                </w:tblCellMar>
              </w:tblPrEx>
              <w:trPr>
                <w:trHeight w:val="743" w:hRule="atLeast"/>
              </w:trPr>
              <w:tc>
                <w:tcPr>
                  <w:tcW w:w="44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3DD500">
                  <w:pPr>
                    <w:keepNext w:val="0"/>
                    <w:keepLines w:val="0"/>
                    <w:widowControl/>
                    <w:suppressLineNumbers w:val="0"/>
                    <w:spacing w:line="40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项目名称</w:t>
                  </w:r>
                </w:p>
              </w:tc>
              <w:tc>
                <w:tcPr>
                  <w:tcW w:w="8531"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3CF47B">
                  <w:pPr>
                    <w:keepNext w:val="0"/>
                    <w:keepLines w:val="0"/>
                    <w:widowControl/>
                    <w:suppressLineNumbers w:val="0"/>
                    <w:spacing w:line="40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信访维稳及招商引资活动经费</w:t>
                  </w:r>
                </w:p>
              </w:tc>
            </w:tr>
            <w:tr w14:paraId="7F3F6CA8">
              <w:tblPrEx>
                <w:tblCellMar>
                  <w:top w:w="0" w:type="dxa"/>
                  <w:left w:w="0" w:type="dxa"/>
                  <w:bottom w:w="0" w:type="dxa"/>
                  <w:right w:w="0" w:type="dxa"/>
                </w:tblCellMar>
              </w:tblPrEx>
              <w:trPr>
                <w:trHeight w:val="316" w:hRule="atLeast"/>
              </w:trPr>
              <w:tc>
                <w:tcPr>
                  <w:tcW w:w="448" w:type="dxa"/>
                  <w:tcBorders>
                    <w:top w:val="single" w:color="000000" w:sz="4" w:space="0"/>
                    <w:left w:val="single" w:color="000000" w:sz="4" w:space="0"/>
                    <w:bottom w:val="nil"/>
                    <w:right w:val="single" w:color="000000" w:sz="4" w:space="0"/>
                  </w:tcBorders>
                  <w:noWrap/>
                  <w:tcMar>
                    <w:top w:w="15" w:type="dxa"/>
                    <w:left w:w="15" w:type="dxa"/>
                    <w:right w:w="15" w:type="dxa"/>
                  </w:tcMar>
                  <w:vAlign w:val="center"/>
                </w:tcPr>
                <w:p w14:paraId="6957C248">
                  <w:pPr>
                    <w:keepNext w:val="0"/>
                    <w:keepLines w:val="0"/>
                    <w:widowControl/>
                    <w:suppressLineNumbers w:val="0"/>
                    <w:spacing w:line="40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w:t>
                  </w:r>
                </w:p>
              </w:tc>
              <w:tc>
                <w:tcPr>
                  <w:tcW w:w="8531"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0EECF5">
                  <w:pPr>
                    <w:keepNext w:val="0"/>
                    <w:keepLines w:val="0"/>
                    <w:widowControl/>
                    <w:suppressLineNumbers w:val="0"/>
                    <w:spacing w:line="40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攀枝花市人民政府驻成都办事处</w:t>
                  </w:r>
                </w:p>
              </w:tc>
            </w:tr>
            <w:tr w14:paraId="13C86802">
              <w:tblPrEx>
                <w:tblCellMar>
                  <w:top w:w="0" w:type="dxa"/>
                  <w:left w:w="0" w:type="dxa"/>
                  <w:bottom w:w="0" w:type="dxa"/>
                  <w:right w:w="0" w:type="dxa"/>
                </w:tblCellMar>
              </w:tblPrEx>
              <w:trPr>
                <w:trHeight w:val="320" w:hRule="atLeast"/>
              </w:trPr>
              <w:tc>
                <w:tcPr>
                  <w:tcW w:w="44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87936C">
                  <w:pPr>
                    <w:keepNext w:val="0"/>
                    <w:keepLines w:val="0"/>
                    <w:widowControl/>
                    <w:suppressLineNumbers w:val="0"/>
                    <w:spacing w:line="40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项目资金</w:t>
                  </w:r>
                </w:p>
              </w:tc>
              <w:tc>
                <w:tcPr>
                  <w:tcW w:w="3415"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7F7EC7">
                  <w:pPr>
                    <w:keepNext w:val="0"/>
                    <w:keepLines w:val="0"/>
                    <w:widowControl/>
                    <w:suppressLineNumbers w:val="0"/>
                    <w:spacing w:line="40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年度资金总额</w:t>
                  </w:r>
                </w:p>
              </w:tc>
              <w:tc>
                <w:tcPr>
                  <w:tcW w:w="511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483F4D">
                  <w:pPr>
                    <w:keepNext w:val="0"/>
                    <w:keepLines w:val="0"/>
                    <w:widowControl/>
                    <w:suppressLineNumbers w:val="0"/>
                    <w:spacing w:line="40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8万元</w:t>
                  </w:r>
                </w:p>
              </w:tc>
            </w:tr>
            <w:tr w14:paraId="7C3F0C92">
              <w:tblPrEx>
                <w:tblCellMar>
                  <w:top w:w="0" w:type="dxa"/>
                  <w:left w:w="0" w:type="dxa"/>
                  <w:bottom w:w="0" w:type="dxa"/>
                  <w:right w:w="0" w:type="dxa"/>
                </w:tblCellMar>
              </w:tblPrEx>
              <w:trPr>
                <w:trHeight w:val="390" w:hRule="atLeast"/>
              </w:trPr>
              <w:tc>
                <w:tcPr>
                  <w:tcW w:w="44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D6A3A7">
                  <w:pPr>
                    <w:spacing w:line="400" w:lineRule="exact"/>
                    <w:jc w:val="center"/>
                    <w:rPr>
                      <w:rFonts w:hint="eastAsia" w:ascii="宋体" w:hAnsi="宋体" w:eastAsia="宋体" w:cs="宋体"/>
                      <w:i w:val="0"/>
                      <w:color w:val="000000"/>
                      <w:sz w:val="18"/>
                      <w:szCs w:val="18"/>
                      <w:u w:val="none"/>
                    </w:rPr>
                  </w:pPr>
                </w:p>
              </w:tc>
              <w:tc>
                <w:tcPr>
                  <w:tcW w:w="3415"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5322C2">
                  <w:pPr>
                    <w:keepNext w:val="0"/>
                    <w:keepLines w:val="0"/>
                    <w:widowControl/>
                    <w:suppressLineNumbers w:val="0"/>
                    <w:spacing w:line="40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其中：财政拨款</w:t>
                  </w:r>
                </w:p>
              </w:tc>
              <w:tc>
                <w:tcPr>
                  <w:tcW w:w="511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6DEF2B">
                  <w:pPr>
                    <w:keepNext w:val="0"/>
                    <w:keepLines w:val="0"/>
                    <w:widowControl/>
                    <w:suppressLineNumbers w:val="0"/>
                    <w:spacing w:line="40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8万元</w:t>
                  </w:r>
                </w:p>
              </w:tc>
            </w:tr>
            <w:tr w14:paraId="260B68AA">
              <w:tblPrEx>
                <w:tblCellMar>
                  <w:top w:w="0" w:type="dxa"/>
                  <w:left w:w="0" w:type="dxa"/>
                  <w:bottom w:w="0" w:type="dxa"/>
                  <w:right w:w="0" w:type="dxa"/>
                </w:tblCellMar>
              </w:tblPrEx>
              <w:trPr>
                <w:trHeight w:val="2205" w:hRule="atLeast"/>
              </w:trPr>
              <w:tc>
                <w:tcPr>
                  <w:tcW w:w="448" w:type="dxa"/>
                  <w:tcBorders>
                    <w:top w:val="nil"/>
                    <w:left w:val="single" w:color="000000" w:sz="4" w:space="0"/>
                    <w:bottom w:val="single" w:color="000000" w:sz="4" w:space="0"/>
                    <w:right w:val="nil"/>
                  </w:tcBorders>
                  <w:noWrap w:val="0"/>
                  <w:tcMar>
                    <w:top w:w="15" w:type="dxa"/>
                    <w:left w:w="15" w:type="dxa"/>
                    <w:right w:w="15" w:type="dxa"/>
                  </w:tcMar>
                  <w:vAlign w:val="center"/>
                </w:tcPr>
                <w:p w14:paraId="3EA16E55">
                  <w:pPr>
                    <w:keepNext w:val="0"/>
                    <w:keepLines w:val="0"/>
                    <w:widowControl/>
                    <w:suppressLineNumbers w:val="0"/>
                    <w:spacing w:line="40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总体目标</w:t>
                  </w:r>
                </w:p>
              </w:tc>
              <w:tc>
                <w:tcPr>
                  <w:tcW w:w="8531"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D2E8AF4">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充分利用地处成都的地域优势，主动作为，立足攀枝花实际，积极对外宣传攀枝花，展示攀枝花形象，</w:t>
                  </w:r>
                </w:p>
                <w:p w14:paraId="6D4C8FCF">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推介攀枝花发展项目。2025年工作目标安排：1.深化从严治党，强化党风政风建设。健全内部管理制度</w:t>
                  </w:r>
                </w:p>
                <w:p w14:paraId="510E6343">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和流程体系，狠抓干部队伍建设，明确工作职责和任务分工，强化团队协作沟通，严格考评奖惩机制，</w:t>
                  </w:r>
                </w:p>
                <w:p w14:paraId="68265722">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确保工作高效运转。2.积极主动对接，发挥驻蓉区位优势。聚集我办身处省会城市的地理人脉优势，</w:t>
                  </w:r>
                </w:p>
                <w:p w14:paraId="3CE37816">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主动收集“成渝贵昆”外圈和省委省政府的政策理论、先进信息和经验做法和重大招商引资项目信息</w:t>
                  </w:r>
                </w:p>
                <w:p w14:paraId="68B78AAD">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，为攀枝化构建现代化产业体系推动经济社会发展牵线搭桥。3.整合资源力量，发挥对外宣传作用。</w:t>
                  </w:r>
                </w:p>
                <w:p w14:paraId="44598E9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强化与省级机关、成都、重庆的联系，积极配合市级各部门做好向上争取政策、项目、资金等工作。</w:t>
                  </w:r>
                </w:p>
                <w:p w14:paraId="26589FE7">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大力宣传我市资源优势和产业特色，吸引更多企业和投资项目到我市投资发展，为外地客商到我市投资</w:t>
                  </w:r>
                </w:p>
                <w:p w14:paraId="2A307F34">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兴业牵线搭桥。</w:t>
                  </w:r>
                </w:p>
              </w:tc>
            </w:tr>
            <w:tr w14:paraId="01D3A2A8">
              <w:tblPrEx>
                <w:tblCellMar>
                  <w:top w:w="0" w:type="dxa"/>
                  <w:left w:w="0" w:type="dxa"/>
                  <w:bottom w:w="0" w:type="dxa"/>
                  <w:right w:w="0" w:type="dxa"/>
                </w:tblCellMar>
              </w:tblPrEx>
              <w:trPr>
                <w:trHeight w:val="420" w:hRule="atLeast"/>
              </w:trPr>
              <w:tc>
                <w:tcPr>
                  <w:tcW w:w="448"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14:paraId="5ADBA94C">
                  <w:pPr>
                    <w:keepNext w:val="0"/>
                    <w:keepLines w:val="0"/>
                    <w:widowControl/>
                    <w:suppressLineNumbers w:val="0"/>
                    <w:spacing w:line="40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w:t>
                  </w:r>
                </w:p>
              </w:tc>
              <w:tc>
                <w:tcPr>
                  <w:tcW w:w="874" w:type="dxa"/>
                  <w:tcBorders>
                    <w:top w:val="nil"/>
                    <w:left w:val="single" w:color="000000" w:sz="4" w:space="0"/>
                    <w:bottom w:val="single" w:color="auto" w:sz="4" w:space="0"/>
                    <w:right w:val="single" w:color="000000" w:sz="4" w:space="0"/>
                  </w:tcBorders>
                  <w:noWrap/>
                  <w:tcMar>
                    <w:top w:w="15" w:type="dxa"/>
                    <w:left w:w="15" w:type="dxa"/>
                    <w:right w:w="15" w:type="dxa"/>
                  </w:tcMar>
                  <w:vAlign w:val="center"/>
                </w:tcPr>
                <w:p w14:paraId="71CE95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一级指标</w:t>
                  </w:r>
                </w:p>
              </w:tc>
              <w:tc>
                <w:tcPr>
                  <w:tcW w:w="11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735779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335"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3D810B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518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4C026B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指标值（包含数字及文字描述）</w:t>
                  </w:r>
                </w:p>
              </w:tc>
            </w:tr>
            <w:tr w14:paraId="534244AE">
              <w:tblPrEx>
                <w:tblCellMar>
                  <w:top w:w="0" w:type="dxa"/>
                  <w:left w:w="0" w:type="dxa"/>
                  <w:bottom w:w="0" w:type="dxa"/>
                  <w:right w:w="0" w:type="dxa"/>
                </w:tblCellMar>
              </w:tblPrEx>
              <w:trPr>
                <w:trHeight w:val="1675" w:hRule="atLeast"/>
              </w:trPr>
              <w:tc>
                <w:tcPr>
                  <w:tcW w:w="448" w:type="dxa"/>
                  <w:vMerge w:val="continue"/>
                  <w:tcBorders>
                    <w:left w:val="single" w:color="000000" w:sz="4" w:space="0"/>
                    <w:right w:val="single" w:color="000000" w:sz="4" w:space="0"/>
                  </w:tcBorders>
                  <w:noWrap/>
                  <w:tcMar>
                    <w:top w:w="15" w:type="dxa"/>
                    <w:left w:w="15" w:type="dxa"/>
                    <w:right w:w="15" w:type="dxa"/>
                  </w:tcMar>
                  <w:vAlign w:val="center"/>
                </w:tcPr>
                <w:p w14:paraId="6F612EED">
                  <w:pPr>
                    <w:spacing w:line="400" w:lineRule="exact"/>
                    <w:jc w:val="center"/>
                    <w:rPr>
                      <w:rFonts w:hint="eastAsia" w:ascii="宋体" w:hAnsi="宋体" w:eastAsia="宋体" w:cs="宋体"/>
                      <w:i w:val="0"/>
                      <w:color w:val="000000"/>
                      <w:sz w:val="18"/>
                      <w:szCs w:val="18"/>
                      <w:u w:val="none"/>
                    </w:rPr>
                  </w:pPr>
                </w:p>
              </w:tc>
              <w:tc>
                <w:tcPr>
                  <w:tcW w:w="874" w:type="dxa"/>
                  <w:tcBorders>
                    <w:top w:val="single" w:color="auto" w:sz="4" w:space="0"/>
                    <w:left w:val="single" w:color="auto" w:sz="4" w:space="0"/>
                    <w:right w:val="single" w:color="auto" w:sz="4" w:space="0"/>
                  </w:tcBorders>
                  <w:noWrap/>
                  <w:tcMar>
                    <w:top w:w="15" w:type="dxa"/>
                    <w:left w:w="15" w:type="dxa"/>
                    <w:right w:w="15" w:type="dxa"/>
                  </w:tcMar>
                  <w:vAlign w:val="center"/>
                </w:tcPr>
                <w:p w14:paraId="30B05C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项目完成</w:t>
                  </w:r>
                </w:p>
              </w:tc>
              <w:tc>
                <w:tcPr>
                  <w:tcW w:w="1140" w:type="dxa"/>
                  <w:tcBorders>
                    <w:top w:val="nil"/>
                    <w:left w:val="single" w:color="auto" w:sz="4" w:space="0"/>
                    <w:bottom w:val="nil"/>
                    <w:right w:val="single" w:color="000000" w:sz="4" w:space="0"/>
                  </w:tcBorders>
                  <w:noWrap/>
                  <w:tcMar>
                    <w:top w:w="15" w:type="dxa"/>
                    <w:left w:w="15" w:type="dxa"/>
                    <w:right w:w="15" w:type="dxa"/>
                  </w:tcMar>
                  <w:vAlign w:val="center"/>
                </w:tcPr>
                <w:p w14:paraId="4C5A10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335"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6B8987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工作完成数量</w:t>
                  </w:r>
                </w:p>
              </w:tc>
              <w:tc>
                <w:tcPr>
                  <w:tcW w:w="5182" w:type="dxa"/>
                  <w:gridSpan w:val="2"/>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20E30E59">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①为市委共富办、市信访办等单位来蓉工作提供会议服</w:t>
                  </w:r>
                </w:p>
                <w:p w14:paraId="6431664F">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务</w:t>
                  </w:r>
                  <w:r>
                    <w:rPr>
                      <w:rFonts w:hint="default" w:ascii="Arial" w:hAnsi="Arial" w:eastAsia="宋体" w:cs="Arial"/>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20次，印制及传递重要文件</w:t>
                  </w:r>
                  <w:r>
                    <w:rPr>
                      <w:rFonts w:hint="default" w:ascii="Arial" w:hAnsi="Arial" w:eastAsia="宋体" w:cs="Arial"/>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500份。②在第二十届</w:t>
                  </w:r>
                </w:p>
                <w:p w14:paraId="4A515774">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西博会攀枝花推介、2025中外知名企业四川行活动攀枝</w:t>
                  </w:r>
                </w:p>
                <w:p w14:paraId="50B8495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花市文旅康养产业投资推介等在蓉重要活动中承担了信</w:t>
                  </w:r>
                </w:p>
                <w:p w14:paraId="5DBA997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息咨询、后勤保障等工作，为我市参展招商作出积极贡</w:t>
                  </w:r>
                </w:p>
                <w:p w14:paraId="48A04AFD">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献。③</w:t>
                  </w:r>
                  <w:r>
                    <w:rPr>
                      <w:rFonts w:hint="default" w:ascii="宋体" w:hAnsi="宋体" w:eastAsia="宋体" w:cs="宋体"/>
                      <w:i w:val="0"/>
                      <w:color w:val="000000"/>
                      <w:kern w:val="0"/>
                      <w:sz w:val="18"/>
                      <w:szCs w:val="18"/>
                      <w:u w:val="none"/>
                      <w:lang w:val="en-US" w:eastAsia="zh-CN" w:bidi="ar"/>
                    </w:rPr>
                    <w:t>今年共接待各类赴蓉上访40余件、劝返接返上</w:t>
                  </w:r>
                </w:p>
                <w:p w14:paraId="7203D317">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color w:val="000000"/>
                      <w:sz w:val="18"/>
                      <w:szCs w:val="18"/>
                      <w:u w:val="none"/>
                      <w:lang w:val="en-US"/>
                    </w:rPr>
                  </w:pPr>
                  <w:r>
                    <w:rPr>
                      <w:rFonts w:hint="default" w:ascii="宋体" w:hAnsi="宋体" w:eastAsia="宋体" w:cs="宋体"/>
                      <w:i w:val="0"/>
                      <w:color w:val="000000"/>
                      <w:kern w:val="0"/>
                      <w:sz w:val="18"/>
                      <w:szCs w:val="18"/>
                      <w:u w:val="none"/>
                      <w:lang w:val="en-US" w:eastAsia="zh-CN" w:bidi="ar"/>
                    </w:rPr>
                    <w:t>访60余人次</w:t>
                  </w:r>
                  <w:r>
                    <w:rPr>
                      <w:rFonts w:hint="eastAsia" w:ascii="宋体" w:hAnsi="宋体" w:eastAsia="宋体" w:cs="宋体"/>
                      <w:i w:val="0"/>
                      <w:color w:val="000000"/>
                      <w:kern w:val="0"/>
                      <w:sz w:val="18"/>
                      <w:szCs w:val="18"/>
                      <w:u w:val="none"/>
                      <w:lang w:val="en-US" w:eastAsia="zh-CN" w:bidi="ar"/>
                    </w:rPr>
                    <w:t>。</w:t>
                  </w:r>
                </w:p>
              </w:tc>
            </w:tr>
            <w:tr w14:paraId="2EA08338">
              <w:tblPrEx>
                <w:tblCellMar>
                  <w:top w:w="0" w:type="dxa"/>
                  <w:left w:w="0" w:type="dxa"/>
                  <w:bottom w:w="0" w:type="dxa"/>
                  <w:right w:w="0" w:type="dxa"/>
                </w:tblCellMar>
              </w:tblPrEx>
              <w:trPr>
                <w:trHeight w:val="2275" w:hRule="atLeast"/>
              </w:trPr>
              <w:tc>
                <w:tcPr>
                  <w:tcW w:w="448" w:type="dxa"/>
                  <w:vMerge w:val="restart"/>
                  <w:tcBorders>
                    <w:left w:val="single" w:color="000000" w:sz="4" w:space="0"/>
                    <w:right w:val="single" w:color="000000" w:sz="4" w:space="0"/>
                  </w:tcBorders>
                  <w:noWrap/>
                  <w:tcMar>
                    <w:top w:w="15" w:type="dxa"/>
                    <w:left w:w="15" w:type="dxa"/>
                    <w:right w:w="15" w:type="dxa"/>
                  </w:tcMar>
                  <w:vAlign w:val="center"/>
                </w:tcPr>
                <w:p w14:paraId="27DBD594">
                  <w:pPr>
                    <w:spacing w:line="400" w:lineRule="exact"/>
                    <w:jc w:val="center"/>
                    <w:rPr>
                      <w:rFonts w:hint="eastAsia" w:ascii="宋体" w:hAnsi="宋体" w:eastAsia="宋体" w:cs="宋体"/>
                      <w:i w:val="0"/>
                      <w:color w:val="000000"/>
                      <w:sz w:val="18"/>
                      <w:szCs w:val="18"/>
                      <w:u w:val="none"/>
                    </w:rPr>
                  </w:pPr>
                </w:p>
              </w:tc>
              <w:tc>
                <w:tcPr>
                  <w:tcW w:w="874" w:type="dxa"/>
                  <w:vMerge w:val="restart"/>
                  <w:tcBorders>
                    <w:left w:val="single" w:color="auto" w:sz="4" w:space="0"/>
                    <w:right w:val="single" w:color="auto" w:sz="4" w:space="0"/>
                  </w:tcBorders>
                  <w:noWrap/>
                  <w:tcMar>
                    <w:top w:w="15" w:type="dxa"/>
                    <w:left w:w="15" w:type="dxa"/>
                    <w:right w:w="15" w:type="dxa"/>
                  </w:tcMar>
                  <w:vAlign w:val="center"/>
                </w:tcPr>
                <w:p w14:paraId="7274766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140" w:type="dxa"/>
                  <w:tcBorders>
                    <w:top w:val="single" w:color="000000" w:sz="4" w:space="0"/>
                    <w:left w:val="single" w:color="auto" w:sz="4" w:space="0"/>
                    <w:bottom w:val="single" w:color="000000" w:sz="4" w:space="0"/>
                    <w:right w:val="single" w:color="000000" w:sz="4" w:space="0"/>
                  </w:tcBorders>
                  <w:noWrap/>
                  <w:tcMar>
                    <w:top w:w="15" w:type="dxa"/>
                    <w:left w:w="15" w:type="dxa"/>
                    <w:right w:w="15" w:type="dxa"/>
                  </w:tcMar>
                  <w:vAlign w:val="center"/>
                </w:tcPr>
                <w:p w14:paraId="470700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335"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3FC9B5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工作完成质量</w:t>
                  </w:r>
                </w:p>
              </w:tc>
              <w:tc>
                <w:tcPr>
                  <w:tcW w:w="518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319D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为我市职能部门来蓉开展工作提供有力服务保障。促进</w:t>
                  </w:r>
                </w:p>
                <w:p w14:paraId="0D2F49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招商项目签约，提供投资咨询服务，多渠道发挥桥梁和</w:t>
                  </w:r>
                </w:p>
                <w:p w14:paraId="3BFC09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纽带作用。贴心护航蓉城公务出行。</w:t>
                  </w:r>
                  <w:r>
                    <w:rPr>
                      <w:rFonts w:hint="default" w:ascii="宋体" w:hAnsi="宋体" w:eastAsia="宋体" w:cs="宋体"/>
                      <w:i w:val="0"/>
                      <w:color w:val="000000"/>
                      <w:kern w:val="0"/>
                      <w:sz w:val="18"/>
                      <w:szCs w:val="18"/>
                      <w:u w:val="none"/>
                      <w:lang w:val="en-US" w:eastAsia="zh-CN" w:bidi="ar"/>
                    </w:rPr>
                    <w:t>多方考察比选接洽</w:t>
                  </w:r>
                  <w:r>
                    <w:rPr>
                      <w:rFonts w:hint="eastAsia" w:ascii="宋体" w:hAnsi="宋体" w:eastAsia="宋体" w:cs="宋体"/>
                      <w:i w:val="0"/>
                      <w:color w:val="000000"/>
                      <w:kern w:val="0"/>
                      <w:sz w:val="18"/>
                      <w:szCs w:val="18"/>
                      <w:u w:val="none"/>
                      <w:lang w:val="en-US" w:eastAsia="zh-CN" w:bidi="ar"/>
                    </w:rPr>
                    <w:t>，</w:t>
                  </w:r>
                </w:p>
                <w:p w14:paraId="457DD2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收集</w:t>
                  </w:r>
                  <w:r>
                    <w:rPr>
                      <w:rFonts w:hint="default" w:ascii="宋体" w:hAnsi="宋体" w:eastAsia="宋体" w:cs="宋体"/>
                      <w:i w:val="0"/>
                      <w:color w:val="000000"/>
                      <w:kern w:val="0"/>
                      <w:sz w:val="18"/>
                      <w:szCs w:val="18"/>
                      <w:u w:val="none"/>
                      <w:lang w:val="en-US" w:eastAsia="zh-CN" w:bidi="ar"/>
                    </w:rPr>
                    <w:t>成都市内会议场所</w:t>
                  </w:r>
                  <w:r>
                    <w:rPr>
                      <w:rFonts w:hint="eastAsia" w:ascii="宋体" w:hAnsi="宋体" w:eastAsia="宋体" w:cs="宋体"/>
                      <w:i w:val="0"/>
                      <w:color w:val="000000"/>
                      <w:kern w:val="0"/>
                      <w:sz w:val="18"/>
                      <w:szCs w:val="18"/>
                      <w:u w:val="none"/>
                      <w:lang w:val="en-US" w:eastAsia="zh-CN" w:bidi="ar"/>
                    </w:rPr>
                    <w:t>和</w:t>
                  </w:r>
                  <w:r>
                    <w:rPr>
                      <w:rFonts w:hint="default" w:ascii="宋体" w:hAnsi="宋体" w:eastAsia="宋体" w:cs="宋体"/>
                      <w:i w:val="0"/>
                      <w:color w:val="000000"/>
                      <w:kern w:val="0"/>
                      <w:sz w:val="18"/>
                      <w:szCs w:val="18"/>
                      <w:u w:val="none"/>
                      <w:lang w:val="en-US" w:eastAsia="zh-CN" w:bidi="ar"/>
                    </w:rPr>
                    <w:t>特色餐饮信息</w:t>
                  </w:r>
                  <w:r>
                    <w:rPr>
                      <w:rFonts w:hint="eastAsia" w:ascii="宋体" w:hAnsi="宋体" w:eastAsia="宋体" w:cs="宋体"/>
                      <w:i w:val="0"/>
                      <w:color w:val="000000"/>
                      <w:kern w:val="0"/>
                      <w:sz w:val="18"/>
                      <w:szCs w:val="18"/>
                      <w:u w:val="none"/>
                      <w:lang w:val="en-US" w:eastAsia="zh-CN" w:bidi="ar"/>
                    </w:rPr>
                    <w:t>，确保接待资源</w:t>
                  </w:r>
                </w:p>
                <w:p w14:paraId="090FB3D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精准适配，</w:t>
                  </w:r>
                  <w:r>
                    <w:rPr>
                      <w:rFonts w:hint="default" w:ascii="宋体" w:hAnsi="宋体" w:eastAsia="宋体" w:cs="宋体"/>
                      <w:i w:val="0"/>
                      <w:color w:val="000000"/>
                      <w:kern w:val="0"/>
                      <w:sz w:val="18"/>
                      <w:szCs w:val="18"/>
                      <w:u w:val="none"/>
                      <w:lang w:val="en-US" w:eastAsia="zh-CN" w:bidi="ar"/>
                    </w:rPr>
                    <w:t>方便</w:t>
                  </w:r>
                  <w:r>
                    <w:rPr>
                      <w:rFonts w:hint="eastAsia" w:ascii="宋体" w:hAnsi="宋体" w:eastAsia="宋体" w:cs="宋体"/>
                      <w:i w:val="0"/>
                      <w:color w:val="000000"/>
                      <w:kern w:val="0"/>
                      <w:sz w:val="18"/>
                      <w:szCs w:val="18"/>
                      <w:u w:val="none"/>
                      <w:lang w:val="en-US" w:eastAsia="zh-CN" w:bidi="ar"/>
                    </w:rPr>
                    <w:t>我市</w:t>
                  </w:r>
                  <w:r>
                    <w:rPr>
                      <w:rFonts w:hint="default" w:ascii="宋体" w:hAnsi="宋体" w:eastAsia="宋体" w:cs="宋体"/>
                      <w:i w:val="0"/>
                      <w:color w:val="000000"/>
                      <w:kern w:val="0"/>
                      <w:sz w:val="18"/>
                      <w:szCs w:val="18"/>
                      <w:u w:val="none"/>
                      <w:lang w:val="en-US" w:eastAsia="zh-CN" w:bidi="ar"/>
                    </w:rPr>
                    <w:t>来蓉公务人员住宿及办会办事</w:t>
                  </w:r>
                  <w:r>
                    <w:rPr>
                      <w:rFonts w:hint="eastAsia" w:ascii="宋体" w:hAnsi="宋体" w:eastAsia="宋体" w:cs="宋体"/>
                      <w:i w:val="0"/>
                      <w:color w:val="000000"/>
                      <w:kern w:val="0"/>
                      <w:sz w:val="18"/>
                      <w:szCs w:val="18"/>
                      <w:u w:val="none"/>
                      <w:lang w:val="en-US" w:eastAsia="zh-CN" w:bidi="ar"/>
                    </w:rPr>
                    <w:t>。</w:t>
                  </w:r>
                  <w:r>
                    <w:rPr>
                      <w:rFonts w:hint="default" w:ascii="宋体" w:hAnsi="宋体" w:eastAsia="宋体" w:cs="宋体"/>
                      <w:i w:val="0"/>
                      <w:color w:val="000000"/>
                      <w:kern w:val="0"/>
                      <w:sz w:val="18"/>
                      <w:szCs w:val="18"/>
                      <w:u w:val="none"/>
                      <w:lang w:val="en-US" w:eastAsia="zh-CN" w:bidi="ar"/>
                    </w:rPr>
                    <w:t>与</w:t>
                  </w:r>
                </w:p>
                <w:p w14:paraId="25C68E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18"/>
                      <w:szCs w:val="18"/>
                      <w:u w:val="none"/>
                      <w:lang w:val="en-US" w:eastAsia="zh-CN" w:bidi="ar"/>
                    </w:rPr>
                  </w:pPr>
                  <w:r>
                    <w:rPr>
                      <w:rFonts w:hint="default" w:ascii="宋体" w:hAnsi="宋体" w:eastAsia="宋体" w:cs="宋体"/>
                      <w:i w:val="0"/>
                      <w:color w:val="000000"/>
                      <w:kern w:val="0"/>
                      <w:sz w:val="18"/>
                      <w:szCs w:val="18"/>
                      <w:u w:val="none"/>
                      <w:lang w:val="en-US" w:eastAsia="zh-CN" w:bidi="ar"/>
                    </w:rPr>
                    <w:t>市信访局联合成立信访维稳驻蓉工作组，密切保持与省级</w:t>
                  </w:r>
                </w:p>
                <w:p w14:paraId="24ACED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default" w:ascii="宋体" w:hAnsi="宋体" w:eastAsia="宋体" w:cs="宋体"/>
                      <w:i w:val="0"/>
                      <w:color w:val="000000"/>
                      <w:kern w:val="0"/>
                      <w:sz w:val="18"/>
                      <w:szCs w:val="18"/>
                      <w:u w:val="none"/>
                      <w:lang w:val="en-US" w:eastAsia="zh-CN" w:bidi="ar"/>
                    </w:rPr>
                    <w:t>部门、成都市与</w:t>
                  </w:r>
                  <w:r>
                    <w:rPr>
                      <w:rFonts w:hint="eastAsia" w:ascii="宋体" w:hAnsi="宋体" w:eastAsia="宋体" w:cs="宋体"/>
                      <w:i w:val="0"/>
                      <w:color w:val="000000"/>
                      <w:kern w:val="0"/>
                      <w:sz w:val="18"/>
                      <w:szCs w:val="18"/>
                      <w:u w:val="none"/>
                      <w:lang w:val="en-US" w:eastAsia="zh-CN" w:bidi="ar"/>
                    </w:rPr>
                    <w:t>我市</w:t>
                  </w:r>
                  <w:r>
                    <w:rPr>
                      <w:rFonts w:hint="default" w:ascii="宋体" w:hAnsi="宋体" w:eastAsia="宋体" w:cs="宋体"/>
                      <w:i w:val="0"/>
                      <w:color w:val="000000"/>
                      <w:kern w:val="0"/>
                      <w:sz w:val="18"/>
                      <w:szCs w:val="18"/>
                      <w:u w:val="none"/>
                      <w:lang w:val="en-US" w:eastAsia="zh-CN" w:bidi="ar"/>
                    </w:rPr>
                    <w:t>信访信息的双向沟通，</w:t>
                  </w:r>
                  <w:r>
                    <w:rPr>
                      <w:rFonts w:hint="eastAsia" w:ascii="宋体" w:hAnsi="宋体" w:eastAsia="宋体" w:cs="宋体"/>
                      <w:i w:val="0"/>
                      <w:color w:val="000000"/>
                      <w:kern w:val="0"/>
                      <w:sz w:val="18"/>
                      <w:szCs w:val="18"/>
                      <w:u w:val="none"/>
                      <w:lang w:val="en-US" w:eastAsia="zh-CN" w:bidi="ar"/>
                    </w:rPr>
                    <w:t>实现缠访闹</w:t>
                  </w:r>
                </w:p>
                <w:p w14:paraId="6841E3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访、暴力非访“零记录”和二次分流、接送遣返“零发</w:t>
                  </w:r>
                </w:p>
                <w:p w14:paraId="3D1DCC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生”</w:t>
                  </w:r>
                  <w:r>
                    <w:rPr>
                      <w:rFonts w:hint="default" w:ascii="宋体" w:hAnsi="宋体" w:eastAsia="宋体" w:cs="宋体"/>
                      <w:i w:val="0"/>
                      <w:color w:val="000000"/>
                      <w:kern w:val="0"/>
                      <w:sz w:val="18"/>
                      <w:szCs w:val="18"/>
                      <w:u w:val="none"/>
                      <w:lang w:val="en-US" w:eastAsia="zh-CN" w:bidi="ar"/>
                    </w:rPr>
                    <w:t>。</w:t>
                  </w:r>
                </w:p>
              </w:tc>
            </w:tr>
            <w:tr w14:paraId="665B58B2">
              <w:tblPrEx>
                <w:tblCellMar>
                  <w:top w:w="0" w:type="dxa"/>
                  <w:left w:w="0" w:type="dxa"/>
                  <w:bottom w:w="0" w:type="dxa"/>
                  <w:right w:w="0" w:type="dxa"/>
                </w:tblCellMar>
              </w:tblPrEx>
              <w:trPr>
                <w:trHeight w:val="420" w:hRule="atLeast"/>
              </w:trPr>
              <w:tc>
                <w:tcPr>
                  <w:tcW w:w="448" w:type="dxa"/>
                  <w:vMerge w:val="continue"/>
                  <w:tcBorders>
                    <w:left w:val="single" w:color="000000" w:sz="4" w:space="0"/>
                    <w:right w:val="single" w:color="000000" w:sz="4" w:space="0"/>
                  </w:tcBorders>
                  <w:noWrap/>
                  <w:tcMar>
                    <w:top w:w="15" w:type="dxa"/>
                    <w:left w:w="15" w:type="dxa"/>
                    <w:right w:w="15" w:type="dxa"/>
                  </w:tcMar>
                  <w:vAlign w:val="center"/>
                </w:tcPr>
                <w:p w14:paraId="3419F9AD">
                  <w:pPr>
                    <w:spacing w:line="400" w:lineRule="exact"/>
                    <w:jc w:val="center"/>
                    <w:rPr>
                      <w:rFonts w:hint="eastAsia" w:ascii="宋体" w:hAnsi="宋体" w:eastAsia="宋体" w:cs="宋体"/>
                      <w:i w:val="0"/>
                      <w:color w:val="000000"/>
                      <w:sz w:val="18"/>
                      <w:szCs w:val="18"/>
                      <w:u w:val="none"/>
                    </w:rPr>
                  </w:pPr>
                </w:p>
              </w:tc>
              <w:tc>
                <w:tcPr>
                  <w:tcW w:w="874" w:type="dxa"/>
                  <w:vMerge w:val="continue"/>
                  <w:tcBorders>
                    <w:left w:val="single" w:color="auto" w:sz="4" w:space="0"/>
                    <w:right w:val="single" w:color="auto" w:sz="4" w:space="0"/>
                  </w:tcBorders>
                  <w:noWrap/>
                  <w:tcMar>
                    <w:top w:w="15" w:type="dxa"/>
                    <w:left w:w="15" w:type="dxa"/>
                    <w:right w:w="15" w:type="dxa"/>
                  </w:tcMar>
                  <w:vAlign w:val="center"/>
                </w:tcPr>
                <w:p w14:paraId="16C2F08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140" w:type="dxa"/>
                  <w:tcBorders>
                    <w:top w:val="single" w:color="000000" w:sz="4" w:space="0"/>
                    <w:left w:val="single" w:color="auto" w:sz="4" w:space="0"/>
                    <w:bottom w:val="single" w:color="000000" w:sz="4" w:space="0"/>
                    <w:right w:val="single" w:color="000000" w:sz="4" w:space="0"/>
                  </w:tcBorders>
                  <w:noWrap/>
                  <w:tcMar>
                    <w:top w:w="15" w:type="dxa"/>
                    <w:left w:w="15" w:type="dxa"/>
                    <w:right w:w="15" w:type="dxa"/>
                  </w:tcMar>
                  <w:vAlign w:val="center"/>
                </w:tcPr>
                <w:p w14:paraId="677D78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335"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4987266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工作完成时间</w:t>
                  </w:r>
                </w:p>
              </w:tc>
              <w:tc>
                <w:tcPr>
                  <w:tcW w:w="518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AE91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全年</w:t>
                  </w:r>
                </w:p>
              </w:tc>
            </w:tr>
            <w:tr w14:paraId="0F1EA605">
              <w:tblPrEx>
                <w:tblCellMar>
                  <w:top w:w="0" w:type="dxa"/>
                  <w:left w:w="0" w:type="dxa"/>
                  <w:bottom w:w="0" w:type="dxa"/>
                  <w:right w:w="0" w:type="dxa"/>
                </w:tblCellMar>
              </w:tblPrEx>
              <w:trPr>
                <w:trHeight w:val="500" w:hRule="atLeast"/>
              </w:trPr>
              <w:tc>
                <w:tcPr>
                  <w:tcW w:w="448" w:type="dxa"/>
                  <w:vMerge w:val="continue"/>
                  <w:tcBorders>
                    <w:left w:val="single" w:color="000000" w:sz="4" w:space="0"/>
                    <w:right w:val="single" w:color="000000" w:sz="4" w:space="0"/>
                  </w:tcBorders>
                  <w:noWrap/>
                  <w:tcMar>
                    <w:top w:w="15" w:type="dxa"/>
                    <w:left w:w="15" w:type="dxa"/>
                    <w:right w:w="15" w:type="dxa"/>
                  </w:tcMar>
                  <w:vAlign w:val="center"/>
                </w:tcPr>
                <w:p w14:paraId="5C45A0D3">
                  <w:pPr>
                    <w:spacing w:line="400" w:lineRule="exact"/>
                    <w:jc w:val="center"/>
                    <w:rPr>
                      <w:rFonts w:hint="eastAsia" w:ascii="宋体" w:hAnsi="宋体" w:eastAsia="宋体" w:cs="宋体"/>
                      <w:i w:val="0"/>
                      <w:color w:val="000000"/>
                      <w:sz w:val="18"/>
                      <w:szCs w:val="18"/>
                      <w:u w:val="none"/>
                    </w:rPr>
                  </w:pPr>
                </w:p>
              </w:tc>
              <w:tc>
                <w:tcPr>
                  <w:tcW w:w="874" w:type="dxa"/>
                  <w:vMerge w:val="continue"/>
                  <w:tcBorders>
                    <w:left w:val="single" w:color="auto" w:sz="4" w:space="0"/>
                    <w:right w:val="single" w:color="auto" w:sz="4" w:space="0"/>
                  </w:tcBorders>
                  <w:noWrap/>
                  <w:tcMar>
                    <w:top w:w="15" w:type="dxa"/>
                    <w:left w:w="15" w:type="dxa"/>
                    <w:right w:w="15" w:type="dxa"/>
                  </w:tcMar>
                  <w:vAlign w:val="center"/>
                </w:tcPr>
                <w:p w14:paraId="123B2A2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140" w:type="dxa"/>
                  <w:tcBorders>
                    <w:top w:val="single" w:color="000000" w:sz="4" w:space="0"/>
                    <w:left w:val="single" w:color="auto" w:sz="4" w:space="0"/>
                    <w:bottom w:val="single" w:color="000000" w:sz="4" w:space="0"/>
                    <w:right w:val="single" w:color="000000" w:sz="4" w:space="0"/>
                  </w:tcBorders>
                  <w:noWrap/>
                  <w:tcMar>
                    <w:top w:w="15" w:type="dxa"/>
                    <w:left w:w="15" w:type="dxa"/>
                    <w:right w:w="15" w:type="dxa"/>
                  </w:tcMar>
                  <w:vAlign w:val="center"/>
                </w:tcPr>
                <w:p w14:paraId="529335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335"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599DC9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工作完成所需成本</w:t>
                  </w:r>
                </w:p>
              </w:tc>
              <w:tc>
                <w:tcPr>
                  <w:tcW w:w="5182"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38A4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8万元</w:t>
                  </w:r>
                </w:p>
              </w:tc>
            </w:tr>
            <w:tr w14:paraId="530C2A2B">
              <w:tblPrEx>
                <w:tblCellMar>
                  <w:top w:w="0" w:type="dxa"/>
                  <w:left w:w="0" w:type="dxa"/>
                  <w:bottom w:w="0" w:type="dxa"/>
                  <w:right w:w="0" w:type="dxa"/>
                </w:tblCellMar>
              </w:tblPrEx>
              <w:trPr>
                <w:trHeight w:val="500" w:hRule="atLeast"/>
              </w:trPr>
              <w:tc>
                <w:tcPr>
                  <w:tcW w:w="448" w:type="dxa"/>
                  <w:vMerge w:val="continue"/>
                  <w:tcBorders>
                    <w:left w:val="single" w:color="auto" w:sz="4" w:space="0"/>
                    <w:right w:val="single" w:color="auto" w:sz="4" w:space="0"/>
                  </w:tcBorders>
                  <w:noWrap/>
                  <w:tcMar>
                    <w:top w:w="15" w:type="dxa"/>
                    <w:left w:w="15" w:type="dxa"/>
                    <w:right w:w="15" w:type="dxa"/>
                  </w:tcMar>
                  <w:vAlign w:val="center"/>
                </w:tcPr>
                <w:p w14:paraId="5AAD73EE">
                  <w:pPr>
                    <w:spacing w:line="400" w:lineRule="exact"/>
                    <w:jc w:val="center"/>
                    <w:rPr>
                      <w:rFonts w:hint="eastAsia" w:ascii="宋体" w:hAnsi="宋体" w:eastAsia="宋体" w:cs="宋体"/>
                      <w:i w:val="0"/>
                      <w:color w:val="000000"/>
                      <w:sz w:val="18"/>
                      <w:szCs w:val="18"/>
                      <w:u w:val="none"/>
                    </w:rPr>
                  </w:pPr>
                </w:p>
              </w:tc>
              <w:tc>
                <w:tcPr>
                  <w:tcW w:w="874" w:type="dxa"/>
                  <w:vMerge w:val="restar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4DB16D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项目效益</w:t>
                  </w:r>
                </w:p>
              </w:tc>
              <w:tc>
                <w:tcPr>
                  <w:tcW w:w="114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B91CF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  指标</w:t>
                  </w:r>
                </w:p>
              </w:tc>
              <w:tc>
                <w:tcPr>
                  <w:tcW w:w="1335"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775C39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工作完成产生效益</w:t>
                  </w:r>
                </w:p>
              </w:tc>
              <w:tc>
                <w:tcPr>
                  <w:tcW w:w="5182" w:type="dxa"/>
                  <w:gridSpan w:val="2"/>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141B24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为攀枝花市地方经济、人才就业、城市名片、产业升级等</w:t>
                  </w:r>
                </w:p>
                <w:p w14:paraId="407175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多方面起到积极的推动作用。</w:t>
                  </w:r>
                </w:p>
              </w:tc>
            </w:tr>
            <w:tr w14:paraId="638EBBA1">
              <w:tblPrEx>
                <w:tblCellMar>
                  <w:top w:w="0" w:type="dxa"/>
                  <w:left w:w="0" w:type="dxa"/>
                  <w:bottom w:w="0" w:type="dxa"/>
                  <w:right w:w="0" w:type="dxa"/>
                </w:tblCellMar>
              </w:tblPrEx>
              <w:trPr>
                <w:trHeight w:val="700" w:hRule="atLeast"/>
              </w:trPr>
              <w:tc>
                <w:tcPr>
                  <w:tcW w:w="448" w:type="dxa"/>
                  <w:vMerge w:val="continue"/>
                  <w:tcBorders>
                    <w:left w:val="single" w:color="auto" w:sz="4" w:space="0"/>
                    <w:right w:val="single" w:color="auto" w:sz="4" w:space="0"/>
                  </w:tcBorders>
                  <w:noWrap/>
                  <w:tcMar>
                    <w:top w:w="15" w:type="dxa"/>
                    <w:left w:w="15" w:type="dxa"/>
                    <w:right w:w="15" w:type="dxa"/>
                  </w:tcMar>
                  <w:vAlign w:val="center"/>
                </w:tcPr>
                <w:p w14:paraId="6B3443D0">
                  <w:pPr>
                    <w:spacing w:line="400" w:lineRule="exact"/>
                    <w:jc w:val="center"/>
                    <w:rPr>
                      <w:rFonts w:hint="eastAsia" w:ascii="宋体" w:hAnsi="宋体" w:eastAsia="宋体" w:cs="宋体"/>
                      <w:i w:val="0"/>
                      <w:color w:val="000000"/>
                      <w:sz w:val="18"/>
                      <w:szCs w:val="18"/>
                      <w:u w:val="none"/>
                    </w:rPr>
                  </w:pPr>
                </w:p>
              </w:tc>
              <w:tc>
                <w:tcPr>
                  <w:tcW w:w="874" w:type="dxa"/>
                  <w:vMerge w:val="continue"/>
                  <w:tcBorders>
                    <w:top w:val="single" w:color="auto" w:sz="4" w:space="0"/>
                    <w:left w:val="nil"/>
                    <w:bottom w:val="single" w:color="auto" w:sz="4" w:space="0"/>
                    <w:right w:val="nil"/>
                  </w:tcBorders>
                  <w:noWrap/>
                  <w:tcMar>
                    <w:top w:w="15" w:type="dxa"/>
                    <w:left w:w="15" w:type="dxa"/>
                    <w:right w:w="15" w:type="dxa"/>
                  </w:tcMar>
                  <w:vAlign w:val="center"/>
                </w:tcPr>
                <w:p w14:paraId="4DDF593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8"/>
                      <w:szCs w:val="18"/>
                      <w:u w:val="none"/>
                    </w:rPr>
                  </w:pPr>
                </w:p>
              </w:tc>
              <w:tc>
                <w:tcPr>
                  <w:tcW w:w="1140" w:type="dxa"/>
                  <w:tcBorders>
                    <w:top w:val="nil"/>
                    <w:left w:val="single" w:color="000000" w:sz="4" w:space="0"/>
                    <w:bottom w:val="single" w:color="000000" w:sz="4" w:space="0"/>
                    <w:right w:val="nil"/>
                  </w:tcBorders>
                  <w:noWrap w:val="0"/>
                  <w:tcMar>
                    <w:top w:w="15" w:type="dxa"/>
                    <w:left w:w="15" w:type="dxa"/>
                    <w:right w:w="15" w:type="dxa"/>
                  </w:tcMar>
                  <w:vAlign w:val="center"/>
                </w:tcPr>
                <w:p w14:paraId="5D9928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可持续影响指标</w:t>
                  </w:r>
                </w:p>
              </w:tc>
              <w:tc>
                <w:tcPr>
                  <w:tcW w:w="1335"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5228CB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工作完成产生影响</w:t>
                  </w:r>
                </w:p>
              </w:tc>
              <w:tc>
                <w:tcPr>
                  <w:tcW w:w="5182" w:type="dxa"/>
                  <w:gridSpan w:val="2"/>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CDE88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做好招商项目的储备与更新，保持与省级相关部门及市、</w:t>
                  </w:r>
                </w:p>
                <w:p w14:paraId="1F486C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县区对接沟通的常态化，及时了解市区发展重点，不断巩</w:t>
                  </w:r>
                </w:p>
                <w:p w14:paraId="58EB27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固与市、县区、部门形成的联动招商格局。</w:t>
                  </w:r>
                </w:p>
              </w:tc>
            </w:tr>
            <w:tr w14:paraId="186104DC">
              <w:tblPrEx>
                <w:tblCellMar>
                  <w:top w:w="0" w:type="dxa"/>
                  <w:left w:w="0" w:type="dxa"/>
                  <w:bottom w:w="0" w:type="dxa"/>
                  <w:right w:w="0" w:type="dxa"/>
                </w:tblCellMar>
              </w:tblPrEx>
              <w:trPr>
                <w:trHeight w:val="500" w:hRule="atLeast"/>
              </w:trPr>
              <w:tc>
                <w:tcPr>
                  <w:tcW w:w="448" w:type="dxa"/>
                  <w:vMerge w:val="continue"/>
                  <w:tcBorders>
                    <w:left w:val="single" w:color="auto" w:sz="4" w:space="0"/>
                    <w:bottom w:val="single" w:color="000000" w:sz="4" w:space="0"/>
                    <w:right w:val="single" w:color="auto" w:sz="4" w:space="0"/>
                  </w:tcBorders>
                  <w:noWrap/>
                  <w:tcMar>
                    <w:top w:w="15" w:type="dxa"/>
                    <w:left w:w="15" w:type="dxa"/>
                    <w:right w:w="15" w:type="dxa"/>
                  </w:tcMar>
                  <w:vAlign w:val="center"/>
                </w:tcPr>
                <w:p w14:paraId="5AFABDAA">
                  <w:pPr>
                    <w:spacing w:line="400" w:lineRule="exact"/>
                    <w:jc w:val="center"/>
                    <w:rPr>
                      <w:rFonts w:hint="eastAsia" w:ascii="宋体" w:hAnsi="宋体" w:eastAsia="宋体" w:cs="宋体"/>
                      <w:i w:val="0"/>
                      <w:color w:val="000000"/>
                      <w:sz w:val="18"/>
                      <w:szCs w:val="18"/>
                      <w:u w:val="none"/>
                    </w:rPr>
                  </w:pPr>
                </w:p>
              </w:tc>
              <w:tc>
                <w:tcPr>
                  <w:tcW w:w="874"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70417A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满意度指标</w:t>
                  </w:r>
                </w:p>
              </w:tc>
              <w:tc>
                <w:tcPr>
                  <w:tcW w:w="1140"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547C7F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0629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市级及区县信访</w:t>
                  </w:r>
                </w:p>
                <w:p w14:paraId="54B5C9A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招商工作相关部门</w:t>
                  </w:r>
                </w:p>
              </w:tc>
              <w:tc>
                <w:tcPr>
                  <w:tcW w:w="518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EE12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w:t>
                  </w:r>
                </w:p>
              </w:tc>
            </w:tr>
          </w:tbl>
          <w:p w14:paraId="0318EAD4">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p>
        </w:tc>
      </w:tr>
      <w:tr w14:paraId="7954BD7C">
        <w:tblPrEx>
          <w:tblCellMar>
            <w:top w:w="0" w:type="dxa"/>
            <w:left w:w="0" w:type="dxa"/>
            <w:bottom w:w="0" w:type="dxa"/>
            <w:right w:w="0" w:type="dxa"/>
          </w:tblCellMar>
        </w:tblPrEx>
        <w:trPr>
          <w:trHeight w:val="432" w:hRule="atLeast"/>
        </w:trPr>
        <w:tc>
          <w:tcPr>
            <w:tcW w:w="8660" w:type="dxa"/>
            <w:gridSpan w:val="6"/>
            <w:vMerge w:val="restart"/>
            <w:tcBorders>
              <w:top w:val="nil"/>
              <w:left w:val="nil"/>
              <w:bottom w:val="nil"/>
              <w:right w:val="nil"/>
            </w:tcBorders>
            <w:noWrap/>
            <w:tcMar>
              <w:top w:w="15" w:type="dxa"/>
              <w:left w:w="15" w:type="dxa"/>
              <w:right w:w="15" w:type="dxa"/>
            </w:tcMar>
            <w:vAlign w:val="center"/>
          </w:tcPr>
          <w:p w14:paraId="1C6F18B3">
            <w:pPr>
              <w:adjustRightInd w:val="0"/>
              <w:snapToGrid w:val="0"/>
              <w:spacing w:line="578" w:lineRule="exact"/>
              <w:ind w:firstLine="640" w:firstLineChars="200"/>
              <w:contextualSpacing/>
              <w:jc w:val="left"/>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②机关运转项目经费万元，用于干休所离休老干部活动慰问、服务人员劳务支出、楼栋管理等办公维修。</w:t>
            </w:r>
          </w:p>
          <w:p w14:paraId="61BC74C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宋体" w:hAnsi="宋体" w:eastAsia="宋体" w:cs="宋体"/>
                <w:b/>
                <w:i w:val="0"/>
                <w:color w:val="000000"/>
                <w:sz w:val="32"/>
                <w:szCs w:val="32"/>
                <w:u w:val="none"/>
              </w:rPr>
            </w:pPr>
            <w:r>
              <w:rPr>
                <w:rFonts w:hint="eastAsia" w:ascii="仿宋_GB2312" w:hAnsi="仿宋_GB2312" w:eastAsia="仿宋_GB2312" w:cs="仿宋_GB2312"/>
                <w:b w:val="0"/>
                <w:bCs/>
                <w:i w:val="0"/>
                <w:color w:val="000000"/>
                <w:kern w:val="0"/>
                <w:sz w:val="32"/>
                <w:szCs w:val="32"/>
                <w:u w:val="none"/>
                <w:lang w:val="en-US" w:eastAsia="zh-CN" w:bidi="ar"/>
              </w:rPr>
              <w:t>部门（单位）预算项目支出绩效目标表</w:t>
            </w:r>
          </w:p>
        </w:tc>
      </w:tr>
      <w:tr w14:paraId="38558F0C">
        <w:tblPrEx>
          <w:tblCellMar>
            <w:top w:w="0" w:type="dxa"/>
            <w:left w:w="0" w:type="dxa"/>
            <w:bottom w:w="0" w:type="dxa"/>
            <w:right w:w="0" w:type="dxa"/>
          </w:tblCellMar>
        </w:tblPrEx>
        <w:trPr>
          <w:trHeight w:val="529" w:hRule="atLeast"/>
        </w:trPr>
        <w:tc>
          <w:tcPr>
            <w:tcW w:w="8660" w:type="dxa"/>
            <w:gridSpan w:val="6"/>
            <w:vMerge w:val="continue"/>
            <w:tcBorders>
              <w:top w:val="nil"/>
              <w:left w:val="nil"/>
              <w:bottom w:val="nil"/>
              <w:right w:val="nil"/>
            </w:tcBorders>
            <w:noWrap/>
            <w:tcMar>
              <w:top w:w="15" w:type="dxa"/>
              <w:left w:w="15" w:type="dxa"/>
              <w:right w:w="15" w:type="dxa"/>
            </w:tcMar>
            <w:vAlign w:val="center"/>
          </w:tcPr>
          <w:p w14:paraId="10A79755">
            <w:pPr>
              <w:jc w:val="center"/>
              <w:rPr>
                <w:rFonts w:hint="eastAsia" w:ascii="宋体" w:hAnsi="宋体" w:eastAsia="宋体" w:cs="宋体"/>
                <w:b/>
                <w:i w:val="0"/>
                <w:color w:val="000000"/>
                <w:sz w:val="32"/>
                <w:szCs w:val="32"/>
                <w:u w:val="none"/>
              </w:rPr>
            </w:pPr>
          </w:p>
        </w:tc>
      </w:tr>
      <w:tr w14:paraId="573AB53F">
        <w:tblPrEx>
          <w:tblCellMar>
            <w:top w:w="0" w:type="dxa"/>
            <w:left w:w="0" w:type="dxa"/>
            <w:bottom w:w="0" w:type="dxa"/>
            <w:right w:w="0" w:type="dxa"/>
          </w:tblCellMar>
        </w:tblPrEx>
        <w:trPr>
          <w:trHeight w:val="460" w:hRule="atLeast"/>
        </w:trPr>
        <w:tc>
          <w:tcPr>
            <w:tcW w:w="8660" w:type="dxa"/>
            <w:gridSpan w:val="6"/>
            <w:tcBorders>
              <w:top w:val="nil"/>
              <w:left w:val="nil"/>
              <w:bottom w:val="nil"/>
              <w:right w:val="nil"/>
            </w:tcBorders>
            <w:noWrap/>
            <w:tcMar>
              <w:top w:w="15" w:type="dxa"/>
              <w:left w:w="15" w:type="dxa"/>
              <w:right w:w="15" w:type="dxa"/>
            </w:tcMar>
            <w:vAlign w:val="center"/>
          </w:tcPr>
          <w:p w14:paraId="719FF19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(2025年度)</w:t>
            </w:r>
          </w:p>
        </w:tc>
      </w:tr>
      <w:tr w14:paraId="071A9EF2">
        <w:tblPrEx>
          <w:tblCellMar>
            <w:top w:w="0" w:type="dxa"/>
            <w:left w:w="0" w:type="dxa"/>
            <w:bottom w:w="0" w:type="dxa"/>
            <w:right w:w="0" w:type="dxa"/>
          </w:tblCellMar>
        </w:tblPrEx>
        <w:trPr>
          <w:trHeight w:val="445" w:hRule="atLeast"/>
        </w:trPr>
        <w:tc>
          <w:tcPr>
            <w:tcW w:w="46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448D1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项目名称</w:t>
            </w:r>
          </w:p>
        </w:tc>
        <w:tc>
          <w:tcPr>
            <w:tcW w:w="8192"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44434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sz w:val="18"/>
                <w:szCs w:val="18"/>
                <w:lang w:val="en-US" w:eastAsia="zh-CN"/>
              </w:rPr>
              <w:t>机关运转项目经费</w:t>
            </w:r>
          </w:p>
        </w:tc>
      </w:tr>
      <w:tr w14:paraId="1586C78A">
        <w:tblPrEx>
          <w:tblCellMar>
            <w:top w:w="0" w:type="dxa"/>
            <w:left w:w="0" w:type="dxa"/>
            <w:bottom w:w="0" w:type="dxa"/>
            <w:right w:w="0" w:type="dxa"/>
          </w:tblCellMar>
        </w:tblPrEx>
        <w:trPr>
          <w:trHeight w:val="470" w:hRule="atLeast"/>
        </w:trPr>
        <w:tc>
          <w:tcPr>
            <w:tcW w:w="468" w:type="dxa"/>
            <w:tcBorders>
              <w:top w:val="single" w:color="000000" w:sz="4" w:space="0"/>
              <w:left w:val="single" w:color="000000" w:sz="4" w:space="0"/>
              <w:bottom w:val="nil"/>
              <w:right w:val="single" w:color="000000" w:sz="4" w:space="0"/>
            </w:tcBorders>
            <w:noWrap/>
            <w:tcMar>
              <w:top w:w="15" w:type="dxa"/>
              <w:left w:w="15" w:type="dxa"/>
              <w:right w:w="15" w:type="dxa"/>
            </w:tcMar>
            <w:vAlign w:val="center"/>
          </w:tcPr>
          <w:p w14:paraId="38A7653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部门（单位）</w:t>
            </w:r>
          </w:p>
        </w:tc>
        <w:tc>
          <w:tcPr>
            <w:tcW w:w="8192"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C7CE6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攀枝花市成都干部休养所</w:t>
            </w:r>
          </w:p>
        </w:tc>
      </w:tr>
      <w:tr w14:paraId="0FB4B07E">
        <w:tblPrEx>
          <w:tblCellMar>
            <w:top w:w="0" w:type="dxa"/>
            <w:left w:w="0" w:type="dxa"/>
            <w:bottom w:w="0" w:type="dxa"/>
            <w:right w:w="0" w:type="dxa"/>
          </w:tblCellMar>
        </w:tblPrEx>
        <w:trPr>
          <w:trHeight w:val="435" w:hRule="atLeast"/>
        </w:trPr>
        <w:tc>
          <w:tcPr>
            <w:tcW w:w="46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D951B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项目资金</w:t>
            </w:r>
          </w:p>
        </w:tc>
        <w:tc>
          <w:tcPr>
            <w:tcW w:w="3395"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103DF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年度资金总额</w:t>
            </w:r>
          </w:p>
        </w:tc>
        <w:tc>
          <w:tcPr>
            <w:tcW w:w="47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9094D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20万元</w:t>
            </w:r>
          </w:p>
        </w:tc>
      </w:tr>
      <w:tr w14:paraId="2A18B9C5">
        <w:tblPrEx>
          <w:tblCellMar>
            <w:top w:w="0" w:type="dxa"/>
            <w:left w:w="0" w:type="dxa"/>
            <w:bottom w:w="0" w:type="dxa"/>
            <w:right w:w="0" w:type="dxa"/>
          </w:tblCellMar>
        </w:tblPrEx>
        <w:trPr>
          <w:trHeight w:val="390" w:hRule="atLeast"/>
        </w:trPr>
        <w:tc>
          <w:tcPr>
            <w:tcW w:w="46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CFC54C">
            <w:pPr>
              <w:jc w:val="center"/>
              <w:rPr>
                <w:rFonts w:hint="eastAsia" w:ascii="宋体" w:hAnsi="宋体" w:eastAsia="宋体" w:cs="宋体"/>
                <w:i w:val="0"/>
                <w:color w:val="000000"/>
                <w:sz w:val="18"/>
                <w:szCs w:val="18"/>
                <w:u w:val="none"/>
              </w:rPr>
            </w:pPr>
          </w:p>
        </w:tc>
        <w:tc>
          <w:tcPr>
            <w:tcW w:w="3395"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A0E5C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其中：财政拨款</w:t>
            </w:r>
          </w:p>
        </w:tc>
        <w:tc>
          <w:tcPr>
            <w:tcW w:w="47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128AB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20万元</w:t>
            </w:r>
          </w:p>
        </w:tc>
      </w:tr>
      <w:tr w14:paraId="05E35B93">
        <w:tblPrEx>
          <w:tblCellMar>
            <w:top w:w="0" w:type="dxa"/>
            <w:left w:w="0" w:type="dxa"/>
            <w:bottom w:w="0" w:type="dxa"/>
            <w:right w:w="0" w:type="dxa"/>
          </w:tblCellMar>
        </w:tblPrEx>
        <w:trPr>
          <w:trHeight w:val="840" w:hRule="atLeast"/>
        </w:trPr>
        <w:tc>
          <w:tcPr>
            <w:tcW w:w="468" w:type="dxa"/>
            <w:tcBorders>
              <w:top w:val="nil"/>
              <w:left w:val="single" w:color="000000" w:sz="4" w:space="0"/>
              <w:bottom w:val="single" w:color="auto" w:sz="4" w:space="0"/>
              <w:right w:val="nil"/>
            </w:tcBorders>
            <w:noWrap w:val="0"/>
            <w:tcMar>
              <w:top w:w="15" w:type="dxa"/>
              <w:left w:w="15" w:type="dxa"/>
              <w:right w:w="15" w:type="dxa"/>
            </w:tcMar>
            <w:vAlign w:val="center"/>
          </w:tcPr>
          <w:p w14:paraId="3DF77FA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总体目标</w:t>
            </w:r>
          </w:p>
        </w:tc>
        <w:tc>
          <w:tcPr>
            <w:tcW w:w="8192" w:type="dxa"/>
            <w:gridSpan w:val="5"/>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239E0B52">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干休所两个院落的管理：两栋楼房、车库、活动室、医务室及附属设施的日常维护维修；清淤，管辖区的市容环境卫生绿化，沟渠清淤疏通，垃圾清运，补充公用支出不足；鉴于本单位的机构设置及编制配置实际情况，为满足离休人员日常管理所需，解决长期聘用人员和临时聘请人员的劳务费；</w:t>
            </w:r>
            <w:r>
              <w:rPr>
                <w:rFonts w:hint="eastAsia" w:ascii="宋体" w:hAnsi="宋体" w:eastAsia="宋体" w:cs="宋体"/>
                <w:sz w:val="18"/>
                <w:szCs w:val="18"/>
                <w:lang w:val="en-US" w:eastAsia="zh-CN"/>
              </w:rPr>
              <w:t>树立一种服务的意识，踏实做事，多做好事,多办实事。认真解决好关系到他们切实利益的具体问题；要让老同志病有所依,老有所养,使老同志真正感受到干休所是一个和谐温馨的大家庭。</w:t>
            </w:r>
          </w:p>
        </w:tc>
      </w:tr>
      <w:tr w14:paraId="4F56070C">
        <w:tblPrEx>
          <w:tblCellMar>
            <w:top w:w="0" w:type="dxa"/>
            <w:left w:w="0" w:type="dxa"/>
            <w:bottom w:w="0" w:type="dxa"/>
            <w:right w:w="0" w:type="dxa"/>
          </w:tblCellMar>
        </w:tblPrEx>
        <w:trPr>
          <w:trHeight w:val="495" w:hRule="atLeast"/>
        </w:trPr>
        <w:tc>
          <w:tcPr>
            <w:tcW w:w="468" w:type="dxa"/>
            <w:vMerge w:val="restart"/>
            <w:tcBorders>
              <w:top w:val="single" w:color="auto" w:sz="4" w:space="0"/>
              <w:left w:val="single" w:color="auto" w:sz="4" w:space="0"/>
              <w:right w:val="single" w:color="auto" w:sz="4" w:space="0"/>
            </w:tcBorders>
            <w:noWrap/>
            <w:tcMar>
              <w:top w:w="15" w:type="dxa"/>
              <w:left w:w="15" w:type="dxa"/>
              <w:right w:w="15" w:type="dxa"/>
            </w:tcMar>
            <w:vAlign w:val="center"/>
          </w:tcPr>
          <w:p w14:paraId="1F9F970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w:t>
            </w:r>
          </w:p>
        </w:tc>
        <w:tc>
          <w:tcPr>
            <w:tcW w:w="1135"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22F00CB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一级指标</w:t>
            </w:r>
          </w:p>
        </w:tc>
        <w:tc>
          <w:tcPr>
            <w:tcW w:w="1077"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1BA89C2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550" w:type="dxa"/>
            <w:gridSpan w:val="2"/>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1A12304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443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76AEB5E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指标值（包含数字及文字描述）</w:t>
            </w:r>
          </w:p>
        </w:tc>
      </w:tr>
      <w:tr w14:paraId="6BCAC2C9">
        <w:tblPrEx>
          <w:tblCellMar>
            <w:top w:w="0" w:type="dxa"/>
            <w:left w:w="0" w:type="dxa"/>
            <w:bottom w:w="0" w:type="dxa"/>
            <w:right w:w="0" w:type="dxa"/>
          </w:tblCellMar>
        </w:tblPrEx>
        <w:trPr>
          <w:trHeight w:val="90" w:hRule="atLeast"/>
        </w:trPr>
        <w:tc>
          <w:tcPr>
            <w:tcW w:w="468" w:type="dxa"/>
            <w:vMerge w:val="continue"/>
            <w:tcBorders>
              <w:left w:val="single" w:color="auto" w:sz="4" w:space="0"/>
              <w:right w:val="single" w:color="auto" w:sz="4" w:space="0"/>
            </w:tcBorders>
            <w:noWrap/>
            <w:tcMar>
              <w:top w:w="15" w:type="dxa"/>
              <w:left w:w="15" w:type="dxa"/>
              <w:right w:w="15" w:type="dxa"/>
            </w:tcMar>
            <w:vAlign w:val="center"/>
          </w:tcPr>
          <w:p w14:paraId="651382A6">
            <w:pPr>
              <w:jc w:val="center"/>
              <w:rPr>
                <w:rFonts w:hint="eastAsia" w:ascii="宋体" w:hAnsi="宋体" w:eastAsia="宋体" w:cs="宋体"/>
                <w:i w:val="0"/>
                <w:color w:val="000000"/>
                <w:sz w:val="18"/>
                <w:szCs w:val="18"/>
                <w:u w:val="none"/>
              </w:rPr>
            </w:pPr>
          </w:p>
        </w:tc>
        <w:tc>
          <w:tcPr>
            <w:tcW w:w="1135" w:type="dxa"/>
            <w:tcBorders>
              <w:top w:val="single" w:color="auto" w:sz="4" w:space="0"/>
              <w:left w:val="single" w:color="auto" w:sz="4" w:space="0"/>
              <w:right w:val="single" w:color="auto" w:sz="4" w:space="0"/>
            </w:tcBorders>
            <w:noWrap/>
            <w:tcMar>
              <w:top w:w="15" w:type="dxa"/>
              <w:left w:w="15" w:type="dxa"/>
              <w:right w:w="15" w:type="dxa"/>
            </w:tcMar>
            <w:vAlign w:val="center"/>
          </w:tcPr>
          <w:p w14:paraId="12502AD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项目完成</w:t>
            </w:r>
          </w:p>
        </w:tc>
        <w:tc>
          <w:tcPr>
            <w:tcW w:w="1077" w:type="dxa"/>
            <w:tcBorders>
              <w:top w:val="single" w:color="auto" w:sz="4" w:space="0"/>
              <w:left w:val="single" w:color="auto" w:sz="4" w:space="0"/>
              <w:right w:val="single" w:color="auto" w:sz="4" w:space="0"/>
            </w:tcBorders>
            <w:noWrap/>
            <w:tcMar>
              <w:top w:w="15" w:type="dxa"/>
              <w:left w:w="15" w:type="dxa"/>
              <w:right w:w="15" w:type="dxa"/>
            </w:tcMar>
            <w:vAlign w:val="center"/>
          </w:tcPr>
          <w:p w14:paraId="13A654D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550" w:type="dxa"/>
            <w:gridSpan w:val="2"/>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7381A04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工作完成数量</w:t>
            </w:r>
          </w:p>
        </w:tc>
        <w:tc>
          <w:tcPr>
            <w:tcW w:w="44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5EB1A6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sz w:val="18"/>
                <w:szCs w:val="18"/>
                <w:lang w:val="en-US" w:eastAsia="zh-CN"/>
              </w:rPr>
              <w:t>5次以上组织老干部活动，包括组集体学习和座谈、外出活动、迎春团拜活动等。</w:t>
            </w:r>
            <w:r>
              <w:rPr>
                <w:rFonts w:hint="eastAsia" w:ascii="宋体" w:hAnsi="宋体" w:eastAsia="宋体" w:cs="宋体"/>
                <w:i w:val="0"/>
                <w:color w:val="000000"/>
                <w:sz w:val="18"/>
                <w:szCs w:val="18"/>
                <w:u w:val="none"/>
              </w:rPr>
              <w:t>干休所</w:t>
            </w:r>
            <w:r>
              <w:rPr>
                <w:rFonts w:hint="eastAsia" w:ascii="宋体" w:hAnsi="宋体" w:eastAsia="宋体" w:cs="宋体"/>
                <w:i w:val="0"/>
                <w:color w:val="000000"/>
                <w:sz w:val="18"/>
                <w:szCs w:val="18"/>
                <w:u w:val="none"/>
                <w:lang w:eastAsia="zh-CN"/>
              </w:rPr>
              <w:t>长期</w:t>
            </w:r>
            <w:r>
              <w:rPr>
                <w:rFonts w:hint="eastAsia" w:ascii="宋体" w:hAnsi="宋体" w:eastAsia="宋体" w:cs="宋体"/>
                <w:i w:val="0"/>
                <w:color w:val="000000"/>
                <w:sz w:val="18"/>
                <w:szCs w:val="18"/>
                <w:u w:val="none"/>
              </w:rPr>
              <w:t>聘用人员4人及临时聘请</w:t>
            </w:r>
            <w:r>
              <w:rPr>
                <w:rFonts w:hint="eastAsia" w:ascii="宋体" w:hAnsi="宋体" w:eastAsia="宋体" w:cs="宋体"/>
                <w:i w:val="0"/>
                <w:color w:val="000000"/>
                <w:sz w:val="18"/>
                <w:szCs w:val="18"/>
                <w:u w:val="none"/>
                <w:lang w:eastAsia="zh-CN"/>
              </w:rPr>
              <w:t>的护理</w:t>
            </w:r>
            <w:r>
              <w:rPr>
                <w:rFonts w:hint="eastAsia" w:ascii="宋体" w:hAnsi="宋体" w:eastAsia="宋体" w:cs="宋体"/>
                <w:i w:val="0"/>
                <w:color w:val="000000"/>
                <w:sz w:val="18"/>
                <w:szCs w:val="18"/>
                <w:u w:val="none"/>
              </w:rPr>
              <w:t>人员2人的劳务支出</w:t>
            </w:r>
            <w:r>
              <w:rPr>
                <w:rFonts w:hint="eastAsia" w:ascii="宋体" w:hAnsi="宋体" w:eastAsia="宋体" w:cs="宋体"/>
                <w:i w:val="0"/>
                <w:color w:val="000000"/>
                <w:sz w:val="18"/>
                <w:szCs w:val="18"/>
                <w:u w:val="none"/>
                <w:lang w:eastAsia="zh-CN"/>
              </w:rPr>
              <w:t>。</w:t>
            </w:r>
            <w:r>
              <w:rPr>
                <w:rFonts w:hint="eastAsia" w:ascii="宋体" w:hAnsi="宋体" w:eastAsia="宋体" w:cs="宋体"/>
                <w:i w:val="0"/>
                <w:color w:val="000000"/>
                <w:kern w:val="0"/>
                <w:sz w:val="18"/>
                <w:szCs w:val="18"/>
                <w:u w:val="none"/>
                <w:lang w:val="en-US" w:eastAsia="zh-CN" w:bidi="ar"/>
              </w:rPr>
              <w:t>成都市金牛区马鞍山路1号，管理离休老干部居住的两栋楼房（面积407.77平方米）零星维修。弥补公用经费不足（在编在职仅3人管理22人）；鉴于本单位的机构设置及编制配置实际，无法满足日常管理运转所需。</w:t>
            </w:r>
            <w:r>
              <w:rPr>
                <w:rFonts w:hint="eastAsia" w:ascii="宋体" w:hAnsi="宋体" w:eastAsia="宋体" w:cs="宋体"/>
                <w:sz w:val="18"/>
                <w:szCs w:val="18"/>
                <w:lang w:val="en-US" w:eastAsia="zh-CN"/>
              </w:rPr>
              <w:t>2025年，</w:t>
            </w:r>
            <w:r>
              <w:rPr>
                <w:rFonts w:hint="eastAsia" w:ascii="宋体" w:hAnsi="宋体" w:eastAsia="宋体" w:cs="宋体"/>
                <w:sz w:val="18"/>
                <w:szCs w:val="18"/>
                <w:lang w:eastAsia="zh-CN"/>
              </w:rPr>
              <w:t>帮助老干部看病就医、集体体检、组织活动、上门慰问</w:t>
            </w:r>
            <w:r>
              <w:rPr>
                <w:rFonts w:hint="eastAsia" w:ascii="宋体" w:hAnsi="宋体" w:eastAsia="宋体" w:cs="宋体"/>
                <w:sz w:val="18"/>
                <w:szCs w:val="18"/>
                <w:lang w:val="en-US" w:eastAsia="zh-CN"/>
              </w:rPr>
              <w:t>176</w:t>
            </w:r>
            <w:r>
              <w:rPr>
                <w:rFonts w:hint="eastAsia" w:ascii="宋体" w:hAnsi="宋体" w:eastAsia="宋体" w:cs="宋体"/>
                <w:sz w:val="18"/>
                <w:szCs w:val="18"/>
                <w:lang w:eastAsia="zh-CN"/>
              </w:rPr>
              <w:t>人次，其中往返住地与医院接送</w:t>
            </w:r>
            <w:r>
              <w:rPr>
                <w:rFonts w:hint="eastAsia" w:ascii="宋体" w:hAnsi="宋体" w:eastAsia="宋体" w:cs="宋体"/>
                <w:sz w:val="18"/>
                <w:szCs w:val="18"/>
                <w:lang w:val="en-US" w:eastAsia="zh-CN"/>
              </w:rPr>
              <w:t>96</w:t>
            </w:r>
            <w:r>
              <w:rPr>
                <w:rFonts w:hint="eastAsia" w:ascii="宋体" w:hAnsi="宋体" w:eastAsia="宋体" w:cs="宋体"/>
                <w:sz w:val="18"/>
                <w:szCs w:val="18"/>
                <w:lang w:eastAsia="zh-CN"/>
              </w:rPr>
              <w:t>人次。</w:t>
            </w:r>
          </w:p>
        </w:tc>
      </w:tr>
      <w:tr w14:paraId="7D1293D0">
        <w:tblPrEx>
          <w:tblCellMar>
            <w:top w:w="0" w:type="dxa"/>
            <w:left w:w="0" w:type="dxa"/>
            <w:bottom w:w="0" w:type="dxa"/>
            <w:right w:w="0" w:type="dxa"/>
          </w:tblCellMar>
        </w:tblPrEx>
        <w:trPr>
          <w:trHeight w:val="500" w:hRule="atLeast"/>
        </w:trPr>
        <w:tc>
          <w:tcPr>
            <w:tcW w:w="468" w:type="dxa"/>
            <w:vMerge w:val="continue"/>
            <w:tcBorders>
              <w:left w:val="single" w:color="000000" w:sz="4" w:space="0"/>
              <w:right w:val="single" w:color="000000" w:sz="4" w:space="0"/>
            </w:tcBorders>
            <w:noWrap/>
            <w:tcMar>
              <w:top w:w="15" w:type="dxa"/>
              <w:left w:w="15" w:type="dxa"/>
              <w:right w:w="15" w:type="dxa"/>
            </w:tcMar>
            <w:vAlign w:val="center"/>
          </w:tcPr>
          <w:p w14:paraId="60F0EF56">
            <w:pPr>
              <w:jc w:val="center"/>
              <w:rPr>
                <w:rFonts w:hint="eastAsia" w:ascii="宋体" w:hAnsi="宋体" w:eastAsia="宋体" w:cs="宋体"/>
                <w:i w:val="0"/>
                <w:color w:val="000000"/>
                <w:sz w:val="18"/>
                <w:szCs w:val="18"/>
                <w:u w:val="none"/>
              </w:rPr>
            </w:pPr>
          </w:p>
        </w:tc>
        <w:tc>
          <w:tcPr>
            <w:tcW w:w="1135" w:type="dxa"/>
            <w:tcBorders>
              <w:top w:val="single" w:color="auto" w:sz="4" w:space="0"/>
              <w:left w:val="single" w:color="auto" w:sz="4" w:space="0"/>
              <w:right w:val="single" w:color="auto" w:sz="4" w:space="0"/>
            </w:tcBorders>
            <w:noWrap/>
            <w:tcMar>
              <w:top w:w="15" w:type="dxa"/>
              <w:left w:w="15" w:type="dxa"/>
              <w:right w:w="15" w:type="dxa"/>
            </w:tcMar>
            <w:vAlign w:val="center"/>
          </w:tcPr>
          <w:p w14:paraId="39503D45">
            <w:pPr>
              <w:jc w:val="center"/>
              <w:rPr>
                <w:rFonts w:hint="eastAsia" w:ascii="宋体" w:hAnsi="宋体" w:eastAsia="宋体" w:cs="宋体"/>
                <w:i w:val="0"/>
                <w:color w:val="000000"/>
                <w:sz w:val="18"/>
                <w:szCs w:val="18"/>
                <w:u w:val="none"/>
              </w:rPr>
            </w:pPr>
          </w:p>
        </w:tc>
        <w:tc>
          <w:tcPr>
            <w:tcW w:w="1077" w:type="dxa"/>
            <w:tcBorders>
              <w:top w:val="single" w:color="auto" w:sz="4" w:space="0"/>
              <w:left w:val="single" w:color="auto" w:sz="4" w:space="0"/>
              <w:right w:val="single" w:color="000000" w:sz="4" w:space="0"/>
            </w:tcBorders>
            <w:noWrap/>
            <w:tcMar>
              <w:top w:w="15" w:type="dxa"/>
              <w:left w:w="15" w:type="dxa"/>
              <w:right w:w="15" w:type="dxa"/>
            </w:tcMar>
            <w:vAlign w:val="center"/>
          </w:tcPr>
          <w:p w14:paraId="3228B94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550" w:type="dxa"/>
            <w:gridSpan w:val="2"/>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7EA14DA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工作完成质量</w:t>
            </w:r>
          </w:p>
        </w:tc>
        <w:tc>
          <w:tcPr>
            <w:tcW w:w="443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13025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18"/>
                <w:szCs w:val="18"/>
                <w:u w:val="none"/>
              </w:rPr>
            </w:pPr>
            <w:r>
              <w:rPr>
                <w:rFonts w:hint="eastAsia" w:ascii="宋体" w:hAnsi="宋体" w:eastAsia="宋体" w:cs="宋体"/>
                <w:sz w:val="18"/>
                <w:szCs w:val="18"/>
                <w:lang w:eastAsia="zh-CN"/>
              </w:rPr>
              <w:t>认真做好走访慰问，切实把市委市政府的关心关怀送到老干部的心坎上。认真落实中央、省市委离退休老干部服务管理工作要求。切实提高政治站位，用心用情做好离退休干部服务管理工作。</w:t>
            </w:r>
            <w:r>
              <w:rPr>
                <w:rFonts w:hint="eastAsia" w:ascii="宋体" w:hAnsi="宋体" w:eastAsia="宋体" w:cs="宋体"/>
                <w:i w:val="0"/>
                <w:color w:val="000000"/>
                <w:kern w:val="0"/>
                <w:sz w:val="18"/>
                <w:szCs w:val="18"/>
                <w:u w:val="none"/>
                <w:lang w:val="en-US" w:eastAsia="zh-CN" w:bidi="ar"/>
              </w:rPr>
              <w:t>两栋楼房、车库、活动室、医务室及附属设施的日常维护维修，给老同志们一个较好的生活环境环境。</w:t>
            </w:r>
            <w:r>
              <w:rPr>
                <w:rFonts w:hint="eastAsia" w:ascii="宋体" w:hAnsi="宋体" w:eastAsia="宋体" w:cs="宋体"/>
                <w:sz w:val="18"/>
                <w:szCs w:val="18"/>
                <w:lang w:eastAsia="zh-CN"/>
              </w:rPr>
              <w:t>建立健全离退休老干部“一人一策”精准服务制度，完善健康档案，确保服务管理工作有条不紊、扎实有效，将市委、市政府对离退休干部的关心关爱之情传达到位。</w:t>
            </w:r>
          </w:p>
        </w:tc>
      </w:tr>
      <w:tr w14:paraId="444FEC82">
        <w:tblPrEx>
          <w:tblCellMar>
            <w:top w:w="0" w:type="dxa"/>
            <w:left w:w="0" w:type="dxa"/>
            <w:bottom w:w="0" w:type="dxa"/>
            <w:right w:w="0" w:type="dxa"/>
          </w:tblCellMar>
        </w:tblPrEx>
        <w:trPr>
          <w:trHeight w:val="385" w:hRule="atLeast"/>
        </w:trPr>
        <w:tc>
          <w:tcPr>
            <w:tcW w:w="468" w:type="dxa"/>
            <w:vMerge w:val="continue"/>
            <w:tcBorders>
              <w:left w:val="single" w:color="000000" w:sz="4" w:space="0"/>
              <w:right w:val="single" w:color="000000" w:sz="4" w:space="0"/>
            </w:tcBorders>
            <w:noWrap/>
            <w:tcMar>
              <w:top w:w="15" w:type="dxa"/>
              <w:left w:w="15" w:type="dxa"/>
              <w:right w:w="15" w:type="dxa"/>
            </w:tcMar>
            <w:vAlign w:val="center"/>
          </w:tcPr>
          <w:p w14:paraId="31A56F21">
            <w:pPr>
              <w:jc w:val="center"/>
              <w:rPr>
                <w:rFonts w:hint="eastAsia" w:ascii="宋体" w:hAnsi="宋体" w:eastAsia="宋体" w:cs="宋体"/>
                <w:i w:val="0"/>
                <w:color w:val="000000"/>
                <w:sz w:val="18"/>
                <w:szCs w:val="18"/>
                <w:u w:val="none"/>
              </w:rPr>
            </w:pPr>
          </w:p>
        </w:tc>
        <w:tc>
          <w:tcPr>
            <w:tcW w:w="1135" w:type="dxa"/>
            <w:vMerge w:val="restart"/>
            <w:tcBorders>
              <w:left w:val="single" w:color="auto" w:sz="4" w:space="0"/>
              <w:right w:val="single" w:color="auto" w:sz="4" w:space="0"/>
            </w:tcBorders>
            <w:noWrap/>
            <w:tcMar>
              <w:top w:w="15" w:type="dxa"/>
              <w:left w:w="15" w:type="dxa"/>
              <w:right w:w="15" w:type="dxa"/>
            </w:tcMar>
            <w:vAlign w:val="center"/>
          </w:tcPr>
          <w:p w14:paraId="78868E29">
            <w:pPr>
              <w:jc w:val="center"/>
              <w:rPr>
                <w:rFonts w:hint="eastAsia" w:ascii="宋体" w:hAnsi="宋体" w:eastAsia="宋体" w:cs="宋体"/>
                <w:i w:val="0"/>
                <w:color w:val="000000"/>
                <w:sz w:val="18"/>
                <w:szCs w:val="18"/>
                <w:u w:val="none"/>
              </w:rPr>
            </w:pPr>
          </w:p>
        </w:tc>
        <w:tc>
          <w:tcPr>
            <w:tcW w:w="1077" w:type="dxa"/>
            <w:tcBorders>
              <w:top w:val="single" w:color="000000" w:sz="4" w:space="0"/>
              <w:left w:val="single" w:color="auto" w:sz="4" w:space="0"/>
              <w:right w:val="single" w:color="000000" w:sz="4" w:space="0"/>
            </w:tcBorders>
            <w:noWrap/>
            <w:tcMar>
              <w:top w:w="15" w:type="dxa"/>
              <w:left w:w="15" w:type="dxa"/>
              <w:right w:w="15" w:type="dxa"/>
            </w:tcMar>
            <w:vAlign w:val="center"/>
          </w:tcPr>
          <w:p w14:paraId="463452E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550"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6DA04E4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工作完成时间</w:t>
            </w:r>
          </w:p>
        </w:tc>
        <w:tc>
          <w:tcPr>
            <w:tcW w:w="44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7200A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全年</w:t>
            </w:r>
          </w:p>
        </w:tc>
      </w:tr>
      <w:tr w14:paraId="6D18046E">
        <w:tblPrEx>
          <w:tblCellMar>
            <w:top w:w="0" w:type="dxa"/>
            <w:left w:w="0" w:type="dxa"/>
            <w:bottom w:w="0" w:type="dxa"/>
            <w:right w:w="0" w:type="dxa"/>
          </w:tblCellMar>
        </w:tblPrEx>
        <w:trPr>
          <w:trHeight w:val="400" w:hRule="atLeast"/>
        </w:trPr>
        <w:tc>
          <w:tcPr>
            <w:tcW w:w="468" w:type="dxa"/>
            <w:vMerge w:val="continue"/>
            <w:tcBorders>
              <w:left w:val="single" w:color="000000" w:sz="4" w:space="0"/>
              <w:right w:val="single" w:color="000000" w:sz="4" w:space="0"/>
            </w:tcBorders>
            <w:noWrap/>
            <w:tcMar>
              <w:top w:w="15" w:type="dxa"/>
              <w:left w:w="15" w:type="dxa"/>
              <w:right w:w="15" w:type="dxa"/>
            </w:tcMar>
            <w:vAlign w:val="center"/>
          </w:tcPr>
          <w:p w14:paraId="2A20BB66">
            <w:pPr>
              <w:jc w:val="center"/>
              <w:rPr>
                <w:rFonts w:hint="eastAsia" w:ascii="宋体" w:hAnsi="宋体" w:eastAsia="宋体" w:cs="宋体"/>
                <w:i w:val="0"/>
                <w:color w:val="000000"/>
                <w:sz w:val="18"/>
                <w:szCs w:val="18"/>
                <w:u w:val="none"/>
              </w:rPr>
            </w:pPr>
          </w:p>
        </w:tc>
        <w:tc>
          <w:tcPr>
            <w:tcW w:w="1135" w:type="dxa"/>
            <w:vMerge w:val="continue"/>
            <w:tcBorders>
              <w:left w:val="single" w:color="auto" w:sz="4" w:space="0"/>
              <w:right w:val="single" w:color="auto" w:sz="4" w:space="0"/>
            </w:tcBorders>
            <w:noWrap/>
            <w:tcMar>
              <w:top w:w="15" w:type="dxa"/>
              <w:left w:w="15" w:type="dxa"/>
              <w:right w:w="15" w:type="dxa"/>
            </w:tcMar>
            <w:vAlign w:val="center"/>
          </w:tcPr>
          <w:p w14:paraId="771FFB70">
            <w:pPr>
              <w:jc w:val="center"/>
              <w:rPr>
                <w:rFonts w:hint="eastAsia" w:ascii="宋体" w:hAnsi="宋体" w:eastAsia="宋体" w:cs="宋体"/>
                <w:i w:val="0"/>
                <w:color w:val="000000"/>
                <w:sz w:val="18"/>
                <w:szCs w:val="18"/>
                <w:u w:val="none"/>
              </w:rPr>
            </w:pPr>
          </w:p>
        </w:tc>
        <w:tc>
          <w:tcPr>
            <w:tcW w:w="1077" w:type="dxa"/>
            <w:tcBorders>
              <w:top w:val="single" w:color="000000" w:sz="4" w:space="0"/>
              <w:left w:val="single" w:color="auto" w:sz="4" w:space="0"/>
              <w:right w:val="single" w:color="000000" w:sz="4" w:space="0"/>
            </w:tcBorders>
            <w:noWrap/>
            <w:tcMar>
              <w:top w:w="15" w:type="dxa"/>
              <w:left w:w="15" w:type="dxa"/>
              <w:right w:w="15" w:type="dxa"/>
            </w:tcMar>
            <w:vAlign w:val="center"/>
          </w:tcPr>
          <w:p w14:paraId="0BC68BC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550"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14:paraId="19FBD96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工作完成所需成本</w:t>
            </w:r>
          </w:p>
        </w:tc>
        <w:tc>
          <w:tcPr>
            <w:tcW w:w="4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12A1F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3万元</w:t>
            </w:r>
          </w:p>
        </w:tc>
      </w:tr>
      <w:tr w14:paraId="5EF58BCB">
        <w:tblPrEx>
          <w:tblCellMar>
            <w:top w:w="0" w:type="dxa"/>
            <w:left w:w="0" w:type="dxa"/>
            <w:bottom w:w="0" w:type="dxa"/>
            <w:right w:w="0" w:type="dxa"/>
          </w:tblCellMar>
        </w:tblPrEx>
        <w:trPr>
          <w:trHeight w:val="500" w:hRule="atLeast"/>
        </w:trPr>
        <w:tc>
          <w:tcPr>
            <w:tcW w:w="468" w:type="dxa"/>
            <w:vMerge w:val="continue"/>
            <w:tcBorders>
              <w:left w:val="single" w:color="000000" w:sz="4" w:space="0"/>
              <w:right w:val="single" w:color="000000" w:sz="4" w:space="0"/>
            </w:tcBorders>
            <w:noWrap/>
            <w:tcMar>
              <w:top w:w="15" w:type="dxa"/>
              <w:left w:w="15" w:type="dxa"/>
              <w:right w:w="15" w:type="dxa"/>
            </w:tcMar>
            <w:vAlign w:val="center"/>
          </w:tcPr>
          <w:p w14:paraId="4DC4D2B4">
            <w:pPr>
              <w:jc w:val="center"/>
              <w:rPr>
                <w:rFonts w:hint="eastAsia" w:ascii="宋体" w:hAnsi="宋体" w:eastAsia="宋体" w:cs="宋体"/>
                <w:i w:val="0"/>
                <w:color w:val="000000"/>
                <w:sz w:val="18"/>
                <w:szCs w:val="18"/>
                <w:u w:val="none"/>
              </w:rPr>
            </w:pPr>
          </w:p>
        </w:tc>
        <w:tc>
          <w:tcPr>
            <w:tcW w:w="1135" w:type="dxa"/>
            <w:vMerge w:val="restar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3B6CA0F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项目效益</w:t>
            </w:r>
          </w:p>
        </w:tc>
        <w:tc>
          <w:tcPr>
            <w:tcW w:w="1077" w:type="dxa"/>
            <w:tcBorders>
              <w:top w:val="single" w:color="auto" w:sz="4" w:space="0"/>
              <w:left w:val="single" w:color="auto" w:sz="4" w:space="0"/>
              <w:right w:val="single" w:color="auto" w:sz="4" w:space="0"/>
            </w:tcBorders>
            <w:noWrap w:val="0"/>
            <w:tcMar>
              <w:top w:w="15" w:type="dxa"/>
              <w:left w:w="15" w:type="dxa"/>
              <w:right w:w="15" w:type="dxa"/>
            </w:tcMar>
            <w:vAlign w:val="center"/>
          </w:tcPr>
          <w:p w14:paraId="602248D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  指标</w:t>
            </w:r>
          </w:p>
        </w:tc>
        <w:tc>
          <w:tcPr>
            <w:tcW w:w="1550" w:type="dxa"/>
            <w:gridSpan w:val="2"/>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1F11A62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工作完成所需成本</w:t>
            </w:r>
          </w:p>
        </w:tc>
        <w:tc>
          <w:tcPr>
            <w:tcW w:w="4430"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0D49AAC0">
            <w:pPr>
              <w:keepNext w:val="0"/>
              <w:keepLines w:val="0"/>
              <w:pageBreakBefore w:val="0"/>
              <w:widowControl/>
              <w:kinsoku/>
              <w:wordWrap/>
              <w:overflowPunct/>
              <w:topLinePunct w:val="0"/>
              <w:autoSpaceDE/>
              <w:autoSpaceDN/>
              <w:bidi w:val="0"/>
              <w:adjustRightInd/>
              <w:snapToGrid w:val="0"/>
              <w:spacing w:line="240" w:lineRule="auto"/>
              <w:jc w:val="both"/>
              <w:textAlignment w:val="auto"/>
              <w:rPr>
                <w:rFonts w:hint="eastAsia" w:ascii="宋体" w:hAnsi="宋体" w:eastAsia="宋体" w:cs="宋体"/>
                <w:sz w:val="18"/>
                <w:szCs w:val="18"/>
                <w:lang w:eastAsia="zh-CN"/>
              </w:rPr>
            </w:pPr>
            <w:r>
              <w:rPr>
                <w:rFonts w:hint="eastAsia" w:ascii="宋体" w:hAnsi="宋体" w:eastAsia="宋体" w:cs="宋体"/>
                <w:sz w:val="18"/>
                <w:szCs w:val="18"/>
                <w:lang w:val="en-US" w:eastAsia="zh-CN"/>
              </w:rPr>
              <w:t>组织老同志外出到成都周边游览休闲，让他们亲身感受城乡建设的伟大成就和祖国日新月异的变化，分享经济发展和社会进步的成果及其带给人民的福利。要让老同志病有所依,老有所养,使老同志真正感受到干休所是一个和谐温馨的大家庭。</w:t>
            </w:r>
            <w:r>
              <w:rPr>
                <w:rFonts w:hint="eastAsia" w:ascii="宋体" w:hAnsi="宋体" w:eastAsia="宋体" w:cs="宋体"/>
                <w:sz w:val="18"/>
                <w:szCs w:val="18"/>
                <w:lang w:eastAsia="zh-CN"/>
              </w:rPr>
              <w:t>使离退休老干部及遗属深切感受到了党的关怀和温暖。</w:t>
            </w:r>
          </w:p>
          <w:p w14:paraId="2FD816B4">
            <w:pPr>
              <w:keepNext w:val="0"/>
              <w:keepLines w:val="0"/>
              <w:widowControl/>
              <w:suppressLineNumbers w:val="0"/>
              <w:jc w:val="both"/>
              <w:textAlignment w:val="center"/>
              <w:rPr>
                <w:rFonts w:hint="eastAsia" w:ascii="宋体" w:hAnsi="宋体" w:eastAsia="宋体" w:cs="宋体"/>
                <w:i w:val="0"/>
                <w:color w:val="000000"/>
                <w:sz w:val="18"/>
                <w:szCs w:val="18"/>
                <w:u w:val="none"/>
              </w:rPr>
            </w:pPr>
          </w:p>
        </w:tc>
      </w:tr>
      <w:tr w14:paraId="1C9191DE">
        <w:tblPrEx>
          <w:tblCellMar>
            <w:top w:w="0" w:type="dxa"/>
            <w:left w:w="0" w:type="dxa"/>
            <w:bottom w:w="0" w:type="dxa"/>
            <w:right w:w="0" w:type="dxa"/>
          </w:tblCellMar>
        </w:tblPrEx>
        <w:trPr>
          <w:trHeight w:val="864" w:hRule="atLeast"/>
        </w:trPr>
        <w:tc>
          <w:tcPr>
            <w:tcW w:w="468" w:type="dxa"/>
            <w:vMerge w:val="continue"/>
            <w:tcBorders>
              <w:left w:val="single" w:color="000000" w:sz="4" w:space="0"/>
              <w:bottom w:val="single" w:color="auto" w:sz="4" w:space="0"/>
              <w:right w:val="single" w:color="000000" w:sz="4" w:space="0"/>
            </w:tcBorders>
            <w:noWrap/>
            <w:tcMar>
              <w:top w:w="15" w:type="dxa"/>
              <w:left w:w="15" w:type="dxa"/>
              <w:right w:w="15" w:type="dxa"/>
            </w:tcMar>
            <w:vAlign w:val="center"/>
          </w:tcPr>
          <w:p w14:paraId="6458CC49">
            <w:pPr>
              <w:jc w:val="center"/>
              <w:rPr>
                <w:rFonts w:hint="eastAsia" w:ascii="宋体" w:hAnsi="宋体" w:eastAsia="宋体" w:cs="宋体"/>
                <w:i w:val="0"/>
                <w:color w:val="000000"/>
                <w:sz w:val="18"/>
                <w:szCs w:val="18"/>
                <w:u w:val="none"/>
              </w:rPr>
            </w:pPr>
          </w:p>
        </w:tc>
        <w:tc>
          <w:tcPr>
            <w:tcW w:w="1135" w:type="dxa"/>
            <w:vMerge w:val="continue"/>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1CE35BE9">
            <w:pPr>
              <w:jc w:val="center"/>
              <w:rPr>
                <w:rFonts w:hint="eastAsia" w:ascii="宋体" w:hAnsi="宋体" w:eastAsia="宋体" w:cs="宋体"/>
                <w:i w:val="0"/>
                <w:color w:val="000000"/>
                <w:sz w:val="18"/>
                <w:szCs w:val="18"/>
                <w:u w:val="none"/>
              </w:rPr>
            </w:pPr>
          </w:p>
        </w:tc>
        <w:tc>
          <w:tcPr>
            <w:tcW w:w="1077" w:type="dxa"/>
            <w:tcBorders>
              <w:top w:val="single" w:color="000000" w:sz="4" w:space="0"/>
              <w:left w:val="single" w:color="000000" w:sz="4" w:space="0"/>
              <w:bottom w:val="single" w:color="auto" w:sz="4" w:space="0"/>
              <w:right w:val="nil"/>
            </w:tcBorders>
            <w:noWrap w:val="0"/>
            <w:tcMar>
              <w:top w:w="15" w:type="dxa"/>
              <w:left w:w="15" w:type="dxa"/>
              <w:right w:w="15" w:type="dxa"/>
            </w:tcMar>
            <w:vAlign w:val="center"/>
          </w:tcPr>
          <w:p w14:paraId="121BDDE1">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生态效益</w:t>
            </w:r>
          </w:p>
          <w:p w14:paraId="34F49A7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w:t>
            </w:r>
          </w:p>
        </w:tc>
        <w:tc>
          <w:tcPr>
            <w:tcW w:w="1550" w:type="dxa"/>
            <w:gridSpan w:val="2"/>
            <w:tcBorders>
              <w:top w:val="nil"/>
              <w:left w:val="single" w:color="000000" w:sz="4" w:space="0"/>
              <w:bottom w:val="single" w:color="auto" w:sz="4" w:space="0"/>
              <w:right w:val="single" w:color="000000" w:sz="4" w:space="0"/>
            </w:tcBorders>
            <w:noWrap/>
            <w:tcMar>
              <w:top w:w="15" w:type="dxa"/>
              <w:left w:w="15" w:type="dxa"/>
              <w:right w:w="15" w:type="dxa"/>
            </w:tcMar>
            <w:vAlign w:val="center"/>
          </w:tcPr>
          <w:p w14:paraId="12C7400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工作完成产生效益</w:t>
            </w:r>
          </w:p>
        </w:tc>
        <w:tc>
          <w:tcPr>
            <w:tcW w:w="443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72E18F4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color w:val="000000"/>
                <w:sz w:val="18"/>
                <w:szCs w:val="18"/>
                <w:u w:val="none"/>
              </w:rPr>
            </w:pPr>
            <w:r>
              <w:rPr>
                <w:rFonts w:hint="eastAsia" w:ascii="宋体" w:hAnsi="宋体" w:eastAsia="宋体" w:cs="宋体"/>
                <w:sz w:val="18"/>
                <w:szCs w:val="18"/>
                <w:lang w:val="en-US" w:eastAsia="zh-CN"/>
              </w:rPr>
              <w:t>在春节、劳动节、国庆、重阳节等重大节日时，购一些米、油和水果慰问全体老干部，把组织的关心带到每一家。</w:t>
            </w:r>
          </w:p>
        </w:tc>
      </w:tr>
      <w:tr w14:paraId="6BCA173A">
        <w:tblPrEx>
          <w:tblCellMar>
            <w:top w:w="0" w:type="dxa"/>
            <w:left w:w="0" w:type="dxa"/>
            <w:bottom w:w="0" w:type="dxa"/>
            <w:right w:w="0" w:type="dxa"/>
          </w:tblCellMar>
        </w:tblPrEx>
        <w:trPr>
          <w:trHeight w:val="700" w:hRule="atLeast"/>
        </w:trPr>
        <w:tc>
          <w:tcPr>
            <w:tcW w:w="468" w:type="dxa"/>
            <w:vMerge w:val="continue"/>
            <w:tcBorders>
              <w:left w:val="single" w:color="auto" w:sz="4" w:space="0"/>
              <w:right w:val="single" w:color="auto" w:sz="4" w:space="0"/>
            </w:tcBorders>
            <w:noWrap/>
            <w:tcMar>
              <w:top w:w="15" w:type="dxa"/>
              <w:left w:w="15" w:type="dxa"/>
              <w:right w:w="15" w:type="dxa"/>
            </w:tcMar>
            <w:vAlign w:val="center"/>
          </w:tcPr>
          <w:p w14:paraId="4DB9D8F0">
            <w:pPr>
              <w:jc w:val="center"/>
              <w:rPr>
                <w:rFonts w:hint="eastAsia" w:ascii="宋体" w:hAnsi="宋体" w:eastAsia="宋体" w:cs="宋体"/>
                <w:i w:val="0"/>
                <w:color w:val="000000"/>
                <w:sz w:val="18"/>
                <w:szCs w:val="18"/>
                <w:u w:val="none"/>
              </w:rPr>
            </w:pPr>
          </w:p>
        </w:tc>
        <w:tc>
          <w:tcPr>
            <w:tcW w:w="1135" w:type="dxa"/>
            <w:vMerge w:val="continue"/>
            <w:tcBorders>
              <w:left w:val="nil"/>
              <w:right w:val="nil"/>
            </w:tcBorders>
            <w:noWrap/>
            <w:tcMar>
              <w:top w:w="15" w:type="dxa"/>
              <w:left w:w="15" w:type="dxa"/>
              <w:right w:w="15" w:type="dxa"/>
            </w:tcMar>
            <w:vAlign w:val="center"/>
          </w:tcPr>
          <w:p w14:paraId="438A1855">
            <w:pPr>
              <w:jc w:val="center"/>
              <w:rPr>
                <w:rFonts w:hint="eastAsia" w:ascii="宋体" w:hAnsi="宋体" w:eastAsia="宋体" w:cs="宋体"/>
                <w:i w:val="0"/>
                <w:color w:val="000000"/>
                <w:sz w:val="18"/>
                <w:szCs w:val="18"/>
                <w:u w:val="none"/>
              </w:rPr>
            </w:pPr>
          </w:p>
        </w:tc>
        <w:tc>
          <w:tcPr>
            <w:tcW w:w="1077" w:type="dxa"/>
            <w:tcBorders>
              <w:top w:val="single" w:color="auto" w:sz="4" w:space="0"/>
              <w:left w:val="single" w:color="000000" w:sz="4" w:space="0"/>
              <w:right w:val="nil"/>
            </w:tcBorders>
            <w:noWrap w:val="0"/>
            <w:tcMar>
              <w:top w:w="15" w:type="dxa"/>
              <w:left w:w="15" w:type="dxa"/>
              <w:right w:w="15" w:type="dxa"/>
            </w:tcMar>
            <w:vAlign w:val="center"/>
          </w:tcPr>
          <w:p w14:paraId="424DD75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可持续影响指标</w:t>
            </w:r>
          </w:p>
        </w:tc>
        <w:tc>
          <w:tcPr>
            <w:tcW w:w="1550" w:type="dxa"/>
            <w:gridSpan w:val="2"/>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31F47C8B">
            <w:pPr>
              <w:keepNext w:val="0"/>
              <w:keepLines w:val="0"/>
              <w:widowControl/>
              <w:suppressLineNumbers w:val="0"/>
              <w:jc w:val="left"/>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工作完成产生影响</w:t>
            </w:r>
          </w:p>
        </w:tc>
        <w:tc>
          <w:tcPr>
            <w:tcW w:w="4430" w:type="dxa"/>
            <w:tcBorders>
              <w:top w:val="single" w:color="auto" w:sz="4" w:space="0"/>
              <w:left w:val="single" w:color="000000" w:sz="4" w:space="0"/>
              <w:bottom w:val="nil"/>
              <w:right w:val="single" w:color="000000" w:sz="4" w:space="0"/>
            </w:tcBorders>
            <w:noWrap w:val="0"/>
            <w:tcMar>
              <w:top w:w="15" w:type="dxa"/>
              <w:left w:w="15" w:type="dxa"/>
              <w:right w:w="15" w:type="dxa"/>
            </w:tcMar>
            <w:vAlign w:val="center"/>
          </w:tcPr>
          <w:p w14:paraId="2958BD16">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sz w:val="18"/>
                <w:szCs w:val="18"/>
                <w:lang w:eastAsia="zh-CN"/>
              </w:rPr>
              <w:t>认真落实中央、省市委离退休老干部服务管理工作要求，用心用情做好离退休干部服务管理工作。</w:t>
            </w:r>
            <w:r>
              <w:rPr>
                <w:rFonts w:hint="eastAsia" w:ascii="宋体" w:hAnsi="宋体" w:eastAsia="宋体" w:cs="宋体"/>
                <w:i w:val="0"/>
                <w:color w:val="000000"/>
                <w:kern w:val="0"/>
                <w:sz w:val="18"/>
                <w:szCs w:val="18"/>
                <w:u w:val="none"/>
                <w:lang w:val="en-US" w:eastAsia="zh-CN" w:bidi="ar"/>
              </w:rPr>
              <w:t>让尊老、敬老、爱老这一传统美德在干休所充分体现，以儿女之心，晚辈之情作好老干部各项服务工作。立足本职，尽力尽责，得到老同志们的一致好评。</w:t>
            </w:r>
            <w:r>
              <w:rPr>
                <w:rFonts w:hint="eastAsia" w:ascii="宋体" w:hAnsi="宋体" w:eastAsia="宋体" w:cs="宋体"/>
                <w:sz w:val="18"/>
                <w:szCs w:val="18"/>
                <w:lang w:eastAsia="zh-CN"/>
              </w:rPr>
              <w:t>取得“慰问一人、温暖一户、带动一片”的良好效果。</w:t>
            </w:r>
          </w:p>
        </w:tc>
      </w:tr>
      <w:tr w14:paraId="0FC36FBA">
        <w:tblPrEx>
          <w:tblCellMar>
            <w:top w:w="0" w:type="dxa"/>
            <w:left w:w="0" w:type="dxa"/>
            <w:bottom w:w="0" w:type="dxa"/>
            <w:right w:w="0" w:type="dxa"/>
          </w:tblCellMar>
        </w:tblPrEx>
        <w:trPr>
          <w:trHeight w:val="500" w:hRule="atLeast"/>
        </w:trPr>
        <w:tc>
          <w:tcPr>
            <w:tcW w:w="468" w:type="dxa"/>
            <w:vMerge w:val="continue"/>
            <w:tcBorders>
              <w:left w:val="single" w:color="auto" w:sz="4" w:space="0"/>
              <w:bottom w:val="single" w:color="000000" w:sz="4" w:space="0"/>
              <w:right w:val="single" w:color="auto" w:sz="4" w:space="0"/>
            </w:tcBorders>
            <w:noWrap/>
            <w:tcMar>
              <w:top w:w="15" w:type="dxa"/>
              <w:left w:w="15" w:type="dxa"/>
              <w:right w:w="15" w:type="dxa"/>
            </w:tcMar>
            <w:vAlign w:val="center"/>
          </w:tcPr>
          <w:p w14:paraId="5E766EB3">
            <w:pPr>
              <w:jc w:val="center"/>
              <w:rPr>
                <w:rFonts w:hint="eastAsia" w:ascii="宋体" w:hAnsi="宋体" w:eastAsia="宋体" w:cs="宋体"/>
                <w:i w:val="0"/>
                <w:color w:val="000000"/>
                <w:sz w:val="18"/>
                <w:szCs w:val="18"/>
                <w:u w:val="none"/>
              </w:rPr>
            </w:pPr>
          </w:p>
        </w:tc>
        <w:tc>
          <w:tcPr>
            <w:tcW w:w="1135"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14F2261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满意度指标</w:t>
            </w:r>
          </w:p>
        </w:tc>
        <w:tc>
          <w:tcPr>
            <w:tcW w:w="1077"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79DB380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15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28E40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离休老干部</w:t>
            </w:r>
          </w:p>
        </w:tc>
        <w:tc>
          <w:tcPr>
            <w:tcW w:w="44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1F56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≥98%</w:t>
            </w:r>
          </w:p>
        </w:tc>
      </w:tr>
      <w:tr w14:paraId="140C206B">
        <w:tblPrEx>
          <w:tblCellMar>
            <w:top w:w="0" w:type="dxa"/>
            <w:left w:w="0" w:type="dxa"/>
            <w:bottom w:w="0" w:type="dxa"/>
            <w:right w:w="0" w:type="dxa"/>
          </w:tblCellMar>
        </w:tblPrEx>
        <w:trPr>
          <w:trHeight w:val="432" w:hRule="atLeast"/>
        </w:trPr>
        <w:tc>
          <w:tcPr>
            <w:tcW w:w="8660" w:type="dxa"/>
            <w:gridSpan w:val="6"/>
            <w:vMerge w:val="restart"/>
            <w:tcBorders>
              <w:top w:val="nil"/>
              <w:left w:val="nil"/>
              <w:bottom w:val="nil"/>
              <w:right w:val="nil"/>
            </w:tcBorders>
            <w:noWrap/>
            <w:tcMar>
              <w:top w:w="15" w:type="dxa"/>
              <w:left w:w="15" w:type="dxa"/>
              <w:right w:w="15" w:type="dxa"/>
            </w:tcMar>
            <w:vAlign w:val="center"/>
          </w:tcPr>
          <w:p w14:paraId="4FDF9B9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default" w:ascii="Calibri" w:hAnsi="Calibri" w:eastAsia="仿宋_GB2312" w:cs="Calibri"/>
                <w:sz w:val="32"/>
                <w:szCs w:val="32"/>
              </w:rPr>
              <w:t>③</w:t>
            </w:r>
            <w:r>
              <w:rPr>
                <w:rFonts w:hint="eastAsia" w:ascii="仿宋_GB2312" w:hAnsi="仿宋_GB2312" w:eastAsia="仿宋_GB2312" w:cs="仿宋_GB2312"/>
                <w:sz w:val="32"/>
                <w:szCs w:val="32"/>
                <w:lang w:val="en-US" w:eastAsia="zh-CN"/>
              </w:rPr>
              <w:t>维修维护费3万元，用于服务中心管理的“西锦·渡”小区设施设备的维修维护。</w:t>
            </w:r>
          </w:p>
          <w:p w14:paraId="2206580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宋体" w:hAnsi="宋体" w:eastAsia="宋体" w:cs="宋体"/>
                <w:b/>
                <w:i w:val="0"/>
                <w:color w:val="000000"/>
                <w:sz w:val="32"/>
                <w:szCs w:val="32"/>
                <w:u w:val="none"/>
              </w:rPr>
            </w:pPr>
            <w:r>
              <w:rPr>
                <w:rFonts w:hint="eastAsia" w:ascii="仿宋_GB2312" w:hAnsi="仿宋_GB2312" w:eastAsia="仿宋_GB2312" w:cs="仿宋_GB2312"/>
                <w:b w:val="0"/>
                <w:bCs/>
                <w:i w:val="0"/>
                <w:color w:val="000000"/>
                <w:kern w:val="0"/>
                <w:sz w:val="32"/>
                <w:szCs w:val="32"/>
                <w:u w:val="none"/>
                <w:lang w:val="en-US" w:eastAsia="zh-CN" w:bidi="ar"/>
              </w:rPr>
              <w:t>部门（单位）预算项目支出绩效目标表</w:t>
            </w:r>
          </w:p>
        </w:tc>
      </w:tr>
      <w:tr w14:paraId="4833B652">
        <w:tblPrEx>
          <w:tblCellMar>
            <w:top w:w="0" w:type="dxa"/>
            <w:left w:w="0" w:type="dxa"/>
            <w:bottom w:w="0" w:type="dxa"/>
            <w:right w:w="0" w:type="dxa"/>
          </w:tblCellMar>
        </w:tblPrEx>
        <w:trPr>
          <w:trHeight w:val="529" w:hRule="atLeast"/>
        </w:trPr>
        <w:tc>
          <w:tcPr>
            <w:tcW w:w="8660" w:type="dxa"/>
            <w:gridSpan w:val="6"/>
            <w:vMerge w:val="continue"/>
            <w:tcBorders>
              <w:top w:val="nil"/>
              <w:left w:val="nil"/>
              <w:bottom w:val="nil"/>
              <w:right w:val="nil"/>
            </w:tcBorders>
            <w:noWrap/>
            <w:tcMar>
              <w:top w:w="15" w:type="dxa"/>
              <w:left w:w="15" w:type="dxa"/>
              <w:right w:w="15" w:type="dxa"/>
            </w:tcMar>
            <w:vAlign w:val="center"/>
          </w:tcPr>
          <w:p w14:paraId="3C9A315A">
            <w:pPr>
              <w:jc w:val="center"/>
              <w:rPr>
                <w:rFonts w:hint="eastAsia" w:ascii="宋体" w:hAnsi="宋体" w:eastAsia="宋体" w:cs="宋体"/>
                <w:b/>
                <w:i w:val="0"/>
                <w:color w:val="000000"/>
                <w:sz w:val="32"/>
                <w:szCs w:val="32"/>
                <w:u w:val="none"/>
              </w:rPr>
            </w:pPr>
          </w:p>
        </w:tc>
      </w:tr>
      <w:tr w14:paraId="09667E72">
        <w:tblPrEx>
          <w:tblCellMar>
            <w:top w:w="0" w:type="dxa"/>
            <w:left w:w="0" w:type="dxa"/>
            <w:bottom w:w="0" w:type="dxa"/>
            <w:right w:w="0" w:type="dxa"/>
          </w:tblCellMar>
        </w:tblPrEx>
        <w:trPr>
          <w:trHeight w:val="460" w:hRule="atLeast"/>
        </w:trPr>
        <w:tc>
          <w:tcPr>
            <w:tcW w:w="8660" w:type="dxa"/>
            <w:gridSpan w:val="6"/>
            <w:tcBorders>
              <w:top w:val="nil"/>
              <w:left w:val="nil"/>
              <w:bottom w:val="nil"/>
              <w:right w:val="nil"/>
            </w:tcBorders>
            <w:noWrap/>
            <w:tcMar>
              <w:top w:w="15" w:type="dxa"/>
              <w:left w:w="15" w:type="dxa"/>
              <w:right w:w="15" w:type="dxa"/>
            </w:tcMar>
            <w:vAlign w:val="center"/>
          </w:tcPr>
          <w:p w14:paraId="3DD6007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(2025年度)</w:t>
            </w:r>
          </w:p>
        </w:tc>
      </w:tr>
      <w:tr w14:paraId="4DCBFF88">
        <w:tblPrEx>
          <w:tblCellMar>
            <w:top w:w="0" w:type="dxa"/>
            <w:left w:w="0" w:type="dxa"/>
            <w:bottom w:w="0" w:type="dxa"/>
            <w:right w:w="0" w:type="dxa"/>
          </w:tblCellMar>
        </w:tblPrEx>
        <w:trPr>
          <w:trHeight w:val="445" w:hRule="atLeast"/>
        </w:trPr>
        <w:tc>
          <w:tcPr>
            <w:tcW w:w="46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0EDA7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项目名称</w:t>
            </w:r>
          </w:p>
        </w:tc>
        <w:tc>
          <w:tcPr>
            <w:tcW w:w="8192"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D4980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维修维护费</w:t>
            </w:r>
          </w:p>
        </w:tc>
      </w:tr>
      <w:tr w14:paraId="6C440FA3">
        <w:tblPrEx>
          <w:tblCellMar>
            <w:top w:w="0" w:type="dxa"/>
            <w:left w:w="0" w:type="dxa"/>
            <w:bottom w:w="0" w:type="dxa"/>
            <w:right w:w="0" w:type="dxa"/>
          </w:tblCellMar>
        </w:tblPrEx>
        <w:trPr>
          <w:trHeight w:val="470" w:hRule="atLeast"/>
        </w:trPr>
        <w:tc>
          <w:tcPr>
            <w:tcW w:w="468" w:type="dxa"/>
            <w:tcBorders>
              <w:top w:val="single" w:color="000000" w:sz="4" w:space="0"/>
              <w:left w:val="single" w:color="000000" w:sz="4" w:space="0"/>
              <w:bottom w:val="nil"/>
              <w:right w:val="single" w:color="000000" w:sz="4" w:space="0"/>
            </w:tcBorders>
            <w:noWrap/>
            <w:tcMar>
              <w:top w:w="15" w:type="dxa"/>
              <w:left w:w="15" w:type="dxa"/>
              <w:right w:w="15" w:type="dxa"/>
            </w:tcMar>
            <w:vAlign w:val="center"/>
          </w:tcPr>
          <w:p w14:paraId="3797B25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部门（单位）</w:t>
            </w:r>
          </w:p>
        </w:tc>
        <w:tc>
          <w:tcPr>
            <w:tcW w:w="8192"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334A1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攀枝花市成都干部服务中心</w:t>
            </w:r>
          </w:p>
        </w:tc>
      </w:tr>
      <w:tr w14:paraId="68D89E31">
        <w:tblPrEx>
          <w:tblCellMar>
            <w:top w:w="0" w:type="dxa"/>
            <w:left w:w="0" w:type="dxa"/>
            <w:bottom w:w="0" w:type="dxa"/>
            <w:right w:w="0" w:type="dxa"/>
          </w:tblCellMar>
        </w:tblPrEx>
        <w:trPr>
          <w:trHeight w:val="435" w:hRule="atLeast"/>
        </w:trPr>
        <w:tc>
          <w:tcPr>
            <w:tcW w:w="46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7190B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项目资金</w:t>
            </w:r>
          </w:p>
        </w:tc>
        <w:tc>
          <w:tcPr>
            <w:tcW w:w="3395"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AA24C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年度资金总额</w:t>
            </w:r>
          </w:p>
        </w:tc>
        <w:tc>
          <w:tcPr>
            <w:tcW w:w="47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5C058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3万元</w:t>
            </w:r>
          </w:p>
        </w:tc>
      </w:tr>
      <w:tr w14:paraId="59259118">
        <w:tblPrEx>
          <w:tblCellMar>
            <w:top w:w="0" w:type="dxa"/>
            <w:left w:w="0" w:type="dxa"/>
            <w:bottom w:w="0" w:type="dxa"/>
            <w:right w:w="0" w:type="dxa"/>
          </w:tblCellMar>
        </w:tblPrEx>
        <w:trPr>
          <w:trHeight w:val="502" w:hRule="atLeast"/>
        </w:trPr>
        <w:tc>
          <w:tcPr>
            <w:tcW w:w="46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61D4FA">
            <w:pPr>
              <w:jc w:val="center"/>
              <w:rPr>
                <w:rFonts w:hint="eastAsia" w:ascii="宋体" w:hAnsi="宋体" w:eastAsia="宋体" w:cs="宋体"/>
                <w:i w:val="0"/>
                <w:color w:val="000000"/>
                <w:sz w:val="18"/>
                <w:szCs w:val="18"/>
                <w:u w:val="none"/>
              </w:rPr>
            </w:pPr>
          </w:p>
        </w:tc>
        <w:tc>
          <w:tcPr>
            <w:tcW w:w="3395"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B185A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其中：财政拨款</w:t>
            </w:r>
          </w:p>
        </w:tc>
        <w:tc>
          <w:tcPr>
            <w:tcW w:w="47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12009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3万元</w:t>
            </w:r>
          </w:p>
        </w:tc>
      </w:tr>
      <w:tr w14:paraId="4ADDE243">
        <w:tblPrEx>
          <w:tblCellMar>
            <w:top w:w="0" w:type="dxa"/>
            <w:left w:w="0" w:type="dxa"/>
            <w:bottom w:w="0" w:type="dxa"/>
            <w:right w:w="0" w:type="dxa"/>
          </w:tblCellMar>
        </w:tblPrEx>
        <w:trPr>
          <w:trHeight w:val="840" w:hRule="atLeast"/>
        </w:trPr>
        <w:tc>
          <w:tcPr>
            <w:tcW w:w="468" w:type="dxa"/>
            <w:tcBorders>
              <w:top w:val="nil"/>
              <w:left w:val="single" w:color="000000" w:sz="4" w:space="0"/>
              <w:bottom w:val="single" w:color="auto" w:sz="4" w:space="0"/>
              <w:right w:val="nil"/>
            </w:tcBorders>
            <w:noWrap w:val="0"/>
            <w:tcMar>
              <w:top w:w="15" w:type="dxa"/>
              <w:left w:w="15" w:type="dxa"/>
              <w:right w:w="15" w:type="dxa"/>
            </w:tcMar>
            <w:vAlign w:val="center"/>
          </w:tcPr>
          <w:p w14:paraId="13AC3F5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总体目标</w:t>
            </w:r>
          </w:p>
        </w:tc>
        <w:tc>
          <w:tcPr>
            <w:tcW w:w="8192" w:type="dxa"/>
            <w:gridSpan w:val="5"/>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45D80F85">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中心主要完成以下工作任务：1、承担在蓉攀籍离退休干部的相关服务、接待及维稳工作。2、负责在蓉向曾经在攀工作的干部宣传攀枝花、介绍攀枝花，与他们信息联络畅通，使之进一步为攀枝花建设和发展服务。3、根据小区住户特点,邀请医生开展疾病预防等讲座。4、负责中心及西锦渡小区的固定资产管理。5、协调西锦渡物业做好小区房屋、公共设施的维护保养工作。6、承办领导交办的其它任务。</w:t>
            </w:r>
          </w:p>
        </w:tc>
      </w:tr>
      <w:tr w14:paraId="4D051626">
        <w:tblPrEx>
          <w:tblCellMar>
            <w:top w:w="0" w:type="dxa"/>
            <w:left w:w="0" w:type="dxa"/>
            <w:bottom w:w="0" w:type="dxa"/>
            <w:right w:w="0" w:type="dxa"/>
          </w:tblCellMar>
        </w:tblPrEx>
        <w:trPr>
          <w:trHeight w:val="495" w:hRule="atLeast"/>
        </w:trPr>
        <w:tc>
          <w:tcPr>
            <w:tcW w:w="468" w:type="dxa"/>
            <w:vMerge w:val="restart"/>
            <w:tcBorders>
              <w:top w:val="single" w:color="auto" w:sz="4" w:space="0"/>
              <w:left w:val="single" w:color="auto" w:sz="4" w:space="0"/>
              <w:right w:val="single" w:color="auto" w:sz="4" w:space="0"/>
            </w:tcBorders>
            <w:noWrap/>
            <w:tcMar>
              <w:top w:w="15" w:type="dxa"/>
              <w:left w:w="15" w:type="dxa"/>
              <w:right w:w="15" w:type="dxa"/>
            </w:tcMar>
            <w:vAlign w:val="center"/>
          </w:tcPr>
          <w:p w14:paraId="764762E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w:t>
            </w:r>
          </w:p>
        </w:tc>
        <w:tc>
          <w:tcPr>
            <w:tcW w:w="1135"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3ECE812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一级指标</w:t>
            </w:r>
          </w:p>
        </w:tc>
        <w:tc>
          <w:tcPr>
            <w:tcW w:w="1077"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7A4F897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550" w:type="dxa"/>
            <w:gridSpan w:val="2"/>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04D1254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443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530F80E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指标值（包含数字及文字描述）</w:t>
            </w:r>
          </w:p>
        </w:tc>
      </w:tr>
      <w:tr w14:paraId="07761F2A">
        <w:tblPrEx>
          <w:tblCellMar>
            <w:top w:w="0" w:type="dxa"/>
            <w:left w:w="0" w:type="dxa"/>
            <w:bottom w:w="0" w:type="dxa"/>
            <w:right w:w="0" w:type="dxa"/>
          </w:tblCellMar>
        </w:tblPrEx>
        <w:trPr>
          <w:trHeight w:val="90" w:hRule="atLeast"/>
        </w:trPr>
        <w:tc>
          <w:tcPr>
            <w:tcW w:w="468" w:type="dxa"/>
            <w:vMerge w:val="continue"/>
            <w:tcBorders>
              <w:left w:val="single" w:color="auto" w:sz="4" w:space="0"/>
              <w:right w:val="single" w:color="auto" w:sz="4" w:space="0"/>
            </w:tcBorders>
            <w:noWrap/>
            <w:tcMar>
              <w:top w:w="15" w:type="dxa"/>
              <w:left w:w="15" w:type="dxa"/>
              <w:right w:w="15" w:type="dxa"/>
            </w:tcMar>
            <w:vAlign w:val="center"/>
          </w:tcPr>
          <w:p w14:paraId="3C241386">
            <w:pPr>
              <w:jc w:val="center"/>
              <w:rPr>
                <w:rFonts w:hint="eastAsia" w:ascii="宋体" w:hAnsi="宋体" w:eastAsia="宋体" w:cs="宋体"/>
                <w:i w:val="0"/>
                <w:color w:val="000000"/>
                <w:sz w:val="18"/>
                <w:szCs w:val="18"/>
                <w:u w:val="none"/>
              </w:rPr>
            </w:pPr>
          </w:p>
        </w:tc>
        <w:tc>
          <w:tcPr>
            <w:tcW w:w="1135" w:type="dxa"/>
            <w:vMerge w:val="restar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2CFC3DB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项目完成</w:t>
            </w:r>
          </w:p>
        </w:tc>
        <w:tc>
          <w:tcPr>
            <w:tcW w:w="1077"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1F4CEA6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550" w:type="dxa"/>
            <w:gridSpan w:val="2"/>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31C5FD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工作完成数量</w:t>
            </w:r>
          </w:p>
        </w:tc>
        <w:tc>
          <w:tcPr>
            <w:tcW w:w="44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EDB0B2B">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对小区内为离退休老干部们提供文化娱乐活动场所和设备进行维修保养。</w:t>
            </w:r>
          </w:p>
        </w:tc>
      </w:tr>
      <w:tr w14:paraId="715ED8C6">
        <w:tblPrEx>
          <w:tblCellMar>
            <w:top w:w="0" w:type="dxa"/>
            <w:left w:w="0" w:type="dxa"/>
            <w:bottom w:w="0" w:type="dxa"/>
            <w:right w:w="0" w:type="dxa"/>
          </w:tblCellMar>
        </w:tblPrEx>
        <w:trPr>
          <w:trHeight w:val="90" w:hRule="atLeast"/>
        </w:trPr>
        <w:tc>
          <w:tcPr>
            <w:tcW w:w="468" w:type="dxa"/>
            <w:vMerge w:val="continue"/>
            <w:tcBorders>
              <w:left w:val="single" w:color="auto" w:sz="4" w:space="0"/>
              <w:right w:val="single" w:color="auto" w:sz="4" w:space="0"/>
            </w:tcBorders>
            <w:noWrap/>
            <w:tcMar>
              <w:top w:w="15" w:type="dxa"/>
              <w:left w:w="15" w:type="dxa"/>
              <w:right w:w="15" w:type="dxa"/>
            </w:tcMar>
            <w:vAlign w:val="center"/>
          </w:tcPr>
          <w:p w14:paraId="57555099">
            <w:pPr>
              <w:jc w:val="center"/>
              <w:rPr>
                <w:rFonts w:hint="eastAsia" w:ascii="宋体" w:hAnsi="宋体" w:eastAsia="宋体" w:cs="宋体"/>
                <w:i w:val="0"/>
                <w:color w:val="000000"/>
                <w:sz w:val="18"/>
                <w:szCs w:val="18"/>
                <w:u w:val="none"/>
              </w:rPr>
            </w:pPr>
          </w:p>
        </w:tc>
        <w:tc>
          <w:tcPr>
            <w:tcW w:w="1135" w:type="dxa"/>
            <w:vMerge w:val="continue"/>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2D16A3AD">
            <w:pPr>
              <w:jc w:val="center"/>
              <w:rPr>
                <w:rFonts w:hint="eastAsia" w:ascii="宋体" w:hAnsi="宋体" w:eastAsia="宋体" w:cs="宋体"/>
                <w:i w:val="0"/>
                <w:color w:val="000000"/>
                <w:kern w:val="0"/>
                <w:sz w:val="18"/>
                <w:szCs w:val="18"/>
                <w:u w:val="none"/>
                <w:lang w:val="en-US" w:eastAsia="zh-CN" w:bidi="ar"/>
              </w:rPr>
            </w:pPr>
          </w:p>
        </w:tc>
        <w:tc>
          <w:tcPr>
            <w:tcW w:w="1077"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652E3805">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质量指标</w:t>
            </w:r>
          </w:p>
        </w:tc>
        <w:tc>
          <w:tcPr>
            <w:tcW w:w="1550" w:type="dxa"/>
            <w:gridSpan w:val="2"/>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07177E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工作完成质量</w:t>
            </w:r>
          </w:p>
        </w:tc>
        <w:tc>
          <w:tcPr>
            <w:tcW w:w="44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FE8F483">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按照“简洁、大方、功能齐全”的要求</w:t>
            </w:r>
            <w:r>
              <w:rPr>
                <w:rFonts w:hint="eastAsia" w:ascii="宋体" w:hAnsi="宋体" w:eastAsia="宋体" w:cs="宋体"/>
                <w:sz w:val="18"/>
                <w:szCs w:val="18"/>
                <w:lang w:eastAsia="zh-CN"/>
              </w:rPr>
              <w:t>打造党员活动室</w:t>
            </w:r>
            <w:r>
              <w:rPr>
                <w:rFonts w:hint="eastAsia" w:ascii="宋体" w:hAnsi="宋体" w:eastAsia="宋体" w:cs="宋体"/>
                <w:sz w:val="18"/>
                <w:szCs w:val="18"/>
                <w:lang w:val="en-US" w:eastAsia="zh-CN"/>
              </w:rPr>
              <w:t>，设计制作文化墙精益求精,购买基础设施设备。</w:t>
            </w:r>
          </w:p>
        </w:tc>
      </w:tr>
      <w:tr w14:paraId="08AC0E43">
        <w:tblPrEx>
          <w:tblCellMar>
            <w:top w:w="0" w:type="dxa"/>
            <w:left w:w="0" w:type="dxa"/>
            <w:bottom w:w="0" w:type="dxa"/>
            <w:right w:w="0" w:type="dxa"/>
          </w:tblCellMar>
        </w:tblPrEx>
        <w:trPr>
          <w:trHeight w:val="90" w:hRule="atLeast"/>
        </w:trPr>
        <w:tc>
          <w:tcPr>
            <w:tcW w:w="468" w:type="dxa"/>
            <w:vMerge w:val="continue"/>
            <w:tcBorders>
              <w:left w:val="single" w:color="auto" w:sz="4" w:space="0"/>
              <w:right w:val="single" w:color="auto" w:sz="4" w:space="0"/>
            </w:tcBorders>
            <w:noWrap/>
            <w:tcMar>
              <w:top w:w="15" w:type="dxa"/>
              <w:left w:w="15" w:type="dxa"/>
              <w:right w:w="15" w:type="dxa"/>
            </w:tcMar>
            <w:vAlign w:val="center"/>
          </w:tcPr>
          <w:p w14:paraId="344D6A73">
            <w:pPr>
              <w:jc w:val="center"/>
              <w:rPr>
                <w:rFonts w:hint="eastAsia" w:ascii="宋体" w:hAnsi="宋体" w:eastAsia="宋体" w:cs="宋体"/>
                <w:i w:val="0"/>
                <w:color w:val="000000"/>
                <w:sz w:val="18"/>
                <w:szCs w:val="18"/>
                <w:u w:val="none"/>
              </w:rPr>
            </w:pPr>
          </w:p>
        </w:tc>
        <w:tc>
          <w:tcPr>
            <w:tcW w:w="1135" w:type="dxa"/>
            <w:vMerge w:val="continue"/>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690C9F91">
            <w:pPr>
              <w:jc w:val="center"/>
              <w:rPr>
                <w:rFonts w:hint="eastAsia" w:ascii="宋体" w:hAnsi="宋体" w:eastAsia="宋体" w:cs="宋体"/>
                <w:i w:val="0"/>
                <w:color w:val="000000"/>
                <w:kern w:val="0"/>
                <w:sz w:val="18"/>
                <w:szCs w:val="18"/>
                <w:u w:val="none"/>
                <w:lang w:val="en-US" w:eastAsia="zh-CN" w:bidi="ar"/>
              </w:rPr>
            </w:pPr>
          </w:p>
        </w:tc>
        <w:tc>
          <w:tcPr>
            <w:tcW w:w="1077"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01E0FE3E">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时效指标</w:t>
            </w:r>
          </w:p>
        </w:tc>
        <w:tc>
          <w:tcPr>
            <w:tcW w:w="1550" w:type="dxa"/>
            <w:gridSpan w:val="2"/>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0DD565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工作完成时间</w:t>
            </w:r>
          </w:p>
        </w:tc>
        <w:tc>
          <w:tcPr>
            <w:tcW w:w="44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C4C0E9B">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i w:val="0"/>
                <w:color w:val="000000"/>
                <w:kern w:val="0"/>
                <w:sz w:val="18"/>
                <w:szCs w:val="18"/>
                <w:u w:val="none"/>
                <w:lang w:val="en-US" w:eastAsia="zh-CN" w:bidi="ar"/>
              </w:rPr>
              <w:t>2025年1—12月</w:t>
            </w:r>
          </w:p>
        </w:tc>
      </w:tr>
      <w:tr w14:paraId="4DEE51E3">
        <w:tblPrEx>
          <w:tblCellMar>
            <w:top w:w="0" w:type="dxa"/>
            <w:left w:w="0" w:type="dxa"/>
            <w:bottom w:w="0" w:type="dxa"/>
            <w:right w:w="0" w:type="dxa"/>
          </w:tblCellMar>
        </w:tblPrEx>
        <w:trPr>
          <w:trHeight w:val="90" w:hRule="atLeast"/>
        </w:trPr>
        <w:tc>
          <w:tcPr>
            <w:tcW w:w="468" w:type="dxa"/>
            <w:vMerge w:val="continue"/>
            <w:tcBorders>
              <w:left w:val="single" w:color="auto" w:sz="4" w:space="0"/>
              <w:right w:val="single" w:color="auto" w:sz="4" w:space="0"/>
            </w:tcBorders>
            <w:noWrap/>
            <w:tcMar>
              <w:top w:w="15" w:type="dxa"/>
              <w:left w:w="15" w:type="dxa"/>
              <w:right w:w="15" w:type="dxa"/>
            </w:tcMar>
            <w:vAlign w:val="center"/>
          </w:tcPr>
          <w:p w14:paraId="4F97BD4A">
            <w:pPr>
              <w:jc w:val="center"/>
              <w:rPr>
                <w:rFonts w:hint="eastAsia" w:ascii="宋体" w:hAnsi="宋体" w:eastAsia="宋体" w:cs="宋体"/>
                <w:i w:val="0"/>
                <w:color w:val="000000"/>
                <w:sz w:val="18"/>
                <w:szCs w:val="18"/>
                <w:u w:val="none"/>
              </w:rPr>
            </w:pPr>
          </w:p>
        </w:tc>
        <w:tc>
          <w:tcPr>
            <w:tcW w:w="1135" w:type="dxa"/>
            <w:vMerge w:val="continue"/>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0E8ECA8D">
            <w:pPr>
              <w:jc w:val="center"/>
              <w:rPr>
                <w:rFonts w:hint="eastAsia" w:ascii="宋体" w:hAnsi="宋体" w:eastAsia="宋体" w:cs="宋体"/>
                <w:i w:val="0"/>
                <w:color w:val="000000"/>
                <w:kern w:val="0"/>
                <w:sz w:val="18"/>
                <w:szCs w:val="18"/>
                <w:u w:val="none"/>
                <w:lang w:val="en-US" w:eastAsia="zh-CN" w:bidi="ar"/>
              </w:rPr>
            </w:pPr>
          </w:p>
        </w:tc>
        <w:tc>
          <w:tcPr>
            <w:tcW w:w="1077"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11CF0362">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成本指标</w:t>
            </w:r>
          </w:p>
        </w:tc>
        <w:tc>
          <w:tcPr>
            <w:tcW w:w="1550" w:type="dxa"/>
            <w:gridSpan w:val="2"/>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03FAFB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工作完成所需成本</w:t>
            </w:r>
          </w:p>
        </w:tc>
        <w:tc>
          <w:tcPr>
            <w:tcW w:w="44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7877D81">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i w:val="0"/>
                <w:color w:val="000000"/>
                <w:kern w:val="0"/>
                <w:sz w:val="18"/>
                <w:szCs w:val="18"/>
                <w:u w:val="none"/>
                <w:lang w:val="en-US" w:eastAsia="zh-CN" w:bidi="ar"/>
              </w:rPr>
              <w:t>3万元</w:t>
            </w:r>
          </w:p>
        </w:tc>
      </w:tr>
      <w:tr w14:paraId="2FAD003A">
        <w:tblPrEx>
          <w:tblCellMar>
            <w:top w:w="0" w:type="dxa"/>
            <w:left w:w="0" w:type="dxa"/>
            <w:bottom w:w="0" w:type="dxa"/>
            <w:right w:w="0" w:type="dxa"/>
          </w:tblCellMar>
        </w:tblPrEx>
        <w:trPr>
          <w:trHeight w:val="90" w:hRule="atLeast"/>
        </w:trPr>
        <w:tc>
          <w:tcPr>
            <w:tcW w:w="468" w:type="dxa"/>
            <w:vMerge w:val="continue"/>
            <w:tcBorders>
              <w:left w:val="single" w:color="auto" w:sz="4" w:space="0"/>
              <w:right w:val="single" w:color="auto" w:sz="4" w:space="0"/>
            </w:tcBorders>
            <w:noWrap/>
            <w:tcMar>
              <w:top w:w="15" w:type="dxa"/>
              <w:left w:w="15" w:type="dxa"/>
              <w:right w:w="15" w:type="dxa"/>
            </w:tcMar>
            <w:vAlign w:val="center"/>
          </w:tcPr>
          <w:p w14:paraId="5E645E9B">
            <w:pPr>
              <w:jc w:val="center"/>
              <w:rPr>
                <w:rFonts w:hint="eastAsia" w:ascii="宋体" w:hAnsi="宋体" w:eastAsia="宋体" w:cs="宋体"/>
                <w:i w:val="0"/>
                <w:color w:val="000000"/>
                <w:sz w:val="18"/>
                <w:szCs w:val="18"/>
                <w:u w:val="none"/>
              </w:rPr>
            </w:pPr>
          </w:p>
        </w:tc>
        <w:tc>
          <w:tcPr>
            <w:tcW w:w="1135" w:type="dxa"/>
            <w:vMerge w:val="restar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0584E454">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项目效益</w:t>
            </w:r>
          </w:p>
        </w:tc>
        <w:tc>
          <w:tcPr>
            <w:tcW w:w="1077"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16A62730">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社会效益  指标</w:t>
            </w:r>
          </w:p>
        </w:tc>
        <w:tc>
          <w:tcPr>
            <w:tcW w:w="1550" w:type="dxa"/>
            <w:gridSpan w:val="2"/>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2696A4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工作完成产生效益</w:t>
            </w:r>
          </w:p>
        </w:tc>
        <w:tc>
          <w:tcPr>
            <w:tcW w:w="44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931B49E">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i w:val="0"/>
                <w:color w:val="000000"/>
                <w:kern w:val="0"/>
                <w:sz w:val="18"/>
                <w:szCs w:val="18"/>
                <w:u w:val="none"/>
                <w:lang w:val="en-US" w:eastAsia="zh-CN" w:bidi="ar"/>
              </w:rPr>
              <w:t>体现组织的关怀、维护社会的稳定。</w:t>
            </w:r>
          </w:p>
        </w:tc>
      </w:tr>
      <w:tr w14:paraId="16CB2F37">
        <w:tblPrEx>
          <w:tblCellMar>
            <w:top w:w="0" w:type="dxa"/>
            <w:left w:w="0" w:type="dxa"/>
            <w:bottom w:w="0" w:type="dxa"/>
            <w:right w:w="0" w:type="dxa"/>
          </w:tblCellMar>
        </w:tblPrEx>
        <w:trPr>
          <w:trHeight w:val="90" w:hRule="atLeast"/>
        </w:trPr>
        <w:tc>
          <w:tcPr>
            <w:tcW w:w="468" w:type="dxa"/>
            <w:vMerge w:val="continue"/>
            <w:tcBorders>
              <w:left w:val="single" w:color="auto" w:sz="4" w:space="0"/>
              <w:right w:val="single" w:color="auto" w:sz="4" w:space="0"/>
            </w:tcBorders>
            <w:noWrap/>
            <w:tcMar>
              <w:top w:w="15" w:type="dxa"/>
              <w:left w:w="15" w:type="dxa"/>
              <w:right w:w="15" w:type="dxa"/>
            </w:tcMar>
            <w:vAlign w:val="center"/>
          </w:tcPr>
          <w:p w14:paraId="7B30EE77"/>
        </w:tc>
        <w:tc>
          <w:tcPr>
            <w:tcW w:w="1135" w:type="dxa"/>
            <w:vMerge w:val="continue"/>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149235DC"/>
        </w:tc>
        <w:tc>
          <w:tcPr>
            <w:tcW w:w="1077"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13701CE4">
            <w:r>
              <w:rPr>
                <w:rFonts w:hint="eastAsia" w:ascii="宋体" w:hAnsi="宋体" w:eastAsia="宋体" w:cs="宋体"/>
                <w:i w:val="0"/>
                <w:color w:val="000000"/>
                <w:kern w:val="0"/>
                <w:sz w:val="18"/>
                <w:szCs w:val="18"/>
                <w:u w:val="none"/>
                <w:lang w:val="en-US" w:eastAsia="zh-CN" w:bidi="ar"/>
              </w:rPr>
              <w:t>可持续影响指标</w:t>
            </w:r>
          </w:p>
        </w:tc>
        <w:tc>
          <w:tcPr>
            <w:tcW w:w="1550" w:type="dxa"/>
            <w:gridSpan w:val="2"/>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2CB70177">
            <w:r>
              <w:rPr>
                <w:rFonts w:hint="eastAsia" w:ascii="宋体" w:hAnsi="宋体" w:eastAsia="宋体" w:cs="宋体"/>
                <w:i w:val="0"/>
                <w:color w:val="000000"/>
                <w:kern w:val="0"/>
                <w:sz w:val="18"/>
                <w:szCs w:val="18"/>
                <w:u w:val="none"/>
                <w:lang w:val="en-US" w:eastAsia="zh-CN" w:bidi="ar"/>
              </w:rPr>
              <w:t>工作完成产生影响</w:t>
            </w:r>
          </w:p>
        </w:tc>
        <w:tc>
          <w:tcPr>
            <w:tcW w:w="44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5548A63">
            <w:r>
              <w:rPr>
                <w:rFonts w:hint="eastAsia" w:ascii="宋体" w:hAnsi="宋体" w:eastAsia="宋体" w:cs="宋体"/>
                <w:i w:val="0"/>
                <w:color w:val="000000"/>
                <w:kern w:val="0"/>
                <w:sz w:val="18"/>
                <w:szCs w:val="18"/>
                <w:u w:val="none"/>
                <w:lang w:val="en-US" w:eastAsia="zh-CN" w:bidi="ar"/>
              </w:rPr>
              <w:t>传递党的温暖和市委市政府的关心，让老同志们能继续为攀枝花的发展献计献策</w:t>
            </w:r>
          </w:p>
        </w:tc>
      </w:tr>
      <w:tr w14:paraId="34B83992">
        <w:tblPrEx>
          <w:tblCellMar>
            <w:top w:w="0" w:type="dxa"/>
            <w:left w:w="0" w:type="dxa"/>
            <w:bottom w:w="0" w:type="dxa"/>
            <w:right w:w="0" w:type="dxa"/>
          </w:tblCellMar>
        </w:tblPrEx>
        <w:trPr>
          <w:trHeight w:val="769" w:hRule="atLeast"/>
        </w:trPr>
        <w:tc>
          <w:tcPr>
            <w:tcW w:w="468" w:type="dxa"/>
            <w:vMerge w:val="continue"/>
            <w:tcBorders>
              <w:left w:val="single" w:color="auto" w:sz="4" w:space="0"/>
              <w:bottom w:val="single" w:color="auto" w:sz="4" w:space="0"/>
              <w:right w:val="single" w:color="auto" w:sz="4" w:space="0"/>
            </w:tcBorders>
            <w:noWrap/>
            <w:tcMar>
              <w:top w:w="15" w:type="dxa"/>
              <w:left w:w="15" w:type="dxa"/>
              <w:right w:w="15" w:type="dxa"/>
            </w:tcMar>
            <w:vAlign w:val="center"/>
          </w:tcPr>
          <w:p w14:paraId="5FC6AB87">
            <w:pPr>
              <w:jc w:val="center"/>
              <w:rPr>
                <w:rFonts w:hint="eastAsia" w:ascii="宋体" w:hAnsi="宋体" w:eastAsia="宋体" w:cs="宋体"/>
                <w:i w:val="0"/>
                <w:color w:val="000000"/>
                <w:sz w:val="18"/>
                <w:szCs w:val="18"/>
                <w:u w:val="none"/>
              </w:rPr>
            </w:pPr>
          </w:p>
        </w:tc>
        <w:tc>
          <w:tcPr>
            <w:tcW w:w="1135"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4302F7B6">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满意度指标</w:t>
            </w:r>
          </w:p>
        </w:tc>
        <w:tc>
          <w:tcPr>
            <w:tcW w:w="1077"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26627624">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服务对象满意度指标</w:t>
            </w:r>
          </w:p>
        </w:tc>
        <w:tc>
          <w:tcPr>
            <w:tcW w:w="1550" w:type="dxa"/>
            <w:gridSpan w:val="2"/>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647FAC3A">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服务管理对象小区住户</w:t>
            </w:r>
          </w:p>
        </w:tc>
        <w:tc>
          <w:tcPr>
            <w:tcW w:w="44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0E259C4">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i w:val="0"/>
                <w:color w:val="000000"/>
                <w:kern w:val="0"/>
                <w:sz w:val="18"/>
                <w:szCs w:val="18"/>
                <w:u w:val="none"/>
                <w:lang w:val="en-US" w:eastAsia="zh-CN" w:bidi="ar"/>
              </w:rPr>
              <w:t>≥95%</w:t>
            </w:r>
          </w:p>
        </w:tc>
      </w:tr>
    </w:tbl>
    <w:p w14:paraId="05A5C3DC">
      <w:pPr>
        <w:pStyle w:val="14"/>
        <w:numPr>
          <w:ilvl w:val="0"/>
          <w:numId w:val="0"/>
        </w:numPr>
      </w:pPr>
    </w:p>
    <w:p w14:paraId="79EB5C79">
      <w:pPr>
        <w:adjustRightInd w:val="0"/>
        <w:snapToGrid w:val="0"/>
        <w:spacing w:line="578" w:lineRule="exact"/>
        <w:ind w:firstLine="640" w:firstLineChars="200"/>
        <w:contextualSpacing/>
        <w:rPr>
          <w:rFonts w:eastAsia="仿宋_GB2312" w:cs="仿宋_GB2312"/>
          <w:sz w:val="32"/>
          <w:szCs w:val="32"/>
          <w:lang w:val="zh-CN"/>
        </w:rPr>
      </w:pPr>
      <w:r>
        <w:rPr>
          <w:rFonts w:eastAsia="仿宋_GB2312" w:cs="仿宋_GB2312"/>
          <w:sz w:val="32"/>
          <w:szCs w:val="32"/>
        </w:rPr>
        <w:t>常年项目绩效分析。</w:t>
      </w:r>
      <w:r>
        <w:rPr>
          <w:rFonts w:eastAsia="仿宋_GB2312" w:cs="仿宋_GB2312"/>
          <w:sz w:val="32"/>
          <w:szCs w:val="32"/>
          <w:lang w:val="zh-CN"/>
        </w:rPr>
        <w:t>该类项目总数</w:t>
      </w:r>
      <w:r>
        <w:rPr>
          <w:rFonts w:hint="eastAsia" w:eastAsia="仿宋_GB2312" w:cs="仿宋_GB2312"/>
          <w:sz w:val="32"/>
          <w:szCs w:val="32"/>
          <w:lang w:val="en-US" w:eastAsia="zh-CN"/>
        </w:rPr>
        <w:t>4</w:t>
      </w:r>
      <w:r>
        <w:rPr>
          <w:rFonts w:eastAsia="仿宋_GB2312" w:cs="仿宋_GB2312"/>
          <w:sz w:val="32"/>
          <w:szCs w:val="32"/>
          <w:lang w:val="zh-CN"/>
        </w:rPr>
        <w:t>个，涉及预算总金额</w:t>
      </w:r>
      <w:r>
        <w:rPr>
          <w:rFonts w:hint="eastAsia" w:eastAsia="仿宋_GB2312" w:cs="仿宋_GB2312"/>
          <w:sz w:val="32"/>
          <w:szCs w:val="32"/>
          <w:lang w:val="en-US" w:eastAsia="zh-CN"/>
        </w:rPr>
        <w:t>31</w:t>
      </w:r>
      <w:r>
        <w:rPr>
          <w:rFonts w:eastAsia="仿宋_GB2312" w:cs="仿宋_GB2312"/>
          <w:sz w:val="32"/>
          <w:szCs w:val="32"/>
          <w:lang w:val="zh-CN"/>
        </w:rPr>
        <w:t>万元，1</w:t>
      </w:r>
      <w:r>
        <w:rPr>
          <w:rFonts w:hint="eastAsia" w:eastAsia="仿宋_GB2312" w:cs="仿宋_GB2312"/>
          <w:sz w:val="32"/>
          <w:szCs w:val="32"/>
          <w:lang w:val="zh-CN"/>
        </w:rPr>
        <w:t>—</w:t>
      </w:r>
      <w:r>
        <w:rPr>
          <w:rFonts w:eastAsia="仿宋_GB2312" w:cs="仿宋_GB2312"/>
          <w:sz w:val="32"/>
          <w:szCs w:val="32"/>
          <w:lang w:val="zh-CN"/>
        </w:rPr>
        <w:t>1</w:t>
      </w:r>
      <w:r>
        <w:rPr>
          <w:rFonts w:eastAsia="仿宋_GB2312" w:cs="仿宋_GB2312"/>
          <w:sz w:val="32"/>
          <w:szCs w:val="32"/>
        </w:rPr>
        <w:t>2</w:t>
      </w:r>
      <w:r>
        <w:rPr>
          <w:rFonts w:eastAsia="仿宋_GB2312" w:cs="仿宋_GB2312"/>
          <w:sz w:val="32"/>
          <w:szCs w:val="32"/>
          <w:lang w:val="zh-CN"/>
        </w:rPr>
        <w:t>月预算执行总体进度为</w:t>
      </w:r>
      <w:r>
        <w:rPr>
          <w:rFonts w:hint="eastAsia" w:eastAsia="仿宋_GB2312" w:cs="仿宋_GB2312"/>
          <w:sz w:val="32"/>
          <w:szCs w:val="32"/>
          <w:lang w:val="en-US" w:eastAsia="zh-CN"/>
        </w:rPr>
        <w:t>100</w:t>
      </w:r>
      <w:r>
        <w:rPr>
          <w:rFonts w:eastAsia="仿宋_GB2312" w:cs="仿宋_GB2312"/>
          <w:sz w:val="32"/>
          <w:szCs w:val="32"/>
          <w:lang w:val="zh-CN"/>
        </w:rPr>
        <w:t>%，其中：预算结余率大于</w:t>
      </w:r>
      <w:r>
        <w:rPr>
          <w:rFonts w:eastAsia="仿宋_GB2312" w:cs="仿宋_GB2312"/>
          <w:sz w:val="32"/>
          <w:szCs w:val="32"/>
        </w:rPr>
        <w:t>10%</w:t>
      </w:r>
      <w:r>
        <w:rPr>
          <w:rFonts w:eastAsia="仿宋_GB2312" w:cs="仿宋_GB2312"/>
          <w:sz w:val="32"/>
          <w:szCs w:val="32"/>
          <w:lang w:val="zh-CN"/>
        </w:rPr>
        <w:t>的项目共计</w:t>
      </w:r>
      <w:r>
        <w:rPr>
          <w:rFonts w:hint="eastAsia" w:eastAsia="仿宋_GB2312" w:cs="仿宋_GB2312"/>
          <w:sz w:val="32"/>
          <w:szCs w:val="32"/>
          <w:lang w:val="en-US" w:eastAsia="zh-CN"/>
        </w:rPr>
        <w:t>0</w:t>
      </w:r>
      <w:r>
        <w:rPr>
          <w:rFonts w:eastAsia="仿宋_GB2312" w:cs="仿宋_GB2312"/>
          <w:sz w:val="32"/>
          <w:szCs w:val="32"/>
          <w:lang w:val="zh-CN"/>
        </w:rPr>
        <w:t>个。</w:t>
      </w:r>
    </w:p>
    <w:p w14:paraId="427D7E3C">
      <w:pPr>
        <w:adjustRightInd w:val="0"/>
        <w:snapToGrid w:val="0"/>
        <w:spacing w:line="578" w:lineRule="exact"/>
        <w:ind w:firstLine="640" w:firstLineChars="200"/>
        <w:contextualSpacing/>
        <w:rPr>
          <w:rFonts w:eastAsia="仿宋_GB2312" w:cs="仿宋_GB2312"/>
          <w:sz w:val="32"/>
          <w:szCs w:val="32"/>
          <w:lang w:val="zh-CN"/>
        </w:rPr>
      </w:pPr>
      <w:r>
        <w:rPr>
          <w:rFonts w:eastAsia="仿宋_GB2312" w:cs="仿宋_GB2312"/>
          <w:sz w:val="32"/>
          <w:szCs w:val="32"/>
        </w:rPr>
        <w:t>阶段</w:t>
      </w:r>
      <w:r>
        <w:rPr>
          <w:rFonts w:hint="eastAsia" w:eastAsia="仿宋_GB2312" w:cs="仿宋_GB2312"/>
          <w:sz w:val="32"/>
          <w:szCs w:val="32"/>
        </w:rPr>
        <w:t>（</w:t>
      </w:r>
      <w:r>
        <w:rPr>
          <w:rFonts w:eastAsia="仿宋_GB2312" w:cs="仿宋_GB2312"/>
          <w:sz w:val="32"/>
          <w:szCs w:val="32"/>
        </w:rPr>
        <w:t>一次性</w:t>
      </w:r>
      <w:r>
        <w:rPr>
          <w:rFonts w:hint="eastAsia" w:eastAsia="仿宋_GB2312" w:cs="仿宋_GB2312"/>
          <w:sz w:val="32"/>
          <w:szCs w:val="32"/>
        </w:rPr>
        <w:t>）</w:t>
      </w:r>
      <w:r>
        <w:rPr>
          <w:rFonts w:eastAsia="仿宋_GB2312" w:cs="仿宋_GB2312"/>
          <w:sz w:val="32"/>
          <w:szCs w:val="32"/>
        </w:rPr>
        <w:t>项目绩效分析。</w:t>
      </w:r>
      <w:r>
        <w:rPr>
          <w:rFonts w:eastAsia="仿宋_GB2312" w:cs="仿宋_GB2312"/>
          <w:sz w:val="32"/>
          <w:szCs w:val="32"/>
          <w:lang w:val="zh-CN"/>
        </w:rPr>
        <w:t>该类项目总数</w:t>
      </w:r>
      <w:r>
        <w:rPr>
          <w:rFonts w:hint="eastAsia" w:eastAsia="仿宋_GB2312" w:cs="仿宋_GB2312"/>
          <w:sz w:val="32"/>
          <w:szCs w:val="32"/>
          <w:lang w:val="en-US" w:eastAsia="zh-CN"/>
        </w:rPr>
        <w:t>4</w:t>
      </w:r>
      <w:r>
        <w:rPr>
          <w:rFonts w:eastAsia="仿宋_GB2312" w:cs="仿宋_GB2312"/>
          <w:sz w:val="32"/>
          <w:szCs w:val="32"/>
          <w:lang w:val="zh-CN"/>
        </w:rPr>
        <w:t>个，涉及预算总金额</w:t>
      </w:r>
      <w:r>
        <w:rPr>
          <w:rFonts w:hint="eastAsia" w:eastAsia="仿宋_GB2312" w:cs="仿宋_GB2312"/>
          <w:sz w:val="32"/>
          <w:szCs w:val="32"/>
          <w:lang w:val="en-US" w:eastAsia="zh-CN"/>
        </w:rPr>
        <w:t>31</w:t>
      </w:r>
      <w:r>
        <w:rPr>
          <w:rFonts w:eastAsia="仿宋_GB2312" w:cs="仿宋_GB2312"/>
          <w:sz w:val="32"/>
          <w:szCs w:val="32"/>
          <w:lang w:val="zh-CN"/>
        </w:rPr>
        <w:t>万元，1</w:t>
      </w:r>
      <w:r>
        <w:rPr>
          <w:rFonts w:hint="eastAsia" w:eastAsia="仿宋_GB2312" w:cs="仿宋_GB2312"/>
          <w:sz w:val="32"/>
          <w:szCs w:val="32"/>
          <w:lang w:val="zh-CN"/>
        </w:rPr>
        <w:t>—</w:t>
      </w:r>
      <w:r>
        <w:rPr>
          <w:rFonts w:eastAsia="仿宋_GB2312" w:cs="仿宋_GB2312"/>
          <w:sz w:val="32"/>
          <w:szCs w:val="32"/>
          <w:lang w:val="zh-CN"/>
        </w:rPr>
        <w:t>1</w:t>
      </w:r>
      <w:r>
        <w:rPr>
          <w:rFonts w:eastAsia="仿宋_GB2312" w:cs="仿宋_GB2312"/>
          <w:sz w:val="32"/>
          <w:szCs w:val="32"/>
        </w:rPr>
        <w:t>2</w:t>
      </w:r>
      <w:r>
        <w:rPr>
          <w:rFonts w:eastAsia="仿宋_GB2312" w:cs="仿宋_GB2312"/>
          <w:sz w:val="32"/>
          <w:szCs w:val="32"/>
          <w:lang w:val="zh-CN"/>
        </w:rPr>
        <w:t>月预算执行总体进度为</w:t>
      </w:r>
      <w:r>
        <w:rPr>
          <w:rFonts w:hint="eastAsia" w:eastAsia="仿宋_GB2312" w:cs="仿宋_GB2312"/>
          <w:sz w:val="32"/>
          <w:szCs w:val="32"/>
          <w:lang w:val="en-US" w:eastAsia="zh-CN"/>
        </w:rPr>
        <w:t>100</w:t>
      </w:r>
      <w:r>
        <w:rPr>
          <w:rFonts w:eastAsia="仿宋_GB2312" w:cs="仿宋_GB2312"/>
          <w:sz w:val="32"/>
          <w:szCs w:val="32"/>
          <w:lang w:val="zh-CN"/>
        </w:rPr>
        <w:t>%，其中：预算结余率大于</w:t>
      </w:r>
      <w:r>
        <w:rPr>
          <w:rFonts w:eastAsia="仿宋_GB2312" w:cs="仿宋_GB2312"/>
          <w:sz w:val="32"/>
          <w:szCs w:val="32"/>
        </w:rPr>
        <w:t>10%</w:t>
      </w:r>
      <w:r>
        <w:rPr>
          <w:rFonts w:eastAsia="仿宋_GB2312" w:cs="仿宋_GB2312"/>
          <w:sz w:val="32"/>
          <w:szCs w:val="32"/>
          <w:lang w:val="zh-CN"/>
        </w:rPr>
        <w:t>的项目共计</w:t>
      </w:r>
      <w:r>
        <w:rPr>
          <w:rFonts w:hint="eastAsia" w:eastAsia="仿宋_GB2312" w:cs="仿宋_GB2312"/>
          <w:sz w:val="32"/>
          <w:szCs w:val="32"/>
          <w:lang w:val="en-US" w:eastAsia="zh-CN"/>
        </w:rPr>
        <w:t>0</w:t>
      </w:r>
      <w:r>
        <w:rPr>
          <w:rFonts w:eastAsia="仿宋_GB2312" w:cs="仿宋_GB2312"/>
          <w:sz w:val="32"/>
          <w:szCs w:val="32"/>
          <w:lang w:val="zh-CN"/>
        </w:rPr>
        <w:t>个。</w:t>
      </w:r>
    </w:p>
    <w:p w14:paraId="52CDCBA3">
      <w:pPr>
        <w:adjustRightInd w:val="0"/>
        <w:snapToGrid w:val="0"/>
        <w:spacing w:line="578" w:lineRule="exact"/>
        <w:ind w:firstLine="640" w:firstLineChars="200"/>
        <w:contextualSpacing/>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eastAsia="zh-CN"/>
        </w:rPr>
        <w:t>单位</w:t>
      </w:r>
      <w:r>
        <w:rPr>
          <w:rFonts w:hint="eastAsia" w:ascii="Times New Roman" w:hAnsi="Times New Roman" w:eastAsia="仿宋_GB2312" w:cs="仿宋_GB2312"/>
          <w:sz w:val="32"/>
          <w:szCs w:val="32"/>
        </w:rPr>
        <w:t>预算管理。</w:t>
      </w:r>
    </w:p>
    <w:p w14:paraId="1D0526E2">
      <w:pPr>
        <w:adjustRightInd w:val="0"/>
        <w:snapToGrid w:val="0"/>
        <w:spacing w:line="578" w:lineRule="exact"/>
        <w:ind w:firstLine="640" w:firstLineChars="200"/>
        <w:contextualSpacing/>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包括</w:t>
      </w:r>
      <w:r>
        <w:rPr>
          <w:rFonts w:hint="eastAsia" w:ascii="Times New Roman" w:hAnsi="Times New Roman" w:eastAsia="仿宋_GB2312" w:cs="仿宋_GB2312"/>
          <w:sz w:val="32"/>
          <w:szCs w:val="32"/>
          <w:lang w:eastAsia="zh-CN"/>
        </w:rPr>
        <w:t>单位</w:t>
      </w:r>
      <w:r>
        <w:rPr>
          <w:rFonts w:hint="eastAsia" w:ascii="Times New Roman" w:hAnsi="Times New Roman" w:eastAsia="仿宋_GB2312" w:cs="仿宋_GB2312"/>
          <w:sz w:val="32"/>
          <w:szCs w:val="32"/>
        </w:rPr>
        <w:t>绩效目标制定、目标完成、预算编制准确、支出控制、预算动态调整、执行进度、预算完成情况和违规记录等情况。</w:t>
      </w:r>
    </w:p>
    <w:p w14:paraId="265699A1">
      <w:pPr>
        <w:adjustRightInd w:val="0"/>
        <w:snapToGrid w:val="0"/>
        <w:spacing w:line="578" w:lineRule="exact"/>
        <w:ind w:firstLine="640" w:firstLineChars="200"/>
        <w:contextualSpacing/>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编制的支出预算，首先保证</w:t>
      </w:r>
      <w:r>
        <w:rPr>
          <w:rFonts w:hint="eastAsia" w:ascii="Times New Roman" w:hAnsi="Times New Roman" w:eastAsia="仿宋_GB2312" w:cs="仿宋_GB2312"/>
          <w:sz w:val="32"/>
          <w:szCs w:val="32"/>
          <w:lang w:eastAsia="zh-CN"/>
        </w:rPr>
        <w:t>单位</w:t>
      </w:r>
      <w:r>
        <w:rPr>
          <w:rFonts w:hint="eastAsia" w:ascii="Times New Roman" w:hAnsi="Times New Roman" w:eastAsia="仿宋_GB2312" w:cs="仿宋_GB2312"/>
          <w:sz w:val="32"/>
          <w:szCs w:val="32"/>
        </w:rPr>
        <w:t>履行基本职能所需要的人员经费和公用经费，然后才支付其他弹性支出和专项支出，但严格控制支出数额和范围。</w:t>
      </w:r>
    </w:p>
    <w:p w14:paraId="2A4E5B90">
      <w:pPr>
        <w:adjustRightInd w:val="0"/>
        <w:snapToGrid w:val="0"/>
        <w:spacing w:line="578" w:lineRule="exact"/>
        <w:ind w:firstLine="640" w:firstLineChars="200"/>
        <w:contextualSpacing/>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支出预算包括：人员支出、日常公用支出、项目支出。人员支出预算的编制严格按照国家政策规定和标准，逐项核定，没有政策规定的项目，不得列入预算；日常公用支出预算的编制本着节约、从俭的原则编报；项目支出预算的编制紧密结合本单位当年主要职责任务、工作目标及事业发展设想，并充分考虑财政的承受能力，本着实事求是、从严从紧、区别轻重缓急，急事优先的原则按序安排支出事项。</w:t>
      </w:r>
    </w:p>
    <w:p w14:paraId="0E7B67CE">
      <w:pPr>
        <w:adjustRightInd w:val="0"/>
        <w:snapToGrid w:val="0"/>
        <w:spacing w:line="578" w:lineRule="exact"/>
        <w:ind w:firstLine="640" w:firstLineChars="200"/>
        <w:contextualSpacing/>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zh-CN"/>
        </w:rPr>
        <w:t>（</w:t>
      </w:r>
      <w:r>
        <w:rPr>
          <w:rFonts w:hint="eastAsia"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zh-CN"/>
        </w:rPr>
        <w:t>）预算完成情况。</w:t>
      </w:r>
    </w:p>
    <w:p w14:paraId="344E0342">
      <w:pPr>
        <w:adjustRightInd w:val="0"/>
        <w:snapToGrid w:val="0"/>
        <w:spacing w:line="578" w:lineRule="exact"/>
        <w:ind w:firstLine="640" w:firstLineChars="200"/>
        <w:contextualSpacing/>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①</w:t>
      </w:r>
      <w:r>
        <w:rPr>
          <w:rFonts w:hint="eastAsia" w:ascii="Times New Roman" w:hAnsi="Times New Roman" w:eastAsia="仿宋_GB2312" w:cs="仿宋_GB2312"/>
          <w:sz w:val="32"/>
          <w:szCs w:val="32"/>
        </w:rPr>
        <w:t>产出指标完成情况分析。</w:t>
      </w:r>
    </w:p>
    <w:p w14:paraId="001165B1">
      <w:pPr>
        <w:adjustRightInd w:val="0"/>
        <w:snapToGrid w:val="0"/>
        <w:spacing w:line="578" w:lineRule="exact"/>
        <w:ind w:firstLine="640" w:firstLineChars="200"/>
        <w:contextualSpacing/>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基本支出：202</w:t>
      </w:r>
      <w:r>
        <w:rPr>
          <w:rFonts w:hint="eastAsia" w:ascii="Times New Roman" w:hAnsi="Times New Roman" w:eastAsia="仿宋_GB2312" w:cs="仿宋_GB2312"/>
          <w:sz w:val="32"/>
          <w:szCs w:val="32"/>
          <w:lang w:val="en-US" w:eastAsia="zh-CN"/>
        </w:rPr>
        <w:t>5</w:t>
      </w:r>
      <w:r>
        <w:rPr>
          <w:rFonts w:hint="eastAsia" w:ascii="Times New Roman" w:hAnsi="Times New Roman" w:eastAsia="仿宋_GB2312" w:cs="仿宋_GB2312"/>
          <w:sz w:val="32"/>
          <w:szCs w:val="32"/>
        </w:rPr>
        <w:t>年全年总额为</w:t>
      </w:r>
      <w:r>
        <w:rPr>
          <w:rFonts w:hint="eastAsia" w:ascii="Times New Roman" w:hAnsi="Times New Roman" w:eastAsia="仿宋_GB2312" w:cs="仿宋_GB2312"/>
          <w:sz w:val="32"/>
          <w:szCs w:val="32"/>
          <w:lang w:val="en-US" w:eastAsia="zh-CN"/>
        </w:rPr>
        <w:t>845.42</w:t>
      </w:r>
      <w:r>
        <w:rPr>
          <w:rFonts w:hint="eastAsia" w:ascii="Times New Roman" w:hAnsi="Times New Roman" w:eastAsia="仿宋_GB2312" w:cs="仿宋_GB2312"/>
          <w:sz w:val="32"/>
          <w:szCs w:val="32"/>
        </w:rPr>
        <w:t>万元，用于保障</w:t>
      </w:r>
      <w:r>
        <w:rPr>
          <w:rFonts w:hint="eastAsia" w:ascii="Times New Roman" w:hAnsi="Times New Roman" w:eastAsia="仿宋_GB2312" w:cs="仿宋_GB2312"/>
          <w:sz w:val="32"/>
          <w:szCs w:val="32"/>
          <w:lang w:eastAsia="zh-CN"/>
        </w:rPr>
        <w:t>成办</w:t>
      </w:r>
      <w:r>
        <w:rPr>
          <w:rFonts w:hint="eastAsia" w:ascii="Times New Roman" w:hAnsi="Times New Roman" w:eastAsia="仿宋_GB2312" w:cs="仿宋_GB2312"/>
          <w:sz w:val="32"/>
          <w:szCs w:val="32"/>
        </w:rPr>
        <w:t>职工工资福利和日常工作运转的支出。包括行政运行、行政单位离退休、机关事业单位基本养老保险缴费支出</w:t>
      </w:r>
      <w:r>
        <w:rPr>
          <w:rFonts w:hint="eastAsia" w:ascii="Times New Roman" w:hAnsi="Times New Roman" w:eastAsia="仿宋_GB2312" w:cs="仿宋_GB2312"/>
          <w:sz w:val="32"/>
          <w:szCs w:val="32"/>
          <w:lang w:eastAsia="zh-CN"/>
        </w:rPr>
        <w:t>、其他社会保障和就业支出、行政单位医疗、公务员医疗补助、其他行政事业单位医疗支出、</w:t>
      </w:r>
      <w:r>
        <w:rPr>
          <w:rFonts w:hint="eastAsia" w:ascii="Times New Roman" w:hAnsi="Times New Roman" w:eastAsia="仿宋_GB2312" w:cs="仿宋_GB2312"/>
          <w:sz w:val="32"/>
          <w:szCs w:val="32"/>
        </w:rPr>
        <w:t>住房公积金。</w:t>
      </w:r>
    </w:p>
    <w:p w14:paraId="0E36BC8D">
      <w:pPr>
        <w:adjustRightInd w:val="0"/>
        <w:snapToGrid w:val="0"/>
        <w:spacing w:line="578" w:lineRule="exact"/>
        <w:ind w:firstLine="640" w:firstLineChars="200"/>
        <w:contextualSpacing/>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项目支出</w:t>
      </w:r>
      <w:r>
        <w:rPr>
          <w:rFonts w:hint="eastAsia" w:ascii="Times New Roman" w:hAnsi="Times New Roman" w:eastAsia="仿宋_GB2312" w:cs="仿宋_GB2312"/>
          <w:sz w:val="32"/>
          <w:szCs w:val="32"/>
        </w:rPr>
        <w:t>：202</w:t>
      </w:r>
      <w:r>
        <w:rPr>
          <w:rFonts w:hint="eastAsia" w:ascii="Times New Roman" w:hAnsi="Times New Roman" w:eastAsia="仿宋_GB2312" w:cs="仿宋_GB2312"/>
          <w:sz w:val="32"/>
          <w:szCs w:val="32"/>
          <w:lang w:val="en-US" w:eastAsia="zh-CN"/>
        </w:rPr>
        <w:t>5</w:t>
      </w:r>
      <w:r>
        <w:rPr>
          <w:rFonts w:hint="eastAsia" w:ascii="Times New Roman" w:hAnsi="Times New Roman" w:eastAsia="仿宋_GB2312" w:cs="仿宋_GB2312"/>
          <w:sz w:val="32"/>
          <w:szCs w:val="32"/>
        </w:rPr>
        <w:t>年全年总额</w:t>
      </w:r>
      <w:r>
        <w:rPr>
          <w:rFonts w:hint="eastAsia" w:ascii="Times New Roman" w:hAnsi="Times New Roman" w:eastAsia="仿宋_GB2312" w:cs="仿宋_GB2312"/>
          <w:sz w:val="32"/>
          <w:szCs w:val="32"/>
          <w:lang w:val="en-US" w:eastAsia="zh-CN"/>
        </w:rPr>
        <w:t>为31</w:t>
      </w:r>
      <w:r>
        <w:rPr>
          <w:rFonts w:hint="eastAsia" w:ascii="Times New Roman" w:hAnsi="Times New Roman" w:eastAsia="仿宋_GB2312" w:cs="仿宋_GB2312"/>
          <w:sz w:val="32"/>
          <w:szCs w:val="32"/>
        </w:rPr>
        <w:t>万元</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用于加强与四川省、成都市各级政府部门的沟通联系，及时了解政策动态和投资信息，努力争取政策、项目、资金等支持，推动实现人才链、资金链、产业链精准对接，为我市的加速发展争取更多的支持和帮助</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多渠道收集项目信息，为招商引资牵线搭桥</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围绕服务业发展年这一重点，通过走访兄弟市（州）驻蓉办取真经、寻实招，积极参与驻蓉区域协作交流平台等相关活动，加强与外地企业的沟通联系，大力宣传我市资源优势和产业特色，吸引更多企业和投资项目到我市投资发展，为外地客商到我市投资兴业牵线搭桥</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加大协调配合力度，积极参与重大招商引资项目在蓉的跟进和服务保障工作</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积极参与知名企业四川行、中国西部国际博览会、省级部门支持攀枝花高质量发展共建共同富裕试验区现场签约仪式等活动，为招商引资高质量发展保驾护航。</w:t>
      </w:r>
    </w:p>
    <w:p w14:paraId="388EB305">
      <w:pPr>
        <w:adjustRightInd w:val="0"/>
        <w:snapToGrid w:val="0"/>
        <w:spacing w:line="578" w:lineRule="exact"/>
        <w:ind w:firstLine="640" w:firstLineChars="200"/>
        <w:contextualSpacing/>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②</w:t>
      </w:r>
      <w:r>
        <w:rPr>
          <w:rFonts w:hint="eastAsia" w:ascii="Times New Roman" w:hAnsi="Times New Roman" w:eastAsia="仿宋_GB2312" w:cs="仿宋_GB2312"/>
          <w:sz w:val="32"/>
          <w:szCs w:val="32"/>
        </w:rPr>
        <w:t>效益指标完成情况分析。</w:t>
      </w:r>
    </w:p>
    <w:p w14:paraId="4E64861C">
      <w:pPr>
        <w:adjustRightInd w:val="0"/>
        <w:snapToGrid w:val="0"/>
        <w:spacing w:line="578" w:lineRule="exact"/>
        <w:ind w:firstLine="640" w:firstLineChars="200"/>
        <w:contextualSpacing/>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基本支出：为保障</w:t>
      </w:r>
      <w:r>
        <w:rPr>
          <w:rFonts w:hint="eastAsia" w:ascii="Times New Roman" w:hAnsi="Times New Roman" w:eastAsia="仿宋_GB2312" w:cs="仿宋_GB2312"/>
          <w:sz w:val="32"/>
          <w:szCs w:val="32"/>
          <w:lang w:eastAsia="zh-CN"/>
        </w:rPr>
        <w:t>成办</w:t>
      </w:r>
      <w:r>
        <w:rPr>
          <w:rFonts w:hint="eastAsia" w:ascii="Times New Roman" w:hAnsi="Times New Roman" w:eastAsia="仿宋_GB2312" w:cs="仿宋_GB2312"/>
          <w:sz w:val="32"/>
          <w:szCs w:val="32"/>
        </w:rPr>
        <w:t>的人员工资福利、日常运转及承担的接待、在蓉离退休人员和流动党员的服务管理等工作的支出，完成了市委、</w:t>
      </w:r>
      <w:r>
        <w:rPr>
          <w:rFonts w:hint="eastAsia" w:ascii="Times New Roman" w:hAnsi="Times New Roman" w:eastAsia="仿宋_GB2312" w:cs="仿宋_GB2312"/>
          <w:sz w:val="32"/>
          <w:szCs w:val="32"/>
          <w:lang w:eastAsia="zh-CN"/>
        </w:rPr>
        <w:t>市</w:t>
      </w:r>
      <w:r>
        <w:rPr>
          <w:rFonts w:hint="eastAsia" w:ascii="Times New Roman" w:hAnsi="Times New Roman" w:eastAsia="仿宋_GB2312" w:cs="仿宋_GB2312"/>
          <w:sz w:val="32"/>
          <w:szCs w:val="32"/>
        </w:rPr>
        <w:t>政府交办的任务。</w:t>
      </w:r>
    </w:p>
    <w:p w14:paraId="38CD9D2B">
      <w:pPr>
        <w:adjustRightInd w:val="0"/>
        <w:snapToGrid w:val="0"/>
        <w:spacing w:line="578" w:lineRule="exact"/>
        <w:ind w:firstLine="640" w:firstLineChars="200"/>
        <w:contextualSpacing/>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项目支出</w:t>
      </w:r>
      <w:r>
        <w:rPr>
          <w:rFonts w:hint="eastAsia" w:ascii="Times New Roman" w:hAnsi="Times New Roman" w:eastAsia="仿宋_GB2312" w:cs="仿宋_GB2312"/>
          <w:sz w:val="32"/>
          <w:szCs w:val="32"/>
        </w:rPr>
        <w:t>：为攀枝花市地方经济、人才就业、城市名片、产业升级等起到了多方面的积极推动作用；在引进优秀企业、帮助县（区）项目落地方面取得了实实在在的成效，打好招商引资“人情”牌，做好项目储备工作。</w:t>
      </w:r>
    </w:p>
    <w:p w14:paraId="0ECE8CFE">
      <w:pPr>
        <w:adjustRightInd w:val="0"/>
        <w:snapToGrid w:val="0"/>
        <w:spacing w:line="578" w:lineRule="exact"/>
        <w:ind w:firstLine="640" w:firstLineChars="200"/>
        <w:contextualSpacing/>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③</w:t>
      </w:r>
      <w:r>
        <w:rPr>
          <w:rFonts w:hint="eastAsia" w:ascii="Times New Roman" w:hAnsi="Times New Roman" w:eastAsia="仿宋_GB2312" w:cs="仿宋_GB2312"/>
          <w:sz w:val="32"/>
          <w:szCs w:val="32"/>
        </w:rPr>
        <w:t>满意度指标完成情况分析。</w:t>
      </w:r>
    </w:p>
    <w:p w14:paraId="4396CF0C">
      <w:pPr>
        <w:adjustRightInd w:val="0"/>
        <w:snapToGrid w:val="0"/>
        <w:spacing w:line="578" w:lineRule="exact"/>
        <w:ind w:firstLine="640" w:firstLineChars="200"/>
        <w:contextualSpacing/>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基本支出：满意度指标为≥9</w:t>
      </w:r>
      <w:r>
        <w:rPr>
          <w:rFonts w:hint="eastAsia" w:ascii="Times New Roman" w:hAnsi="Times New Roman" w:eastAsia="仿宋_GB2312" w:cs="仿宋_GB2312"/>
          <w:sz w:val="32"/>
          <w:szCs w:val="32"/>
          <w:lang w:val="en-US" w:eastAsia="zh-CN"/>
        </w:rPr>
        <w:t>5</w:t>
      </w:r>
      <w:r>
        <w:rPr>
          <w:rFonts w:hint="eastAsia" w:ascii="Times New Roman" w:hAnsi="Times New Roman" w:eastAsia="仿宋_GB2312" w:cs="仿宋_GB2312"/>
          <w:sz w:val="32"/>
          <w:szCs w:val="32"/>
        </w:rPr>
        <w:t>%，完成了市委、市政府和主管部门交办的各项工作、任务。</w:t>
      </w:r>
    </w:p>
    <w:p w14:paraId="54953CDD">
      <w:pPr>
        <w:adjustRightInd w:val="0"/>
        <w:snapToGrid w:val="0"/>
        <w:spacing w:line="578" w:lineRule="exact"/>
        <w:ind w:firstLine="640" w:firstLineChars="200"/>
        <w:contextualSpacing/>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项目支出</w:t>
      </w:r>
      <w:r>
        <w:rPr>
          <w:rFonts w:hint="eastAsia" w:ascii="Times New Roman" w:hAnsi="Times New Roman" w:eastAsia="仿宋_GB2312" w:cs="仿宋_GB2312"/>
          <w:sz w:val="32"/>
          <w:szCs w:val="32"/>
        </w:rPr>
        <w:t>：满意度指标为≥95%，积极主动与省级及成都市各部门及各驻蓉机构保持经常性联络和工作互动，为攀枝花对外招商、项目对接搭建合作关系。</w:t>
      </w:r>
    </w:p>
    <w:p w14:paraId="47A8D45A">
      <w:pPr>
        <w:adjustRightInd w:val="0"/>
        <w:snapToGrid w:val="0"/>
        <w:spacing w:line="578" w:lineRule="exact"/>
        <w:ind w:firstLine="640" w:firstLineChars="200"/>
        <w:contextualSpacing/>
        <w:rPr>
          <w:rFonts w:hint="eastAsia" w:ascii="Times New Roman" w:hAnsi="Times New Roman" w:eastAsia="仿宋_GB2312" w:cs="仿宋_GB2312"/>
          <w:sz w:val="32"/>
          <w:szCs w:val="32"/>
          <w:lang w:val="zh-CN"/>
        </w:rPr>
      </w:pPr>
      <w:r>
        <w:rPr>
          <w:rFonts w:hint="eastAsia" w:eastAsia="仿宋_GB2312" w:cs="仿宋_GB2312"/>
          <w:sz w:val="32"/>
          <w:szCs w:val="32"/>
          <w:lang w:val="zh-CN"/>
        </w:rPr>
        <w:t>（</w:t>
      </w:r>
      <w:r>
        <w:rPr>
          <w:rFonts w:hint="eastAsia" w:eastAsia="仿宋_GB2312" w:cs="仿宋_GB2312"/>
          <w:sz w:val="32"/>
          <w:szCs w:val="32"/>
          <w:lang w:val="en-US" w:eastAsia="zh-CN"/>
        </w:rPr>
        <w:t>3</w:t>
      </w:r>
      <w:r>
        <w:rPr>
          <w:rFonts w:hint="eastAsia" w:eastAsia="仿宋_GB2312" w:cs="仿宋_GB2312"/>
          <w:sz w:val="32"/>
          <w:szCs w:val="32"/>
          <w:lang w:val="zh-CN"/>
        </w:rPr>
        <w:t>）</w:t>
      </w:r>
      <w:r>
        <w:rPr>
          <w:rFonts w:ascii="Times New Roman" w:hAnsi="Times New Roman" w:eastAsia="仿宋_GB2312" w:cs="仿宋_GB2312"/>
          <w:sz w:val="32"/>
          <w:szCs w:val="32"/>
          <w:lang w:val="zh-CN"/>
        </w:rPr>
        <w:t>绩效结果应用情况</w:t>
      </w:r>
      <w:r>
        <w:rPr>
          <w:rFonts w:hint="eastAsia" w:ascii="Times New Roman" w:hAnsi="Times New Roman" w:eastAsia="仿宋_GB2312" w:cs="仿宋_GB2312"/>
          <w:sz w:val="32"/>
          <w:szCs w:val="32"/>
          <w:lang w:val="zh-CN"/>
        </w:rPr>
        <w:t>。</w:t>
      </w:r>
    </w:p>
    <w:p w14:paraId="244E5810">
      <w:pPr>
        <w:adjustRightInd w:val="0"/>
        <w:snapToGrid w:val="0"/>
        <w:spacing w:line="578" w:lineRule="exact"/>
        <w:ind w:firstLine="640" w:firstLineChars="200"/>
        <w:contextualSpacing/>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①</w:t>
      </w:r>
      <w:r>
        <w:rPr>
          <w:rFonts w:hint="eastAsia" w:ascii="Times New Roman" w:hAnsi="Times New Roman" w:eastAsia="仿宋_GB2312" w:cs="仿宋_GB2312"/>
          <w:sz w:val="32"/>
          <w:szCs w:val="32"/>
        </w:rPr>
        <w:t>保障机关运转、履行职能职责总体情况</w:t>
      </w:r>
    </w:p>
    <w:p w14:paraId="39C035C1">
      <w:pPr>
        <w:adjustRightInd w:val="0"/>
        <w:snapToGrid w:val="0"/>
        <w:spacing w:line="578" w:lineRule="exact"/>
        <w:ind w:firstLine="640" w:firstLineChars="200"/>
        <w:contextualSpacing/>
        <w:rPr>
          <w:rFonts w:hint="eastAsia" w:ascii="Times New Roman" w:hAnsi="Times New Roman" w:eastAsia="仿宋_GB2312" w:cs="仿宋_GB2312"/>
          <w:sz w:val="32"/>
          <w:szCs w:val="32"/>
          <w:lang w:val="en-US"/>
        </w:rPr>
      </w:pPr>
      <w:r>
        <w:rPr>
          <w:rFonts w:hint="eastAsia" w:ascii="Times New Roman" w:hAnsi="Times New Roman" w:eastAsia="仿宋_GB2312" w:cs="仿宋_GB2312"/>
          <w:sz w:val="32"/>
          <w:szCs w:val="32"/>
        </w:rPr>
        <w:t>202</w:t>
      </w:r>
      <w:r>
        <w:rPr>
          <w:rFonts w:hint="eastAsia" w:ascii="Times New Roman" w:hAnsi="Times New Roman" w:eastAsia="仿宋_GB2312" w:cs="仿宋_GB2312"/>
          <w:sz w:val="32"/>
          <w:szCs w:val="32"/>
          <w:lang w:val="en-US" w:eastAsia="zh-CN"/>
        </w:rPr>
        <w:t>5</w:t>
      </w:r>
      <w:r>
        <w:rPr>
          <w:rFonts w:hint="eastAsia" w:ascii="Times New Roman" w:hAnsi="Times New Roman" w:eastAsia="仿宋_GB2312" w:cs="仿宋_GB2312"/>
          <w:sz w:val="32"/>
          <w:szCs w:val="32"/>
        </w:rPr>
        <w:t>年度机关运行经费为</w:t>
      </w:r>
      <w:r>
        <w:rPr>
          <w:rFonts w:hint="eastAsia" w:ascii="Times New Roman" w:hAnsi="Times New Roman" w:eastAsia="仿宋_GB2312" w:cs="仿宋_GB2312"/>
          <w:sz w:val="32"/>
          <w:szCs w:val="32"/>
          <w:lang w:val="en-US" w:eastAsia="zh-CN"/>
        </w:rPr>
        <w:t>102.52万元，</w:t>
      </w:r>
      <w:r>
        <w:rPr>
          <w:rFonts w:hint="eastAsia" w:ascii="Times New Roman" w:hAnsi="Times New Roman" w:eastAsia="仿宋_GB2312" w:cs="仿宋_GB2312"/>
          <w:sz w:val="32"/>
          <w:szCs w:val="32"/>
        </w:rPr>
        <w:t>202</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rPr>
        <w:t>年度机关运行经费为</w:t>
      </w:r>
      <w:r>
        <w:rPr>
          <w:rFonts w:hint="eastAsia" w:ascii="Times New Roman" w:hAnsi="Times New Roman" w:eastAsia="仿宋_GB2312" w:cs="仿宋_GB2312"/>
          <w:sz w:val="32"/>
          <w:szCs w:val="32"/>
          <w:lang w:val="en-US" w:eastAsia="zh-CN"/>
        </w:rPr>
        <w:t>112.19万元</w:t>
      </w:r>
      <w:r>
        <w:rPr>
          <w:rFonts w:hint="eastAsia" w:ascii="Times New Roman" w:hAnsi="Times New Roman" w:eastAsia="仿宋_GB2312" w:cs="仿宋_GB2312"/>
          <w:sz w:val="32"/>
          <w:szCs w:val="32"/>
        </w:rPr>
        <w:t>，本年较上年</w:t>
      </w:r>
      <w:r>
        <w:rPr>
          <w:rFonts w:hint="eastAsia" w:ascii="Times New Roman" w:hAnsi="Times New Roman" w:eastAsia="仿宋_GB2312" w:cs="仿宋_GB2312"/>
          <w:sz w:val="32"/>
          <w:szCs w:val="32"/>
          <w:lang w:val="en-US" w:eastAsia="zh-CN"/>
        </w:rPr>
        <w:t>减少9.67万元</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降低了8.62%。</w:t>
      </w:r>
    </w:p>
    <w:p w14:paraId="68A708F6">
      <w:pPr>
        <w:adjustRightInd w:val="0"/>
        <w:snapToGrid w:val="0"/>
        <w:spacing w:line="578" w:lineRule="exact"/>
        <w:ind w:firstLine="640" w:firstLineChars="200"/>
        <w:contextualSpacing/>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②</w:t>
      </w:r>
      <w:r>
        <w:rPr>
          <w:rFonts w:hint="eastAsia" w:ascii="Times New Roman" w:hAnsi="Times New Roman" w:eastAsia="仿宋_GB2312" w:cs="仿宋_GB2312"/>
          <w:sz w:val="32"/>
          <w:szCs w:val="32"/>
        </w:rPr>
        <w:t>厉行节约、合理使用项目资金情况</w:t>
      </w:r>
    </w:p>
    <w:p w14:paraId="1087CB4E">
      <w:pPr>
        <w:adjustRightInd w:val="0"/>
        <w:snapToGrid w:val="0"/>
        <w:spacing w:line="578" w:lineRule="exact"/>
        <w:ind w:firstLine="640" w:firstLineChars="200"/>
        <w:contextualSpacing/>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成办</w:t>
      </w:r>
      <w:r>
        <w:rPr>
          <w:rFonts w:hint="eastAsia" w:ascii="Times New Roman" w:hAnsi="Times New Roman" w:eastAsia="仿宋_GB2312" w:cs="仿宋_GB2312"/>
          <w:sz w:val="32"/>
          <w:szCs w:val="32"/>
          <w:lang w:val="en-US" w:eastAsia="zh-CN"/>
        </w:rPr>
        <w:t>2025年预算</w:t>
      </w:r>
      <w:r>
        <w:rPr>
          <w:rFonts w:hint="eastAsia" w:ascii="Times New Roman" w:hAnsi="Times New Roman" w:eastAsia="仿宋_GB2312" w:cs="仿宋_GB2312"/>
          <w:sz w:val="32"/>
          <w:szCs w:val="32"/>
        </w:rPr>
        <w:t>项目资金</w:t>
      </w:r>
      <w:r>
        <w:rPr>
          <w:rFonts w:hint="eastAsia" w:ascii="Times New Roman" w:hAnsi="Times New Roman" w:eastAsia="仿宋_GB2312" w:cs="仿宋_GB2312"/>
          <w:sz w:val="32"/>
          <w:szCs w:val="32"/>
          <w:lang w:eastAsia="zh-CN"/>
        </w:rPr>
        <w:t>有</w:t>
      </w:r>
      <w:r>
        <w:rPr>
          <w:rFonts w:hint="eastAsia" w:ascii="Times New Roman" w:hAnsi="Times New Roman" w:eastAsia="仿宋_GB2312" w:cs="仿宋_GB2312"/>
          <w:sz w:val="32"/>
          <w:szCs w:val="32"/>
          <w:lang w:val="en-US" w:eastAsia="zh-CN"/>
        </w:rPr>
        <w:t>信访维稳及</w:t>
      </w:r>
      <w:r>
        <w:rPr>
          <w:rFonts w:hint="eastAsia" w:ascii="Times New Roman" w:hAnsi="Times New Roman" w:eastAsia="仿宋_GB2312" w:cs="仿宋_GB2312"/>
          <w:sz w:val="32"/>
          <w:szCs w:val="32"/>
        </w:rPr>
        <w:t>招商引资活动经费</w:t>
      </w:r>
      <w:r>
        <w:rPr>
          <w:rFonts w:hint="eastAsia" w:ascii="Times New Roman" w:hAnsi="Times New Roman" w:eastAsia="仿宋_GB2312" w:cs="仿宋_GB2312"/>
          <w:sz w:val="32"/>
          <w:szCs w:val="32"/>
          <w:lang w:val="en-US" w:eastAsia="zh-CN"/>
        </w:rPr>
        <w:t>8万元，用于</w:t>
      </w:r>
      <w:r>
        <w:rPr>
          <w:rFonts w:hint="eastAsia" w:ascii="Times New Roman" w:hAnsi="Times New Roman" w:eastAsia="仿宋_GB2312" w:cs="仿宋_GB2312"/>
          <w:sz w:val="32"/>
          <w:szCs w:val="32"/>
          <w:lang w:eastAsia="zh-CN"/>
        </w:rPr>
        <w:t>办公场所的物业服务支出和</w:t>
      </w:r>
      <w:r>
        <w:rPr>
          <w:rFonts w:hint="eastAsia" w:ascii="Times New Roman" w:hAnsi="Times New Roman" w:eastAsia="仿宋_GB2312" w:cs="仿宋_GB2312"/>
          <w:sz w:val="32"/>
          <w:szCs w:val="32"/>
        </w:rPr>
        <w:t>为我市的</w:t>
      </w:r>
      <w:r>
        <w:rPr>
          <w:rFonts w:hint="eastAsia" w:ascii="Times New Roman" w:hAnsi="Times New Roman" w:eastAsia="仿宋_GB2312" w:cs="仿宋_GB2312"/>
          <w:sz w:val="32"/>
          <w:szCs w:val="32"/>
          <w:lang w:eastAsia="zh-CN"/>
        </w:rPr>
        <w:t>经济</w:t>
      </w:r>
      <w:r>
        <w:rPr>
          <w:rFonts w:hint="eastAsia" w:ascii="Times New Roman" w:hAnsi="Times New Roman" w:eastAsia="仿宋_GB2312" w:cs="仿宋_GB2312"/>
          <w:sz w:val="32"/>
          <w:szCs w:val="32"/>
        </w:rPr>
        <w:t>加速发展争取更多的支持和帮助</w:t>
      </w:r>
      <w:r>
        <w:rPr>
          <w:rFonts w:hint="eastAsia" w:ascii="Times New Roman" w:hAnsi="Times New Roman" w:eastAsia="仿宋_GB2312" w:cs="仿宋_GB2312"/>
          <w:sz w:val="32"/>
          <w:szCs w:val="32"/>
          <w:lang w:eastAsia="zh-CN"/>
        </w:rPr>
        <w:t>。</w:t>
      </w:r>
    </w:p>
    <w:p w14:paraId="34D11840">
      <w:pPr>
        <w:adjustRightInd w:val="0"/>
        <w:snapToGrid w:val="0"/>
        <w:spacing w:line="578" w:lineRule="exact"/>
        <w:ind w:firstLine="640" w:firstLineChars="200"/>
        <w:contextualSpacing/>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val="en-US" w:eastAsia="zh-CN"/>
        </w:rPr>
        <w:t>干休所2025年预算</w:t>
      </w:r>
      <w:r>
        <w:rPr>
          <w:rFonts w:hint="eastAsia" w:ascii="Times New Roman" w:hAnsi="Times New Roman" w:eastAsia="仿宋_GB2312" w:cs="仿宋_GB2312"/>
          <w:sz w:val="32"/>
          <w:szCs w:val="32"/>
        </w:rPr>
        <w:t>项目资金</w:t>
      </w:r>
      <w:r>
        <w:rPr>
          <w:rFonts w:hint="eastAsia" w:ascii="Times New Roman" w:hAnsi="Times New Roman" w:eastAsia="仿宋_GB2312" w:cs="仿宋_GB2312"/>
          <w:sz w:val="32"/>
          <w:szCs w:val="32"/>
          <w:lang w:eastAsia="zh-CN"/>
        </w:rPr>
        <w:t>有机关运转项目</w:t>
      </w:r>
      <w:r>
        <w:rPr>
          <w:rFonts w:hint="eastAsia" w:ascii="Times New Roman" w:hAnsi="Times New Roman" w:eastAsia="仿宋_GB2312" w:cs="仿宋_GB2312"/>
          <w:sz w:val="32"/>
          <w:szCs w:val="32"/>
        </w:rPr>
        <w:t>经费</w:t>
      </w:r>
      <w:r>
        <w:rPr>
          <w:rFonts w:hint="eastAsia" w:ascii="Times New Roman" w:hAnsi="Times New Roman" w:eastAsia="仿宋_GB2312" w:cs="仿宋_GB2312"/>
          <w:sz w:val="32"/>
          <w:szCs w:val="32"/>
          <w:lang w:val="en-US" w:eastAsia="zh-CN"/>
        </w:rPr>
        <w:t>20万元，用于</w:t>
      </w:r>
      <w:r>
        <w:rPr>
          <w:rFonts w:hint="eastAsia" w:ascii="Times New Roman" w:hAnsi="Times New Roman" w:eastAsia="仿宋_GB2312" w:cs="仿宋_GB2312"/>
          <w:sz w:val="32"/>
          <w:szCs w:val="32"/>
          <w:lang w:eastAsia="zh-CN"/>
        </w:rPr>
        <w:t>办公场所的物业服务支出和</w:t>
      </w:r>
      <w:r>
        <w:rPr>
          <w:rFonts w:hint="eastAsia" w:ascii="Times New Roman" w:hAnsi="Times New Roman" w:eastAsia="仿宋_GB2312" w:cs="仿宋_GB2312"/>
          <w:sz w:val="32"/>
          <w:szCs w:val="32"/>
        </w:rPr>
        <w:t>为</w:t>
      </w:r>
      <w:r>
        <w:rPr>
          <w:rFonts w:hint="eastAsia" w:ascii="Times New Roman" w:hAnsi="Times New Roman" w:eastAsia="仿宋_GB2312" w:cs="仿宋_GB2312"/>
          <w:sz w:val="32"/>
          <w:szCs w:val="32"/>
          <w:lang w:eastAsia="zh-CN"/>
        </w:rPr>
        <w:t>离休老干部服务工作</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干休所两个院落所管理的两栋楼房、车库、活动室、医务室及附属设施的日常维护维修；清淤，管辖区的市容环境卫生绿化，沟渠清淤疏通，垃圾清运，补充公用支出不足；鉴于其机构设置及编制配置实际情况，为满足离休人员日常管理所需，解决长期聘用人员和临时聘请人员的劳务费；树立一种服务的意识，踏实做事，多做好事,多办实事。认真解决好关系到他们切实利益的具体问题；要让老同志病有所依,老有所养,使老同志真正感受到干休所是一个和谐温馨的大家庭。</w:t>
      </w:r>
    </w:p>
    <w:p w14:paraId="77BC5542">
      <w:pPr>
        <w:adjustRightInd w:val="0"/>
        <w:snapToGrid w:val="0"/>
        <w:spacing w:line="578" w:lineRule="exact"/>
        <w:ind w:firstLine="640" w:firstLineChars="200"/>
        <w:contextualSpacing/>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val="en-US" w:eastAsia="zh-CN"/>
        </w:rPr>
        <w:t>服务中心2025年预算</w:t>
      </w:r>
      <w:r>
        <w:rPr>
          <w:rFonts w:hint="eastAsia" w:ascii="Times New Roman" w:hAnsi="Times New Roman" w:eastAsia="仿宋_GB2312" w:cs="仿宋_GB2312"/>
          <w:sz w:val="32"/>
          <w:szCs w:val="32"/>
        </w:rPr>
        <w:t>项目资金</w:t>
      </w:r>
      <w:r>
        <w:rPr>
          <w:rFonts w:hint="eastAsia" w:ascii="Times New Roman" w:hAnsi="Times New Roman" w:eastAsia="仿宋_GB2312" w:cs="仿宋_GB2312"/>
          <w:sz w:val="32"/>
          <w:szCs w:val="32"/>
          <w:lang w:eastAsia="zh-CN"/>
        </w:rPr>
        <w:t>有维修维护</w:t>
      </w:r>
      <w:r>
        <w:rPr>
          <w:rFonts w:hint="eastAsia" w:ascii="Times New Roman" w:hAnsi="Times New Roman" w:eastAsia="仿宋_GB2312" w:cs="仿宋_GB2312"/>
          <w:sz w:val="32"/>
          <w:szCs w:val="32"/>
        </w:rPr>
        <w:t>费</w:t>
      </w:r>
      <w:r>
        <w:rPr>
          <w:rFonts w:hint="eastAsia" w:ascii="Times New Roman" w:hAnsi="Times New Roman" w:eastAsia="仿宋_GB2312" w:cs="仿宋_GB2312"/>
          <w:sz w:val="32"/>
          <w:szCs w:val="32"/>
          <w:lang w:val="en-US" w:eastAsia="zh-CN"/>
        </w:rPr>
        <w:t>3万元，用于对小区内为离退休老干部们提供文化娱乐活动场所的固定资产和设备进行维修保养。</w:t>
      </w:r>
    </w:p>
    <w:p w14:paraId="43A60C4A">
      <w:pPr>
        <w:adjustRightInd w:val="0"/>
        <w:snapToGrid w:val="0"/>
        <w:spacing w:line="578" w:lineRule="exact"/>
        <w:ind w:firstLine="640" w:firstLineChars="200"/>
        <w:contextualSpacing/>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③</w:t>
      </w:r>
      <w:r>
        <w:rPr>
          <w:rFonts w:hint="eastAsia" w:ascii="Times New Roman" w:hAnsi="Times New Roman" w:eastAsia="仿宋_GB2312" w:cs="仿宋_GB2312"/>
          <w:sz w:val="32"/>
          <w:szCs w:val="32"/>
        </w:rPr>
        <w:t>效益指标完成情况分析。</w:t>
      </w:r>
    </w:p>
    <w:p w14:paraId="7A6FCC27">
      <w:pPr>
        <w:adjustRightInd w:val="0"/>
        <w:snapToGrid w:val="0"/>
        <w:spacing w:line="578" w:lineRule="exact"/>
        <w:ind w:firstLine="640" w:firstLineChars="200"/>
        <w:contextualSpacing/>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基本支出：为保障单位的人员工资福利、日常运转及承担的接待、在蓉离退休人员和流动党员的服务管理等工作的支出，完成了市委、</w:t>
      </w:r>
      <w:r>
        <w:rPr>
          <w:rFonts w:hint="eastAsia" w:ascii="Times New Roman" w:hAnsi="Times New Roman" w:eastAsia="仿宋_GB2312" w:cs="仿宋_GB2312"/>
          <w:sz w:val="32"/>
          <w:szCs w:val="32"/>
          <w:lang w:eastAsia="zh-CN"/>
        </w:rPr>
        <w:t>市</w:t>
      </w:r>
      <w:r>
        <w:rPr>
          <w:rFonts w:hint="eastAsia" w:ascii="Times New Roman" w:hAnsi="Times New Roman" w:eastAsia="仿宋_GB2312" w:cs="仿宋_GB2312"/>
          <w:sz w:val="32"/>
          <w:szCs w:val="32"/>
        </w:rPr>
        <w:t>政府交办的任务。</w:t>
      </w:r>
    </w:p>
    <w:p w14:paraId="16872323">
      <w:pPr>
        <w:adjustRightInd w:val="0"/>
        <w:snapToGrid w:val="0"/>
        <w:spacing w:line="578" w:lineRule="exact"/>
        <w:ind w:firstLine="640" w:firstLineChars="200"/>
        <w:contextualSpacing/>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机关运转项目</w:t>
      </w:r>
      <w:r>
        <w:rPr>
          <w:rFonts w:hint="eastAsia" w:ascii="Times New Roman" w:hAnsi="Times New Roman" w:eastAsia="仿宋_GB2312" w:cs="仿宋_GB2312"/>
          <w:sz w:val="32"/>
          <w:szCs w:val="32"/>
        </w:rPr>
        <w:t>经费：</w:t>
      </w:r>
      <w:r>
        <w:rPr>
          <w:rFonts w:hint="eastAsia" w:ascii="Times New Roman" w:hAnsi="Times New Roman" w:eastAsia="仿宋_GB2312" w:cs="仿宋_GB2312"/>
          <w:sz w:val="32"/>
          <w:szCs w:val="32"/>
          <w:lang w:eastAsia="zh-CN"/>
        </w:rPr>
        <w:t>认真落实中央、省市委离退休老干部服务管理工作要求。切实提高政治站位，用心用情做好离退休干部服务管理工作。</w:t>
      </w:r>
    </w:p>
    <w:p w14:paraId="1678E28F">
      <w:pPr>
        <w:adjustRightInd w:val="0"/>
        <w:snapToGrid w:val="0"/>
        <w:spacing w:line="578" w:lineRule="exact"/>
        <w:ind w:firstLine="640" w:firstLineChars="200"/>
        <w:contextualSpacing/>
        <w:rPr>
          <w:rFonts w:ascii="Times New Roman" w:hAnsi="Times New Roman" w:eastAsia="仿宋_GB2312" w:cs="仿宋_GB2312"/>
          <w:sz w:val="32"/>
          <w:szCs w:val="32"/>
          <w:lang w:val="zh-CN"/>
        </w:rPr>
      </w:pPr>
      <w:r>
        <w:rPr>
          <w:rFonts w:ascii="Times New Roman" w:hAnsi="Times New Roman" w:eastAsia="仿宋_GB2312" w:cs="仿宋_GB2312"/>
          <w:sz w:val="32"/>
          <w:szCs w:val="32"/>
          <w:lang w:val="zh-CN"/>
        </w:rPr>
        <w:t>四、评价结论及建议</w:t>
      </w:r>
    </w:p>
    <w:p w14:paraId="4908A2F9">
      <w:pPr>
        <w:adjustRightInd w:val="0"/>
        <w:snapToGrid w:val="0"/>
        <w:spacing w:line="578" w:lineRule="exact"/>
        <w:ind w:firstLine="640" w:firstLineChars="200"/>
        <w:contextualSpacing/>
        <w:rPr>
          <w:rFonts w:ascii="Times New Roman" w:hAnsi="Times New Roman" w:eastAsia="仿宋_GB2312" w:cs="仿宋_GB2312"/>
          <w:sz w:val="32"/>
          <w:szCs w:val="32"/>
        </w:rPr>
      </w:pPr>
      <w:r>
        <w:rPr>
          <w:rFonts w:ascii="Times New Roman" w:hAnsi="Times New Roman" w:eastAsia="仿宋_GB2312" w:cs="仿宋_GB2312"/>
          <w:sz w:val="32"/>
          <w:szCs w:val="32"/>
          <w:lang w:val="zh-CN"/>
        </w:rPr>
        <w:t>（一）评价结论。</w:t>
      </w:r>
      <w:r>
        <w:rPr>
          <w:rFonts w:hint="eastAsia" w:ascii="Times New Roman" w:hAnsi="Times New Roman" w:eastAsia="仿宋_GB2312" w:cs="仿宋_GB2312"/>
          <w:sz w:val="32"/>
          <w:szCs w:val="32"/>
          <w:lang w:val="en-US" w:eastAsia="zh-CN"/>
        </w:rPr>
        <w:t>2025年攀枝花市人民政府驻成都办事处部门</w:t>
      </w:r>
      <w:r>
        <w:rPr>
          <w:rFonts w:hint="eastAsia" w:ascii="Times New Roman" w:hAnsi="Times New Roman" w:eastAsia="仿宋_GB2312" w:cs="仿宋_GB2312"/>
          <w:sz w:val="32"/>
          <w:szCs w:val="32"/>
        </w:rPr>
        <w:t>按照财政部门预算编制的通知和有关要求，按时完成基础工作、项目报送、提交部门预算草案；在财政部门批复日内向社会公开本</w:t>
      </w:r>
      <w:r>
        <w:rPr>
          <w:rFonts w:hint="eastAsia" w:ascii="Times New Roman" w:hAnsi="Times New Roman" w:eastAsia="仿宋_GB2312" w:cs="仿宋_GB2312"/>
          <w:sz w:val="32"/>
          <w:szCs w:val="32"/>
          <w:lang w:eastAsia="zh-CN"/>
        </w:rPr>
        <w:t>单位</w:t>
      </w:r>
      <w:r>
        <w:rPr>
          <w:rFonts w:hint="eastAsia" w:ascii="Times New Roman" w:hAnsi="Times New Roman" w:eastAsia="仿宋_GB2312" w:cs="仿宋_GB2312"/>
          <w:sz w:val="32"/>
          <w:szCs w:val="32"/>
        </w:rPr>
        <w:t>的“三公”经费、机关运行经费的安排、使用情况；本</w:t>
      </w:r>
      <w:r>
        <w:rPr>
          <w:rFonts w:hint="eastAsia" w:ascii="Times New Roman" w:hAnsi="Times New Roman" w:eastAsia="仿宋_GB2312" w:cs="仿宋_GB2312"/>
          <w:sz w:val="32"/>
          <w:szCs w:val="32"/>
          <w:lang w:eastAsia="zh-CN"/>
        </w:rPr>
        <w:t>单位</w:t>
      </w:r>
      <w:r>
        <w:rPr>
          <w:rFonts w:hint="eastAsia" w:ascii="Times New Roman" w:hAnsi="Times New Roman" w:eastAsia="仿宋_GB2312" w:cs="仿宋_GB2312"/>
          <w:sz w:val="32"/>
          <w:szCs w:val="32"/>
        </w:rPr>
        <w:t>的预算执行都达到了执行进度；本单位的财务制度健全，制度执行严格，会计核算符合国家法律法规及相关规定，资金达到了专款专用，开支标准合理、合法。</w:t>
      </w:r>
    </w:p>
    <w:p w14:paraId="3045823D">
      <w:pPr>
        <w:adjustRightInd w:val="0"/>
        <w:snapToGrid w:val="0"/>
        <w:spacing w:line="578" w:lineRule="exact"/>
        <w:ind w:firstLine="640" w:firstLineChars="200"/>
        <w:contextualSpacing/>
        <w:rPr>
          <w:rFonts w:hint="eastAsia"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zh-CN" w:eastAsia="zh-CN"/>
        </w:rPr>
        <w:t>（二）存在问题。</w:t>
      </w:r>
    </w:p>
    <w:p w14:paraId="76A50B62">
      <w:pPr>
        <w:adjustRightInd w:val="0"/>
        <w:snapToGrid w:val="0"/>
        <w:spacing w:line="578" w:lineRule="exact"/>
        <w:ind w:firstLine="640" w:firstLineChars="200"/>
        <w:contextualSpacing/>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党的建设还需进一步加强。抓党建工作的意识需要强化，干部队伍政治理论素质和业务知识水平任有待提高，基层党组织建设的工作力度须进一步加大，离退休老干部老党员的服务举措还有待改进。抓党风廉政建设的措施还有不足，廉政教育方式方法过于单一，转变机关工作作风执行力度不够。</w:t>
      </w:r>
    </w:p>
    <w:p w14:paraId="51B22704">
      <w:pPr>
        <w:adjustRightInd w:val="0"/>
        <w:snapToGrid w:val="0"/>
        <w:spacing w:line="578" w:lineRule="exact"/>
        <w:ind w:firstLine="640" w:firstLineChars="200"/>
        <w:contextualSpacing/>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沟通联络还做得不好。作为连接成渝地区及上级部门的重要桥梁纽带，我办与全省各级政府、部门和企业联系和协调沟通举措不够多、力度不够大，推动攀枝花市与相关市州和部门的经济交流与合作收效有限。</w:t>
      </w:r>
    </w:p>
    <w:p w14:paraId="7DD5F8D6">
      <w:pPr>
        <w:adjustRightInd w:val="0"/>
        <w:snapToGrid w:val="0"/>
        <w:spacing w:line="578" w:lineRule="exact"/>
        <w:ind w:firstLine="640" w:firstLineChars="200"/>
        <w:contextualSpacing/>
        <w:rPr>
          <w:rFonts w:hint="eastAsia" w:ascii="Times New Roman" w:hAnsi="Times New Roman" w:eastAsia="仿宋_GB2312" w:cs="仿宋_GB2312"/>
          <w:sz w:val="32"/>
          <w:szCs w:val="32"/>
          <w:lang w:val="zh-CN" w:eastAsia="zh-CN"/>
        </w:rPr>
      </w:pPr>
      <w:r>
        <w:rPr>
          <w:rFonts w:hint="eastAsia" w:ascii="Times New Roman" w:hAnsi="Times New Roman" w:eastAsia="仿宋_GB2312" w:cs="仿宋_GB2312"/>
          <w:sz w:val="32"/>
          <w:szCs w:val="32"/>
          <w:lang w:val="zh-CN" w:eastAsia="zh-CN"/>
        </w:rPr>
        <w:t>（三）改进建议。</w:t>
      </w:r>
      <w:bookmarkStart w:id="48" w:name="_Hlk110546638"/>
    </w:p>
    <w:p w14:paraId="55F9F4BD">
      <w:pPr>
        <w:adjustRightInd w:val="0"/>
        <w:snapToGrid w:val="0"/>
        <w:spacing w:line="578" w:lineRule="exact"/>
        <w:ind w:firstLine="640" w:firstLineChars="200"/>
        <w:contextualSpacing/>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深化从严治党，强化党风政风建设。坚持把党风廉政建设作为党委工作主线，认真把握责任分解、责任考核、责任追究三个重点环节，把反腐倡廉意识和观念渗透到干部职工工作生活中，抓好所属各党支部和全体党员日常管理工作，及“在蓉离退休干部党委”的管理服务工作，努力构建风清气正的政治生态。健全内部管理制度和流程体系，狠抓干部队伍建设，明确工作职责和任务分工，强化团队协作沟通，严格考评奖惩机制，确保工作高效运转。</w:t>
      </w:r>
    </w:p>
    <w:p w14:paraId="4B1042B4">
      <w:pPr>
        <w:adjustRightInd w:val="0"/>
        <w:snapToGrid w:val="0"/>
        <w:spacing w:line="578" w:lineRule="exact"/>
        <w:ind w:firstLine="640" w:firstLineChars="200"/>
        <w:contextualSpacing/>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积极主动对接，发挥驻蓉区位优势。按照市委“大抓落实年”部署要求，聚集我办身处省会城市的地理人脉优势，主动收集“成渝贵昆”外圈和省委省政府的政策理论、先进信息为我市献智献力。主动拜访、对接省直各部门、兄弟市（州）驻蓉办，收集先进经验做法和重大招商引资项目信息，为攀枝化构建现代化产业体系推动经济社会发展牵线搭桥。</w:t>
      </w:r>
    </w:p>
    <w:p w14:paraId="5C4AB5DE">
      <w:pPr>
        <w:adjustRightInd w:val="0"/>
        <w:snapToGrid w:val="0"/>
        <w:spacing w:line="578" w:lineRule="exact"/>
        <w:ind w:firstLine="640" w:firstLineChars="200"/>
        <w:contextualSpacing/>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整合资源力量，发挥对外宣传作用。强化与省级机关、成都、重庆的联系，积极配合市级各部门做好向上争取政策、项目、资金等工作。大力宣传我市资源优势和产业特色，吸引更多企业和投资项目到我市投资发展，为外地客商到我市投资兴业牵线搭桥。加强与市直各部门、县（区）沟通联系，积极参与知名企业四川行、中国西部国际博览会、第112届全国糖酒商品交易会</w:t>
      </w:r>
      <w:r>
        <w:rPr>
          <w:rFonts w:hint="eastAsia" w:eastAsia="仿宋_GB2312" w:cs="仿宋_GB2312"/>
          <w:sz w:val="32"/>
          <w:szCs w:val="32"/>
          <w:lang w:val="en-US" w:eastAsia="zh-CN"/>
        </w:rPr>
        <w:t>等大型集会</w:t>
      </w:r>
      <w:r>
        <w:rPr>
          <w:rFonts w:hint="eastAsia" w:ascii="Times New Roman" w:hAnsi="Times New Roman" w:eastAsia="仿宋_GB2312" w:cs="仿宋_GB2312"/>
          <w:sz w:val="32"/>
          <w:szCs w:val="32"/>
          <w:lang w:val="en-US" w:eastAsia="zh-CN"/>
        </w:rPr>
        <w:t>，做好对外城市推介，跟踪收集重点项目工作动态，为我市高质量发展和共同富裕试验区建设贡献成办力量。</w:t>
      </w:r>
    </w:p>
    <w:bookmarkEnd w:id="48"/>
    <w:p w14:paraId="2F9CE11D">
      <w:pPr>
        <w:pStyle w:val="7"/>
        <w:spacing w:line="560" w:lineRule="exact"/>
        <w:ind w:left="0" w:leftChars="0" w:firstLine="0" w:firstLineChars="0"/>
        <w:rPr>
          <w:rFonts w:ascii="Times New Roman"/>
          <w:sz w:val="32"/>
          <w:highlight w:val="yellow"/>
          <w:lang w:val="zh-CN"/>
        </w:rPr>
      </w:pPr>
    </w:p>
    <w:p w14:paraId="56E3C972">
      <w:pPr>
        <w:pStyle w:val="5"/>
        <w:spacing w:before="93"/>
        <w:rPr>
          <w:rFonts w:ascii="Times New Roman" w:cs="宋体"/>
          <w:color w:val="FF0000"/>
          <w:sz w:val="32"/>
          <w:szCs w:val="32"/>
          <w:highlight w:val="yellow"/>
          <w:shd w:val="clear" w:color="auto" w:fill="FFFFFF"/>
          <w:lang w:val="zh-CN"/>
        </w:rPr>
      </w:pPr>
    </w:p>
    <w:p w14:paraId="7F599A7F">
      <w:pPr>
        <w:rPr>
          <w:rFonts w:eastAsia="仿宋_GB2312" w:cs="仿宋_GB2312"/>
          <w:kern w:val="0"/>
          <w:sz w:val="32"/>
          <w:szCs w:val="32"/>
        </w:rPr>
      </w:pPr>
      <w:r>
        <w:rPr>
          <w:rFonts w:hint="eastAsia" w:eastAsia="黑体" w:cs="黑体"/>
          <w:kern w:val="0"/>
          <w:sz w:val="32"/>
          <w:szCs w:val="32"/>
          <w:shd w:val="clear" w:color="auto" w:fill="FFFFFF"/>
          <w:lang w:val="zh-CN"/>
        </w:rPr>
        <w:br w:type="page"/>
      </w:r>
      <w:bookmarkStart w:id="49" w:name="_Toc15396618"/>
    </w:p>
    <w:p w14:paraId="53457BFA">
      <w:pPr>
        <w:widowControl/>
        <w:jc w:val="center"/>
        <w:rPr>
          <w:rFonts w:eastAsia="仿宋"/>
        </w:rPr>
      </w:pPr>
      <w:r>
        <w:rPr>
          <w:rFonts w:hint="eastAsia" w:eastAsia="黑体"/>
          <w:sz w:val="44"/>
          <w:szCs w:val="44"/>
        </w:rPr>
        <w:t>第</w:t>
      </w:r>
      <w:r>
        <w:rPr>
          <w:rStyle w:val="30"/>
          <w:rFonts w:hint="eastAsia" w:eastAsia="黑体"/>
          <w:b w:val="0"/>
        </w:rPr>
        <w:t>五部分 附表</w:t>
      </w:r>
      <w:bookmarkEnd w:id="46"/>
      <w:bookmarkEnd w:id="49"/>
      <w:bookmarkStart w:id="50" w:name="_Toc15396619"/>
    </w:p>
    <w:p w14:paraId="36761B01">
      <w:pPr>
        <w:pStyle w:val="15"/>
        <w:adjustRightInd w:val="0"/>
        <w:snapToGrid w:val="0"/>
        <w:spacing w:line="560" w:lineRule="exact"/>
        <w:jc w:val="left"/>
        <w:rPr>
          <w:rFonts w:eastAsia="仿宋_GB2312" w:cs="仿宋_GB2312"/>
          <w:sz w:val="32"/>
          <w:szCs w:val="32"/>
        </w:rPr>
      </w:pPr>
    </w:p>
    <w:p w14:paraId="5C1D1EE4">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0"/>
    </w:p>
    <w:p w14:paraId="47F8109A">
      <w:pPr>
        <w:pStyle w:val="15"/>
        <w:adjustRightInd w:val="0"/>
        <w:snapToGrid w:val="0"/>
        <w:spacing w:line="560" w:lineRule="exact"/>
        <w:jc w:val="left"/>
        <w:rPr>
          <w:rFonts w:eastAsia="仿宋_GB2312" w:cs="仿宋_GB2312"/>
          <w:sz w:val="32"/>
          <w:szCs w:val="32"/>
        </w:rPr>
      </w:pPr>
      <w:bookmarkStart w:id="51" w:name="_Toc15396620"/>
      <w:r>
        <w:rPr>
          <w:rFonts w:hint="eastAsia" w:eastAsia="仿宋_GB2312" w:cs="仿宋_GB2312"/>
          <w:sz w:val="32"/>
          <w:szCs w:val="32"/>
        </w:rPr>
        <w:t>二、收入决算表</w:t>
      </w:r>
      <w:bookmarkEnd w:id="51"/>
    </w:p>
    <w:p w14:paraId="4FBBC712">
      <w:pPr>
        <w:pStyle w:val="15"/>
        <w:adjustRightInd w:val="0"/>
        <w:snapToGrid w:val="0"/>
        <w:spacing w:line="560" w:lineRule="exact"/>
        <w:jc w:val="left"/>
        <w:rPr>
          <w:rFonts w:eastAsia="仿宋_GB2312" w:cs="仿宋_GB2312"/>
          <w:sz w:val="32"/>
          <w:szCs w:val="32"/>
        </w:rPr>
      </w:pPr>
      <w:bookmarkStart w:id="52" w:name="_Toc15396621"/>
      <w:r>
        <w:rPr>
          <w:rFonts w:hint="eastAsia" w:eastAsia="仿宋_GB2312" w:cs="仿宋_GB2312"/>
          <w:sz w:val="32"/>
          <w:szCs w:val="32"/>
        </w:rPr>
        <w:t>三、支出决算表</w:t>
      </w:r>
      <w:bookmarkEnd w:id="52"/>
    </w:p>
    <w:p w14:paraId="4CF41C0D">
      <w:pPr>
        <w:pStyle w:val="15"/>
        <w:adjustRightInd w:val="0"/>
        <w:snapToGrid w:val="0"/>
        <w:spacing w:line="560" w:lineRule="exact"/>
        <w:jc w:val="left"/>
        <w:rPr>
          <w:rFonts w:eastAsia="仿宋_GB2312" w:cs="仿宋_GB2312"/>
          <w:sz w:val="32"/>
          <w:szCs w:val="32"/>
        </w:rPr>
      </w:pPr>
      <w:bookmarkStart w:id="53" w:name="_Toc15396622"/>
      <w:r>
        <w:rPr>
          <w:rFonts w:hint="eastAsia" w:eastAsia="仿宋_GB2312" w:cs="仿宋_GB2312"/>
          <w:sz w:val="32"/>
          <w:szCs w:val="32"/>
        </w:rPr>
        <w:t>四、财政拨款收入支出决算总表</w:t>
      </w:r>
      <w:bookmarkEnd w:id="53"/>
    </w:p>
    <w:p w14:paraId="384DE9DA">
      <w:pPr>
        <w:pStyle w:val="15"/>
        <w:adjustRightInd w:val="0"/>
        <w:snapToGrid w:val="0"/>
        <w:spacing w:line="560" w:lineRule="exact"/>
        <w:jc w:val="left"/>
        <w:rPr>
          <w:rFonts w:eastAsia="仿宋_GB2312" w:cs="仿宋_GB2312"/>
          <w:sz w:val="32"/>
          <w:szCs w:val="32"/>
        </w:rPr>
      </w:pPr>
      <w:bookmarkStart w:id="54" w:name="_Toc15396623"/>
      <w:r>
        <w:rPr>
          <w:rFonts w:hint="eastAsia" w:eastAsia="仿宋_GB2312" w:cs="仿宋_GB2312"/>
          <w:sz w:val="32"/>
          <w:szCs w:val="32"/>
        </w:rPr>
        <w:t>五、财政拨款支出决算明细表</w:t>
      </w:r>
      <w:bookmarkEnd w:id="54"/>
      <w:bookmarkStart w:id="55" w:name="_Toc15396624"/>
    </w:p>
    <w:p w14:paraId="248064E5">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5"/>
    </w:p>
    <w:p w14:paraId="29CAC93C">
      <w:pPr>
        <w:pStyle w:val="15"/>
        <w:adjustRightInd w:val="0"/>
        <w:snapToGrid w:val="0"/>
        <w:spacing w:line="560" w:lineRule="exact"/>
        <w:jc w:val="left"/>
        <w:rPr>
          <w:rFonts w:eastAsia="仿宋_GB2312" w:cs="仿宋_GB2312"/>
          <w:sz w:val="32"/>
          <w:szCs w:val="32"/>
        </w:rPr>
      </w:pPr>
      <w:bookmarkStart w:id="56" w:name="_Toc15396625"/>
      <w:r>
        <w:rPr>
          <w:rFonts w:hint="eastAsia" w:eastAsia="仿宋_GB2312" w:cs="仿宋_GB2312"/>
          <w:sz w:val="32"/>
          <w:szCs w:val="32"/>
        </w:rPr>
        <w:t>七、一般公共预算财政拨款支出决算明细表</w:t>
      </w:r>
      <w:bookmarkEnd w:id="56"/>
    </w:p>
    <w:p w14:paraId="7E1386CE">
      <w:pPr>
        <w:pStyle w:val="15"/>
        <w:adjustRightInd w:val="0"/>
        <w:snapToGrid w:val="0"/>
        <w:spacing w:line="560" w:lineRule="exact"/>
        <w:jc w:val="left"/>
        <w:rPr>
          <w:rFonts w:eastAsia="仿宋_GB2312" w:cs="仿宋_GB2312"/>
          <w:sz w:val="32"/>
          <w:szCs w:val="32"/>
        </w:rPr>
      </w:pPr>
      <w:bookmarkStart w:id="57" w:name="_Toc15396626"/>
      <w:r>
        <w:rPr>
          <w:rFonts w:hint="eastAsia" w:eastAsia="仿宋_GB2312" w:cs="仿宋_GB2312"/>
          <w:sz w:val="32"/>
          <w:szCs w:val="32"/>
        </w:rPr>
        <w:t>八、一般公共预算财政拨款基本支出决算表</w:t>
      </w:r>
      <w:bookmarkEnd w:id="57"/>
    </w:p>
    <w:p w14:paraId="5FCDF39A">
      <w:pPr>
        <w:pStyle w:val="15"/>
        <w:adjustRightInd w:val="0"/>
        <w:snapToGrid w:val="0"/>
        <w:spacing w:line="560" w:lineRule="exact"/>
        <w:jc w:val="left"/>
        <w:rPr>
          <w:rFonts w:eastAsia="仿宋_GB2312" w:cs="仿宋_GB2312"/>
          <w:sz w:val="32"/>
          <w:szCs w:val="32"/>
        </w:rPr>
      </w:pPr>
      <w:bookmarkStart w:id="58" w:name="_Toc15396627"/>
      <w:r>
        <w:rPr>
          <w:rFonts w:hint="eastAsia" w:eastAsia="仿宋_GB2312" w:cs="仿宋_GB2312"/>
          <w:sz w:val="32"/>
          <w:szCs w:val="32"/>
        </w:rPr>
        <w:t>九、一般公共预算财政拨款项目支出决算表</w:t>
      </w:r>
      <w:bookmarkEnd w:id="58"/>
    </w:p>
    <w:p w14:paraId="084CE03B">
      <w:pPr>
        <w:pStyle w:val="15"/>
        <w:adjustRightInd w:val="0"/>
        <w:snapToGrid w:val="0"/>
        <w:spacing w:line="560" w:lineRule="exact"/>
        <w:jc w:val="left"/>
        <w:rPr>
          <w:rFonts w:eastAsia="仿宋_GB2312" w:cs="仿宋_GB2312"/>
          <w:sz w:val="32"/>
          <w:szCs w:val="32"/>
        </w:rPr>
      </w:pPr>
      <w:bookmarkStart w:id="59" w:name="_Toc15396628"/>
      <w:r>
        <w:rPr>
          <w:rFonts w:hint="eastAsia" w:eastAsia="仿宋_GB2312" w:cs="仿宋_GB2312"/>
          <w:sz w:val="32"/>
          <w:szCs w:val="32"/>
        </w:rPr>
        <w:t>十、</w:t>
      </w:r>
      <w:bookmarkEnd w:id="59"/>
      <w:r>
        <w:rPr>
          <w:rFonts w:hint="eastAsia" w:eastAsia="仿宋_GB2312" w:cs="仿宋_GB2312"/>
          <w:sz w:val="32"/>
          <w:szCs w:val="32"/>
        </w:rPr>
        <w:t>政府性基金预算财政拨款收入支出决算表</w:t>
      </w:r>
    </w:p>
    <w:p w14:paraId="7542B805">
      <w:pPr>
        <w:pStyle w:val="15"/>
        <w:adjustRightInd w:val="0"/>
        <w:snapToGrid w:val="0"/>
        <w:spacing w:line="560" w:lineRule="exact"/>
        <w:jc w:val="left"/>
        <w:rPr>
          <w:rFonts w:eastAsia="仿宋_GB2312" w:cs="仿宋_GB2312"/>
          <w:sz w:val="32"/>
          <w:szCs w:val="32"/>
        </w:rPr>
      </w:pPr>
      <w:bookmarkStart w:id="60" w:name="_Toc15396629"/>
      <w:r>
        <w:rPr>
          <w:rFonts w:hint="eastAsia" w:eastAsia="仿宋_GB2312" w:cs="仿宋_GB2312"/>
          <w:sz w:val="32"/>
          <w:szCs w:val="32"/>
        </w:rPr>
        <w:t>十一、</w:t>
      </w:r>
      <w:bookmarkEnd w:id="60"/>
      <w:r>
        <w:rPr>
          <w:rFonts w:hint="eastAsia" w:eastAsia="仿宋_GB2312" w:cs="仿宋_GB2312"/>
          <w:sz w:val="32"/>
          <w:szCs w:val="32"/>
        </w:rPr>
        <w:t>国有资本经营预算财政拨款收入支出决算表</w:t>
      </w:r>
    </w:p>
    <w:p w14:paraId="08108A6D">
      <w:pPr>
        <w:pStyle w:val="15"/>
        <w:adjustRightInd w:val="0"/>
        <w:snapToGrid w:val="0"/>
        <w:spacing w:line="560" w:lineRule="exact"/>
        <w:jc w:val="left"/>
        <w:rPr>
          <w:rFonts w:eastAsia="仿宋_GB2312" w:cs="仿宋_GB2312"/>
          <w:sz w:val="32"/>
          <w:szCs w:val="32"/>
        </w:rPr>
      </w:pPr>
      <w:bookmarkStart w:id="61" w:name="_Toc15396630"/>
      <w:r>
        <w:rPr>
          <w:rFonts w:hint="eastAsia" w:eastAsia="仿宋_GB2312" w:cs="仿宋_GB2312"/>
          <w:sz w:val="32"/>
          <w:szCs w:val="32"/>
        </w:rPr>
        <w:t>十二、</w:t>
      </w:r>
      <w:bookmarkEnd w:id="61"/>
      <w:r>
        <w:rPr>
          <w:rFonts w:hint="eastAsia" w:eastAsia="仿宋_GB2312" w:cs="仿宋_GB2312"/>
          <w:sz w:val="32"/>
          <w:szCs w:val="32"/>
        </w:rPr>
        <w:t>国有资本经营预算财政拨款支出决算表</w:t>
      </w:r>
    </w:p>
    <w:p w14:paraId="1819F810">
      <w:pPr>
        <w:pStyle w:val="15"/>
        <w:adjustRightInd w:val="0"/>
        <w:snapToGrid w:val="0"/>
        <w:spacing w:line="560" w:lineRule="exact"/>
        <w:jc w:val="left"/>
        <w:rPr>
          <w:rFonts w:eastAsia="仿宋_GB2312" w:cs="仿宋_GB2312"/>
          <w:sz w:val="32"/>
          <w:szCs w:val="32"/>
        </w:rPr>
      </w:pPr>
      <w:bookmarkStart w:id="62" w:name="_Toc15396631"/>
      <w:r>
        <w:rPr>
          <w:rFonts w:hint="eastAsia" w:eastAsia="仿宋_GB2312" w:cs="仿宋_GB2312"/>
          <w:sz w:val="32"/>
          <w:szCs w:val="32"/>
        </w:rPr>
        <w:t>十三、</w:t>
      </w:r>
      <w:bookmarkEnd w:id="62"/>
      <w:r>
        <w:rPr>
          <w:rFonts w:hint="eastAsia" w:eastAsia="仿宋_GB2312" w:cs="仿宋_GB2312"/>
          <w:sz w:val="32"/>
          <w:szCs w:val="32"/>
        </w:rPr>
        <w:t>财政拨款“三公”经费支出决算表</w:t>
      </w:r>
    </w:p>
    <w:p w14:paraId="466648C6"/>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107DF">
    <w:pPr>
      <w:pStyle w:val="11"/>
      <w:jc w:val="center"/>
    </w:pPr>
  </w:p>
  <w:p w14:paraId="518FAE1A">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8AD1C">
    <w:pPr>
      <w:pStyle w:val="11"/>
      <w:jc w:val="center"/>
    </w:pPr>
  </w:p>
  <w:p w14:paraId="72CDAB89">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5785A">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186B65">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70186B65">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77B9C">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B4078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1B40780">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4BE10C79">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BD610">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588795"/>
    <w:multiLevelType w:val="singleLevel"/>
    <w:tmpl w:val="8E588795"/>
    <w:lvl w:ilvl="0" w:tentative="0">
      <w:start w:val="2"/>
      <w:numFmt w:val="chineseCounting"/>
      <w:suff w:val="nothing"/>
      <w:lvlText w:val="（%1）"/>
      <w:lvlJc w:val="left"/>
      <w:rPr>
        <w:rFonts w:hint="eastAsia"/>
      </w:rPr>
    </w:lvl>
  </w:abstractNum>
  <w:abstractNum w:abstractNumId="1">
    <w:nsid w:val="2008D7D8"/>
    <w:multiLevelType w:val="singleLevel"/>
    <w:tmpl w:val="2008D7D8"/>
    <w:lvl w:ilvl="0" w:tentative="0">
      <w:start w:val="1"/>
      <w:numFmt w:val="chineseCounting"/>
      <w:suff w:val="nothing"/>
      <w:lvlText w:val="%1、"/>
      <w:lvlJc w:val="left"/>
      <w:rPr>
        <w:rFonts w:hint="eastAsia"/>
      </w:rPr>
    </w:lvl>
  </w:abstractNum>
  <w:abstractNum w:abstractNumId="2">
    <w:nsid w:val="55FB21B6"/>
    <w:multiLevelType w:val="singleLevel"/>
    <w:tmpl w:val="55FB21B6"/>
    <w:lvl w:ilvl="0" w:tentative="0">
      <w:start w:val="3"/>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5A028B1"/>
    <w:rsid w:val="061E35DE"/>
    <w:rsid w:val="066E0107"/>
    <w:rsid w:val="07996F6E"/>
    <w:rsid w:val="07DFD8BA"/>
    <w:rsid w:val="08DB07E4"/>
    <w:rsid w:val="09867E8F"/>
    <w:rsid w:val="0A2032A3"/>
    <w:rsid w:val="0C6C4794"/>
    <w:rsid w:val="0CA8290A"/>
    <w:rsid w:val="0D35B1ED"/>
    <w:rsid w:val="0DAE4A82"/>
    <w:rsid w:val="0DE07E2B"/>
    <w:rsid w:val="0F98263C"/>
    <w:rsid w:val="101860EC"/>
    <w:rsid w:val="10C055FF"/>
    <w:rsid w:val="11772AA4"/>
    <w:rsid w:val="118107EC"/>
    <w:rsid w:val="13D50BC4"/>
    <w:rsid w:val="14022904"/>
    <w:rsid w:val="152F2A07"/>
    <w:rsid w:val="165E0673"/>
    <w:rsid w:val="1696180A"/>
    <w:rsid w:val="16BB723D"/>
    <w:rsid w:val="186504BB"/>
    <w:rsid w:val="1938089F"/>
    <w:rsid w:val="19A445FC"/>
    <w:rsid w:val="1B7D550C"/>
    <w:rsid w:val="1BE8440E"/>
    <w:rsid w:val="1D155CEE"/>
    <w:rsid w:val="1E740ACF"/>
    <w:rsid w:val="1FF35744"/>
    <w:rsid w:val="1FF6BC77"/>
    <w:rsid w:val="21962A9E"/>
    <w:rsid w:val="21AE7C77"/>
    <w:rsid w:val="22BA5184"/>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21E5958"/>
    <w:rsid w:val="3304709D"/>
    <w:rsid w:val="34281836"/>
    <w:rsid w:val="349D6851"/>
    <w:rsid w:val="34AF2977"/>
    <w:rsid w:val="35BA6CAF"/>
    <w:rsid w:val="364D14C1"/>
    <w:rsid w:val="36AA5135"/>
    <w:rsid w:val="36B83D65"/>
    <w:rsid w:val="36BE0DA7"/>
    <w:rsid w:val="376B6AA6"/>
    <w:rsid w:val="376D39B2"/>
    <w:rsid w:val="37E16F03"/>
    <w:rsid w:val="37F53A3B"/>
    <w:rsid w:val="389B6C89"/>
    <w:rsid w:val="38D469F0"/>
    <w:rsid w:val="39627CCD"/>
    <w:rsid w:val="397BAF1F"/>
    <w:rsid w:val="3AB79AF3"/>
    <w:rsid w:val="3B7EF35A"/>
    <w:rsid w:val="3B7F30A4"/>
    <w:rsid w:val="3B9FDB6C"/>
    <w:rsid w:val="3BF5BC2F"/>
    <w:rsid w:val="3CEBA265"/>
    <w:rsid w:val="3D98207C"/>
    <w:rsid w:val="3D9B0D99"/>
    <w:rsid w:val="3DEE7CF3"/>
    <w:rsid w:val="3DF02244"/>
    <w:rsid w:val="3E78745D"/>
    <w:rsid w:val="3FF4CAE0"/>
    <w:rsid w:val="3FF7B227"/>
    <w:rsid w:val="400A6E98"/>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2A50F1"/>
    <w:rsid w:val="4EAB630A"/>
    <w:rsid w:val="4ECE2238"/>
    <w:rsid w:val="4F833267"/>
    <w:rsid w:val="4FE9BD67"/>
    <w:rsid w:val="4FFB052F"/>
    <w:rsid w:val="53083A92"/>
    <w:rsid w:val="530A02A5"/>
    <w:rsid w:val="537E6D0A"/>
    <w:rsid w:val="53AF27A2"/>
    <w:rsid w:val="53F74C96"/>
    <w:rsid w:val="56E47B74"/>
    <w:rsid w:val="57BD3DD4"/>
    <w:rsid w:val="5AF92295"/>
    <w:rsid w:val="5B576E93"/>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9BA0D3D"/>
    <w:rsid w:val="6A993CED"/>
    <w:rsid w:val="6B053271"/>
    <w:rsid w:val="6B43256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7"/>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link w:val="37"/>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Plain Text"/>
    <w:basedOn w:val="1"/>
    <w:qFormat/>
    <w:uiPriority w:val="0"/>
    <w:rPr>
      <w:rFonts w:ascii="宋体" w:hAnsi="Courier New"/>
    </w:r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7"/>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5"/>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2"/>
    <w:qFormat/>
    <w:uiPriority w:val="9"/>
    <w:rPr>
      <w:rFonts w:ascii="Times New Roman" w:hAnsi="Times New Roman"/>
      <w:b/>
      <w:bCs/>
      <w:kern w:val="44"/>
      <w:sz w:val="44"/>
      <w:szCs w:val="44"/>
    </w:rPr>
  </w:style>
  <w:style w:type="character" w:customStyle="1" w:styleId="31">
    <w:name w:val="标题 2 Char"/>
    <w:basedOn w:val="18"/>
    <w:link w:val="3"/>
    <w:qFormat/>
    <w:uiPriority w:val="9"/>
    <w:rPr>
      <w:rFonts w:asciiTheme="majorHAnsi" w:hAnsiTheme="majorHAnsi" w:eastAsiaTheme="majorEastAsia" w:cstheme="majorBidi"/>
      <w:b/>
      <w:bCs/>
      <w:kern w:val="2"/>
      <w:sz w:val="32"/>
      <w:szCs w:val="32"/>
    </w:rPr>
  </w:style>
  <w:style w:type="paragraph" w:customStyle="1" w:styleId="32">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4"/>
    <w:qFormat/>
    <w:uiPriority w:val="9"/>
    <w:rPr>
      <w:rFonts w:ascii="Times New Roman" w:hAnsi="Times New Roman"/>
      <w:b/>
      <w:bCs/>
      <w:kern w:val="2"/>
      <w:sz w:val="32"/>
      <w:szCs w:val="32"/>
    </w:rPr>
  </w:style>
  <w:style w:type="paragraph" w:customStyle="1" w:styleId="35">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 w:type="character" w:customStyle="1" w:styleId="37">
    <w:name w:val="正文首行缩进 2 Char"/>
    <w:basedOn w:val="18"/>
    <w:link w:val="7"/>
    <w:qFormat/>
    <w:uiPriority w:val="99"/>
    <w:rPr>
      <w:rFonts w:ascii="仿宋_GB2312"/>
      <w:kern w:val="2"/>
      <w:sz w:val="21"/>
      <w:szCs w:val="32"/>
    </w:rPr>
  </w:style>
  <w:style w:type="paragraph" w:customStyle="1" w:styleId="38">
    <w:name w:val="正文-公1"/>
    <w:basedOn w:val="39"/>
    <w:next w:val="1"/>
    <w:qFormat/>
    <w:uiPriority w:val="0"/>
    <w:pPr>
      <w:ind w:firstLine="200" w:firstLineChars="200"/>
    </w:pPr>
  </w:style>
  <w:style w:type="paragraph" w:customStyle="1" w:styleId="3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8"/>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38</Pages>
  <Words>9584</Words>
  <Characters>11431</Characters>
  <Lines>63</Lines>
  <Paragraphs>17</Paragraphs>
  <TotalTime>17</TotalTime>
  <ScaleCrop>false</ScaleCrop>
  <LinksUpToDate>false</LinksUpToDate>
  <CharactersWithSpaces>11452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Liu小鱼</cp:lastModifiedBy>
  <cp:lastPrinted>2026-08-27T00:27:00Z</cp:lastPrinted>
  <dcterms:modified xsi:type="dcterms:W3CDTF">2026-09-07T01:55:28Z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EA89723BD2B645FFA07E321CF9FFC29E_13</vt:lpwstr>
  </property>
  <property fmtid="{D5CDD505-2E9C-101B-9397-08002B2CF9AE}" pid="4" name="KSOTemplateDocerSaveRecord">
    <vt:lpwstr>eyJoZGlkIjoiNWI5NGZiN2M3NWUxYmVmZWM1ZjI3ZTYwODQ0MzVjMTciLCJ1c2VySWQiOiIzMTA4NzQ3NjcifQ==</vt:lpwstr>
  </property>
</Properties>
</file>