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6CE44">
      <w:bookmarkStart w:id="0" w:name="_Toc15396475"/>
      <w:bookmarkStart w:id="1" w:name="_Toc15377425"/>
      <w:bookmarkStart w:id="2" w:name="_Toc15396597"/>
      <w:bookmarkStart w:id="3" w:name="_Toc15378441"/>
      <w:bookmarkStart w:id="4" w:name="_Toc15377193"/>
      <w:bookmarkStart w:id="5" w:name="_Toc15306267"/>
      <w:bookmarkStart w:id="69" w:name="_GoBack"/>
      <w:bookmarkEnd w:id="69"/>
    </w:p>
    <w:p w14:paraId="3E72E322">
      <w:pPr>
        <w:pStyle w:val="8"/>
        <w:spacing w:before="93"/>
        <w:jc w:val="center"/>
        <w:rPr>
          <w:rFonts w:ascii="Times New Roman" w:eastAsia="方正小标宋简体"/>
          <w:kern w:val="2"/>
          <w:sz w:val="44"/>
          <w:szCs w:val="44"/>
        </w:rPr>
      </w:pPr>
    </w:p>
    <w:p w14:paraId="1A9D6E08">
      <w:pPr>
        <w:pStyle w:val="8"/>
        <w:spacing w:before="93"/>
        <w:jc w:val="center"/>
        <w:rPr>
          <w:rFonts w:ascii="Times New Roman" w:eastAsia="方正小标宋简体"/>
          <w:kern w:val="2"/>
          <w:sz w:val="44"/>
          <w:szCs w:val="44"/>
        </w:rPr>
      </w:pPr>
    </w:p>
    <w:p w14:paraId="382A7243">
      <w:pPr>
        <w:pStyle w:val="8"/>
        <w:spacing w:before="93"/>
        <w:jc w:val="center"/>
        <w:rPr>
          <w:rFonts w:ascii="Times New Roman" w:eastAsia="方正小标宋简体"/>
          <w:kern w:val="2"/>
          <w:sz w:val="44"/>
          <w:szCs w:val="44"/>
        </w:rPr>
      </w:pPr>
    </w:p>
    <w:p w14:paraId="2B54F9D9">
      <w:pPr>
        <w:pStyle w:val="8"/>
        <w:spacing w:before="93"/>
        <w:jc w:val="center"/>
        <w:rPr>
          <w:rFonts w:ascii="Times New Roman" w:eastAsia="方正小标宋简体"/>
          <w:kern w:val="2"/>
          <w:sz w:val="44"/>
          <w:szCs w:val="44"/>
        </w:rPr>
      </w:pPr>
    </w:p>
    <w:bookmarkEnd w:id="0"/>
    <w:bookmarkEnd w:id="1"/>
    <w:bookmarkEnd w:id="2"/>
    <w:bookmarkEnd w:id="3"/>
    <w:bookmarkEnd w:id="4"/>
    <w:p w14:paraId="667399D0">
      <w:pPr>
        <w:pStyle w:val="8"/>
        <w:spacing w:before="93"/>
        <w:jc w:val="center"/>
        <w:rPr>
          <w:rFonts w:hint="eastAsia" w:ascii="Times New Roman" w:eastAsia="方正小标宋简体"/>
          <w:kern w:val="2"/>
          <w:sz w:val="44"/>
          <w:szCs w:val="44"/>
        </w:rPr>
      </w:pPr>
      <w:bookmarkStart w:id="6" w:name="_Toc15377194"/>
      <w:bookmarkStart w:id="7" w:name="_Toc15396598"/>
      <w:bookmarkStart w:id="8" w:name="_Toc15396476"/>
      <w:bookmarkStart w:id="9" w:name="_Toc15378442"/>
      <w:bookmarkStart w:id="10" w:name="_Toc15377426"/>
      <w:r>
        <w:rPr>
          <w:rFonts w:hint="eastAsia" w:ascii="Times New Roman" w:eastAsia="方正小标宋简体"/>
          <w:kern w:val="2"/>
          <w:sz w:val="44"/>
          <w:szCs w:val="44"/>
        </w:rPr>
        <w:t>2025年度</w:t>
      </w:r>
    </w:p>
    <w:p w14:paraId="4CB850AF">
      <w:pPr>
        <w:pStyle w:val="8"/>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rPr>
        <w:t>攀枝花市</w:t>
      </w:r>
      <w:bookmarkEnd w:id="5"/>
      <w:bookmarkStart w:id="11" w:name="_Toc15306268"/>
      <w:r>
        <w:rPr>
          <w:rFonts w:hint="eastAsia" w:ascii="Times New Roman" w:eastAsia="方正小标宋简体"/>
          <w:kern w:val="2"/>
          <w:sz w:val="44"/>
          <w:szCs w:val="44"/>
          <w:lang w:eastAsia="zh-CN"/>
        </w:rPr>
        <w:t>成都干部休养所</w:t>
      </w:r>
    </w:p>
    <w:p w14:paraId="0F4E4750">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bookmarkEnd w:id="7"/>
      <w:bookmarkEnd w:id="8"/>
      <w:bookmarkEnd w:id="9"/>
      <w:bookmarkEnd w:id="10"/>
      <w:bookmarkEnd w:id="11"/>
    </w:p>
    <w:p w14:paraId="691D63B6">
      <w:pPr>
        <w:widowControl/>
        <w:jc w:val="center"/>
        <w:rPr>
          <w:rFonts w:eastAsia="黑体"/>
          <w:sz w:val="48"/>
          <w:szCs w:val="48"/>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4A5C607B">
      <w:pPr>
        <w:widowControl/>
        <w:jc w:val="center"/>
        <w:rPr>
          <w:rFonts w:eastAsia="黑体"/>
          <w:sz w:val="48"/>
          <w:szCs w:val="48"/>
        </w:rPr>
      </w:pPr>
      <w:r>
        <w:rPr>
          <w:rFonts w:hint="eastAsia" w:eastAsia="黑体"/>
          <w:sz w:val="48"/>
          <w:szCs w:val="48"/>
        </w:rPr>
        <w:t>目录</w:t>
      </w:r>
    </w:p>
    <w:p w14:paraId="339664FB">
      <w:pPr>
        <w:widowControl/>
        <w:jc w:val="center"/>
        <w:rPr>
          <w:rFonts w:eastAsia="黑体" w:cstheme="minorBidi"/>
          <w:sz w:val="28"/>
          <w:szCs w:val="28"/>
        </w:rPr>
      </w:pPr>
    </w:p>
    <w:p w14:paraId="2A058E13">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p w14:paraId="4DD49796"/>
    <w:p w14:paraId="5C01DA64">
      <w:pPr>
        <w:pStyle w:val="36"/>
        <w:tabs>
          <w:tab w:val="right" w:leader="middleDot" w:pos="8306"/>
        </w:tabs>
        <w:ind w:left="0" w:leftChars="0"/>
        <w:rPr>
          <w:rFonts w:hint="eastAsia" w:eastAsia="方正小标宋简体" w:cs="方正小标宋简体"/>
          <w:b w:val="0"/>
          <w:sz w:val="32"/>
          <w:szCs w:val="32"/>
        </w:rPr>
      </w:pPr>
      <w:r>
        <w:rPr>
          <w:rFonts w:hint="eastAsia" w:ascii="Times New Roman" w:hAnsi="Times New Roman" w:eastAsia="黑体" w:cs="Times New Roman"/>
          <w:color w:val="auto"/>
          <w:kern w:val="2"/>
          <w:sz w:val="32"/>
          <w:szCs w:val="32"/>
          <w:highlight w:val="none"/>
          <w:lang w:val="en-US" w:eastAsia="zh-CN" w:bidi="ar-SA"/>
        </w:rPr>
        <w:t>第一部分  单位概况</w:t>
      </w:r>
      <w:r>
        <w:rPr>
          <w:rFonts w:hint="eastAsia" w:eastAsia="方正小标宋简体" w:cs="方正小标宋简体"/>
          <w:b w:val="0"/>
          <w:sz w:val="32"/>
          <w:szCs w:val="32"/>
        </w:rPr>
        <w:tab/>
      </w:r>
      <w:r>
        <w:rPr>
          <w:rFonts w:hint="eastAsia" w:eastAsia="方正小标宋简体" w:cs="方正小标宋简体"/>
          <w:b w:val="0"/>
          <w:sz w:val="32"/>
          <w:szCs w:val="32"/>
        </w:rPr>
        <w:t>1</w:t>
      </w:r>
    </w:p>
    <w:p w14:paraId="06A21BF7">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rPr>
      </w:pPr>
      <w:r>
        <w:rPr>
          <w:rFonts w:hint="eastAsia" w:ascii="Times New Roman" w:hAnsi="Times New Roman" w:eastAsia="仿宋_GB2312" w:cs="Times New Roman"/>
          <w:color w:val="auto"/>
          <w:kern w:val="2"/>
          <w:sz w:val="32"/>
          <w:szCs w:val="32"/>
          <w:highlight w:val="none"/>
          <w:lang w:val="en-US" w:eastAsia="zh-CN" w:bidi="ar-SA"/>
        </w:rPr>
        <w:t>一、单位职责</w:t>
      </w:r>
      <w:r>
        <w:rPr>
          <w:rFonts w:hint="eastAsia" w:eastAsia="方正小标宋简体" w:cs="方正小标宋简体"/>
          <w:b w:val="0"/>
          <w:sz w:val="32"/>
          <w:szCs w:val="32"/>
        </w:rPr>
        <w:tab/>
      </w:r>
      <w:r>
        <w:rPr>
          <w:rFonts w:hint="eastAsia" w:eastAsia="方正小标宋简体" w:cs="方正小标宋简体"/>
          <w:b w:val="0"/>
          <w:sz w:val="32"/>
          <w:szCs w:val="32"/>
        </w:rPr>
        <w:t>1</w:t>
      </w:r>
    </w:p>
    <w:p w14:paraId="6FF998D7">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二、机构设置</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w:t>
      </w:r>
    </w:p>
    <w:p w14:paraId="052C5461">
      <w:pPr>
        <w:pStyle w:val="36"/>
        <w:tabs>
          <w:tab w:val="right" w:leader="middleDot" w:pos="8306"/>
        </w:tabs>
        <w:ind w:left="0" w:leftChars="0"/>
        <w:rPr>
          <w:rFonts w:hint="eastAsia" w:eastAsia="方正小标宋简体" w:cs="方正小标宋简体"/>
          <w:b w:val="0"/>
          <w:sz w:val="32"/>
          <w:szCs w:val="32"/>
          <w:lang w:eastAsia="zh-CN"/>
        </w:rPr>
      </w:pPr>
      <w:r>
        <w:rPr>
          <w:rFonts w:hint="eastAsia" w:ascii="Times New Roman" w:hAnsi="Times New Roman" w:eastAsia="黑体" w:cs="Times New Roman"/>
          <w:color w:val="auto"/>
          <w:kern w:val="2"/>
          <w:sz w:val="32"/>
          <w:szCs w:val="32"/>
          <w:highlight w:val="none"/>
          <w:lang w:val="en-US" w:eastAsia="zh-CN" w:bidi="ar-SA"/>
        </w:rPr>
        <w:t>第二部分  2025年度部门决算情况说明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2</w:t>
      </w:r>
    </w:p>
    <w:p w14:paraId="208EE07B">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一、收入支出决算总体情况说明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2</w:t>
      </w:r>
    </w:p>
    <w:p w14:paraId="7EE45DDD">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二、收入决算情况说明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2</w:t>
      </w:r>
    </w:p>
    <w:p w14:paraId="1A9D4D7F">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三、支出决算情况说明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3</w:t>
      </w:r>
    </w:p>
    <w:p w14:paraId="2633C14E">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四、财政拨款收入支出决算总体情况说明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3</w:t>
      </w:r>
    </w:p>
    <w:p w14:paraId="4F3ECE82">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五、一般公共预算财政拨款支出决算情况说明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7</w:t>
      </w:r>
    </w:p>
    <w:p w14:paraId="31B05A43">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六、一般公共预算财政拨款基本支出决算情况说明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7</w:t>
      </w:r>
    </w:p>
    <w:p w14:paraId="40E304BE">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七、财政拨款“三公”经费支出决算情况说明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8</w:t>
      </w:r>
    </w:p>
    <w:p w14:paraId="4AD60F8C">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八、政府性基金预算支出决算情况说明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9</w:t>
      </w:r>
    </w:p>
    <w:p w14:paraId="3F28D0C7">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九、国有资本经营预算支出决算情况说明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9</w:t>
      </w:r>
    </w:p>
    <w:p w14:paraId="01FB5836">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十、其他重要事项的情况说明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8</w:t>
      </w:r>
    </w:p>
    <w:p w14:paraId="5BD305D2">
      <w:pPr>
        <w:pStyle w:val="36"/>
        <w:tabs>
          <w:tab w:val="right" w:leader="middleDot" w:pos="8306"/>
        </w:tabs>
        <w:ind w:left="0" w:leftChars="0"/>
        <w:rPr>
          <w:rFonts w:hint="eastAsia" w:eastAsia="方正小标宋简体" w:cs="方正小标宋简体"/>
          <w:b w:val="0"/>
          <w:sz w:val="32"/>
          <w:szCs w:val="32"/>
          <w:lang w:eastAsia="zh-CN"/>
        </w:rPr>
      </w:pPr>
      <w:r>
        <w:rPr>
          <w:rFonts w:hint="eastAsia" w:ascii="Times New Roman" w:hAnsi="Times New Roman" w:eastAsia="黑体" w:cs="Times New Roman"/>
          <w:color w:val="auto"/>
          <w:kern w:val="2"/>
          <w:sz w:val="32"/>
          <w:szCs w:val="32"/>
          <w:highlight w:val="none"/>
          <w:lang w:val="en-US" w:eastAsia="zh-CN" w:bidi="ar-SA"/>
        </w:rPr>
        <w:t>第三部分 名词解释</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1</w:t>
      </w:r>
    </w:p>
    <w:p w14:paraId="2107318A">
      <w:pPr>
        <w:pStyle w:val="36"/>
        <w:tabs>
          <w:tab w:val="right" w:leader="middleDot" w:pos="8306"/>
        </w:tabs>
        <w:ind w:left="0" w:leftChars="0"/>
        <w:rPr>
          <w:rFonts w:hint="eastAsia" w:eastAsia="方正小标宋简体" w:cs="方正小标宋简体"/>
          <w:b w:val="0"/>
          <w:sz w:val="32"/>
          <w:szCs w:val="32"/>
          <w:lang w:eastAsia="zh-CN"/>
        </w:rPr>
      </w:pPr>
      <w:r>
        <w:rPr>
          <w:rFonts w:hint="eastAsia" w:ascii="Times New Roman" w:hAnsi="Times New Roman" w:eastAsia="黑体" w:cs="Times New Roman"/>
          <w:color w:val="auto"/>
          <w:kern w:val="2"/>
          <w:sz w:val="32"/>
          <w:szCs w:val="32"/>
          <w:highlight w:val="none"/>
          <w:lang w:val="en-US" w:eastAsia="zh-CN" w:bidi="ar-SA"/>
        </w:rPr>
        <w:t>第四部分 附件</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4</w:t>
      </w:r>
    </w:p>
    <w:p w14:paraId="71F04131">
      <w:pPr>
        <w:pStyle w:val="36"/>
        <w:tabs>
          <w:tab w:val="right" w:leader="middleDot" w:pos="8306"/>
        </w:tabs>
        <w:ind w:left="0" w:leftChars="0"/>
        <w:rPr>
          <w:rFonts w:hint="eastAsia" w:eastAsia="方正小标宋简体" w:cs="方正小标宋简体"/>
          <w:b w:val="0"/>
          <w:sz w:val="32"/>
          <w:szCs w:val="32"/>
          <w:lang w:eastAsia="zh-CN"/>
        </w:rPr>
      </w:pPr>
      <w:r>
        <w:rPr>
          <w:rFonts w:hint="eastAsia" w:ascii="Times New Roman" w:hAnsi="Times New Roman" w:eastAsia="黑体" w:cs="Times New Roman"/>
          <w:color w:val="auto"/>
          <w:kern w:val="2"/>
          <w:sz w:val="32"/>
          <w:szCs w:val="32"/>
          <w:highlight w:val="none"/>
          <w:lang w:val="en-US" w:eastAsia="zh-CN" w:bidi="ar-SA"/>
        </w:rPr>
        <w:t>第五部分 附表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5</w:t>
      </w:r>
    </w:p>
    <w:p w14:paraId="4B96EBD8">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一、收入支出决算总表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5</w:t>
      </w:r>
    </w:p>
    <w:p w14:paraId="5EA5D7A0">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二、收入决算表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5</w:t>
      </w:r>
    </w:p>
    <w:p w14:paraId="7F875A24">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三、支出决算表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5</w:t>
      </w:r>
    </w:p>
    <w:p w14:paraId="5D8AF746">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四、财政拨款收入支出决算总表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5</w:t>
      </w:r>
    </w:p>
    <w:p w14:paraId="142F1CF6">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五、财政拨款支出决算明细表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5</w:t>
      </w:r>
    </w:p>
    <w:p w14:paraId="4DC9B70D">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六、一般公共预算财政拨款支出决算表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5</w:t>
      </w:r>
    </w:p>
    <w:p w14:paraId="0FF14A02">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七、一般公共预算财政拨款支出决算明细表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5</w:t>
      </w:r>
    </w:p>
    <w:p w14:paraId="38150CE9">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八、一般公共预算财政拨款基本支出决算明细表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15</w:t>
      </w:r>
    </w:p>
    <w:p w14:paraId="6A5D9DBE">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九、一般公共预算财政拨款项目支出决算表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15</w:t>
      </w:r>
    </w:p>
    <w:p w14:paraId="6B289C7D">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十、政府性基金预算财政拨款收入支出决算表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15</w:t>
      </w:r>
    </w:p>
    <w:p w14:paraId="131AAFF2">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十一、国有资本经营预算财政拨款收入支出决算表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15</w:t>
      </w:r>
    </w:p>
    <w:p w14:paraId="2D8051F2">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十二、国有资本经营预算财政拨款支出决算表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15</w:t>
      </w:r>
    </w:p>
    <w:p w14:paraId="16A411D9">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十三、财政拨款“三公”经费支出决算表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15</w:t>
      </w:r>
    </w:p>
    <w:p w14:paraId="62C9CAFC">
      <w:pPr>
        <w:pStyle w:val="14"/>
        <w:adjustRightInd w:val="0"/>
        <w:snapToGrid w:val="0"/>
        <w:spacing w:line="560" w:lineRule="exact"/>
        <w:ind w:left="0" w:leftChars="0" w:firstLine="643" w:firstLineChars="200"/>
        <w:jc w:val="left"/>
        <w:rPr>
          <w:rFonts w:eastAsia="仿宋_GB2312" w:cs="仿宋_GB2312"/>
          <w:b/>
          <w:bCs/>
          <w:sz w:val="32"/>
          <w:szCs w:val="32"/>
        </w:rPr>
      </w:pPr>
    </w:p>
    <w:p w14:paraId="2A8721DC">
      <w:pPr>
        <w:pStyle w:val="5"/>
        <w:jc w:val="center"/>
        <w:rPr>
          <w:rFonts w:hint="eastAsia" w:eastAsia="方正小标宋简体" w:cs="方正小标宋简体"/>
          <w:b w:val="0"/>
        </w:rPr>
        <w:sectPr>
          <w:footerReference r:id="rId7" w:type="first"/>
          <w:footerReference r:id="rId6" w:type="default"/>
          <w:pgSz w:w="11906" w:h="16838"/>
          <w:pgMar w:top="1440" w:right="1800" w:bottom="1440" w:left="1800" w:header="851" w:footer="992" w:gutter="0"/>
          <w:pgNumType w:start="1"/>
          <w:cols w:space="425" w:num="1"/>
          <w:docGrid w:type="lines" w:linePitch="312" w:charSpace="0"/>
        </w:sectPr>
      </w:pPr>
      <w:bookmarkStart w:id="12" w:name="_Toc15396599"/>
      <w:bookmarkStart w:id="13" w:name="_Toc15377196"/>
    </w:p>
    <w:p w14:paraId="7B3325DB">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5AFBF5A3">
      <w:pPr>
        <w:widowControl/>
        <w:jc w:val="left"/>
        <w:rPr>
          <w:rFonts w:eastAsia="黑体"/>
          <w:sz w:val="32"/>
          <w:szCs w:val="32"/>
        </w:rPr>
      </w:pPr>
    </w:p>
    <w:p w14:paraId="441FB256">
      <w:pPr>
        <w:pStyle w:val="6"/>
        <w:rPr>
          <w:rFonts w:hint="eastAsia" w:ascii="Times New Roman" w:hAnsi="Times New Roman" w:eastAsia="黑体"/>
          <w:b w:val="0"/>
        </w:rPr>
      </w:pPr>
      <w:bookmarkStart w:id="14" w:name="_Toc15396600"/>
      <w:bookmarkStart w:id="15" w:name="_Toc15377197"/>
      <w:r>
        <w:rPr>
          <w:rFonts w:hint="eastAsia" w:ascii="Times New Roman" w:hAnsi="Times New Roman" w:eastAsia="黑体"/>
          <w:b w:val="0"/>
        </w:rPr>
        <w:t>一、</w:t>
      </w:r>
      <w:bookmarkEnd w:id="14"/>
      <w:bookmarkEnd w:id="15"/>
      <w:r>
        <w:rPr>
          <w:rFonts w:hint="eastAsia" w:ascii="Times New Roman" w:hAnsi="Times New Roman" w:eastAsia="黑体"/>
          <w:b w:val="0"/>
        </w:rPr>
        <w:t>部门职责</w:t>
      </w:r>
    </w:p>
    <w:p w14:paraId="7F74DC8B">
      <w:pPr>
        <w:ind w:firstLine="800" w:firstLineChars="25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加强离退休干部党支部建设，指导离退休干部党支部开展工作，做好老干部的思想政治工作。</w:t>
      </w:r>
    </w:p>
    <w:p w14:paraId="73AB736B">
      <w:pPr>
        <w:ind w:firstLine="800" w:firstLineChars="25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rPr>
        <w:t>组织学习走访慰问，落实好老干部们的政治待遇和生活待遇。</w:t>
      </w:r>
    </w:p>
    <w:p w14:paraId="1A0BECEC">
      <w:pPr>
        <w:ind w:firstLine="800" w:firstLineChars="25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做好老同志日常生活管理，保障用车，为老干部提供看病就医送药服务。</w:t>
      </w:r>
    </w:p>
    <w:p w14:paraId="79AC61AE">
      <w:pPr>
        <w:ind w:firstLine="800" w:firstLineChars="25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妥善办理离休干部逝世后的相关丧葬事宜，协助供养单位，照顾好离休干部的遗孀配偶。</w:t>
      </w:r>
    </w:p>
    <w:p w14:paraId="24EA41BA">
      <w:pPr>
        <w:ind w:firstLine="800" w:firstLineChars="25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各项保运转工作：车辆运维保养；旧房维护维修；水电气户表改造；两栋小院和办公场所内外的绿化、卫生、消防、安全等工作。</w:t>
      </w:r>
    </w:p>
    <w:p w14:paraId="28BB4EBB">
      <w:pPr>
        <w:ind w:firstLine="800" w:firstLineChars="250"/>
      </w:pP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积极协调配合当地政府做好相关工作。</w:t>
      </w:r>
    </w:p>
    <w:p w14:paraId="33343DE2">
      <w:pPr>
        <w:pStyle w:val="6"/>
        <w:rPr>
          <w:rStyle w:val="29"/>
          <w:rFonts w:ascii="Times New Roman" w:hAnsi="Times New Roman"/>
          <w:b w:val="0"/>
          <w:bCs w:val="0"/>
        </w:rPr>
      </w:pPr>
      <w:bookmarkStart w:id="16" w:name="_Toc15396601"/>
      <w:bookmarkStart w:id="17"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p>
    <w:p w14:paraId="7996B5B9">
      <w:pPr>
        <w:ind w:firstLine="800" w:firstLineChars="250"/>
        <w:rPr>
          <w:rFonts w:eastAsia="仿宋"/>
          <w:kern w:val="0"/>
          <w:sz w:val="32"/>
          <w:szCs w:val="32"/>
        </w:rPr>
      </w:pPr>
      <w:r>
        <w:rPr>
          <w:rFonts w:hint="eastAsia" w:eastAsia="仿宋_GB2312" w:cs="仿宋_GB2312"/>
          <w:sz w:val="32"/>
          <w:szCs w:val="32"/>
        </w:rPr>
        <w:t>攀枝花市成都干部休养所为攀枝花市人民政府驻成都办事处下属由财政全额拨款的</w:t>
      </w:r>
      <w:r>
        <w:rPr>
          <w:rFonts w:hint="eastAsia" w:eastAsia="仿宋_GB2312" w:cs="仿宋_GB2312"/>
          <w:sz w:val="32"/>
          <w:szCs w:val="32"/>
          <w:highlight w:val="none"/>
          <w:lang w:val="en-US" w:eastAsia="zh-CN"/>
        </w:rPr>
        <w:t>参照公务员法管理事业单位</w:t>
      </w:r>
      <w:r>
        <w:rPr>
          <w:rFonts w:hint="eastAsia" w:eastAsia="仿宋_GB2312" w:cs="仿宋_GB2312"/>
          <w:sz w:val="32"/>
          <w:szCs w:val="32"/>
          <w:lang w:val="en-US" w:eastAsia="zh-CN"/>
        </w:rPr>
        <w:t>，</w:t>
      </w:r>
      <w:r>
        <w:rPr>
          <w:rFonts w:hint="eastAsia" w:eastAsia="仿宋_GB2312" w:cs="仿宋_GB2312"/>
          <w:sz w:val="32"/>
          <w:szCs w:val="32"/>
        </w:rPr>
        <w:t>内设机构有办公室、财务室和医务室。无下属二级预算单位。</w:t>
      </w:r>
      <w:r>
        <w:rPr>
          <w:rFonts w:eastAsia="仿宋"/>
          <w:sz w:val="32"/>
          <w:szCs w:val="32"/>
        </w:rPr>
        <w:br w:type="page"/>
      </w:r>
    </w:p>
    <w:p w14:paraId="709606F1">
      <w:pPr>
        <w:pStyle w:val="5"/>
        <w:jc w:val="center"/>
        <w:rPr>
          <w:rFonts w:eastAsia="方正小标宋简体" w:cs="方正小标宋简体"/>
          <w:b w:val="0"/>
        </w:rPr>
      </w:pPr>
      <w:bookmarkStart w:id="18" w:name="_Toc15377204"/>
      <w:bookmarkStart w:id="19" w:name="_Toc15396602"/>
      <w:r>
        <w:rPr>
          <w:rFonts w:hint="eastAsia" w:eastAsia="方正小标宋简体" w:cs="方正小标宋简体"/>
          <w:b w:val="0"/>
        </w:rPr>
        <w:t>第二部分  2025年度部门决算情况说明</w:t>
      </w:r>
      <w:bookmarkEnd w:id="18"/>
      <w:bookmarkEnd w:id="19"/>
    </w:p>
    <w:p w14:paraId="169DBA49"/>
    <w:p w14:paraId="6B317B4B">
      <w:pPr>
        <w:pStyle w:val="27"/>
        <w:spacing w:line="600" w:lineRule="exact"/>
        <w:ind w:firstLine="640"/>
        <w:outlineLvl w:val="1"/>
        <w:rPr>
          <w:rStyle w:val="29"/>
          <w:rFonts w:ascii="Times New Roman" w:hAnsi="Times New Roman" w:eastAsia="黑体"/>
          <w:b w:val="0"/>
        </w:rPr>
      </w:pPr>
      <w:bookmarkStart w:id="20" w:name="_Toc15396603"/>
      <w:bookmarkStart w:id="21" w:name="_Toc15377205"/>
      <w:r>
        <w:rPr>
          <w:rFonts w:hint="eastAsia" w:eastAsia="黑体"/>
          <w:sz w:val="32"/>
          <w:szCs w:val="32"/>
        </w:rPr>
        <w:t>一、收</w:t>
      </w:r>
      <w:r>
        <w:rPr>
          <w:rStyle w:val="29"/>
          <w:rFonts w:hint="eastAsia" w:ascii="Times New Roman" w:hAnsi="Times New Roman" w:eastAsia="黑体"/>
          <w:b w:val="0"/>
        </w:rPr>
        <w:t>入支出决算总体情况说明</w:t>
      </w:r>
      <w:bookmarkEnd w:id="20"/>
      <w:bookmarkEnd w:id="21"/>
    </w:p>
    <w:p w14:paraId="76242DC6">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141.68</w:t>
      </w:r>
      <w:r>
        <w:rPr>
          <w:rFonts w:hint="eastAsia" w:eastAsia="仿宋_GB2312" w:cs="仿宋_GB2312"/>
          <w:sz w:val="32"/>
          <w:szCs w:val="32"/>
        </w:rPr>
        <w:t>万元。与上年度相比，收入、支出总计各减少</w:t>
      </w:r>
      <w:r>
        <w:rPr>
          <w:rFonts w:hint="eastAsia" w:eastAsia="仿宋_GB2312" w:cs="仿宋_GB2312"/>
          <w:sz w:val="32"/>
          <w:szCs w:val="32"/>
          <w:lang w:val="en-US" w:eastAsia="zh-CN"/>
        </w:rPr>
        <w:t>3.45</w:t>
      </w:r>
      <w:r>
        <w:rPr>
          <w:rFonts w:hint="eastAsia" w:eastAsia="仿宋_GB2312" w:cs="仿宋_GB2312"/>
          <w:sz w:val="32"/>
          <w:szCs w:val="32"/>
        </w:rPr>
        <w:t>万元，下降</w:t>
      </w:r>
      <w:r>
        <w:rPr>
          <w:rFonts w:hint="eastAsia" w:eastAsia="仿宋_GB2312" w:cs="仿宋_GB2312"/>
          <w:sz w:val="32"/>
          <w:szCs w:val="32"/>
          <w:lang w:val="en-US" w:eastAsia="zh-CN"/>
        </w:rPr>
        <w:t>2.4</w:t>
      </w:r>
      <w:r>
        <w:rPr>
          <w:rFonts w:hint="eastAsia" w:eastAsia="仿宋_GB2312" w:cs="仿宋_GB2312"/>
          <w:sz w:val="32"/>
          <w:szCs w:val="32"/>
        </w:rPr>
        <w:t>%。主要变动原因是财政紧张，经费减少。</w:t>
      </w:r>
    </w:p>
    <w:p w14:paraId="2969E867">
      <w:pPr>
        <w:pStyle w:val="27"/>
        <w:spacing w:line="600" w:lineRule="exact"/>
        <w:ind w:left="0" w:leftChars="0" w:firstLine="0" w:firstLineChars="0"/>
        <w:jc w:val="center"/>
        <w:outlineLvl w:val="1"/>
        <w:rPr>
          <w:rFonts w:eastAsia="仿宋_GB2312" w:cs="仿宋_GB2312"/>
          <w:sz w:val="32"/>
          <w:szCs w:val="32"/>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308610</wp:posOffset>
            </wp:positionH>
            <wp:positionV relativeFrom="paragraph">
              <wp:posOffset>13970</wp:posOffset>
            </wp:positionV>
            <wp:extent cx="4656455" cy="2807335"/>
            <wp:effectExtent l="4445" t="4445" r="6350" b="7620"/>
            <wp:wrapTopAndBottom/>
            <wp:docPr id="1" name="图表 1" title="收入、支出决算总计变动情况图"/>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sz w:val="32"/>
          <w:szCs w:val="32"/>
        </w:rPr>
        <w:t>（图1：收入、支出决算总计变动情况图）</w:t>
      </w:r>
    </w:p>
    <w:p w14:paraId="0DD4BEC1">
      <w:pPr>
        <w:ind w:firstLine="640" w:firstLineChars="200"/>
        <w:rPr>
          <w:rFonts w:eastAsia="仿宋_GB2312" w:cs="仿宋_GB2312"/>
          <w:sz w:val="32"/>
          <w:szCs w:val="32"/>
        </w:rPr>
      </w:pPr>
    </w:p>
    <w:p w14:paraId="5AA9323E">
      <w:pPr>
        <w:pStyle w:val="27"/>
        <w:spacing w:line="600" w:lineRule="exact"/>
        <w:ind w:firstLine="640"/>
        <w:outlineLvl w:val="1"/>
        <w:rPr>
          <w:rFonts w:eastAsia="黑体"/>
          <w:sz w:val="32"/>
          <w:szCs w:val="32"/>
        </w:rPr>
      </w:pPr>
      <w:bookmarkStart w:id="22" w:name="_Toc15377206"/>
      <w:bookmarkStart w:id="23" w:name="_Toc15396604"/>
      <w:r>
        <w:rPr>
          <w:rFonts w:hint="eastAsia" w:eastAsia="黑体"/>
          <w:sz w:val="32"/>
          <w:szCs w:val="32"/>
        </w:rPr>
        <w:t>二、收入决算情况说明</w:t>
      </w:r>
      <w:bookmarkEnd w:id="22"/>
      <w:bookmarkEnd w:id="23"/>
    </w:p>
    <w:p w14:paraId="1BF8EF53">
      <w:pPr>
        <w:pStyle w:val="27"/>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2025年度本年收入合计141.68万元，其中：一般公共预算财政拨款收入141.68万元，占</w:t>
      </w:r>
      <w:r>
        <w:rPr>
          <w:rFonts w:hint="eastAsia" w:eastAsia="仿宋_GB2312" w:cs="仿宋_GB2312"/>
          <w:sz w:val="32"/>
          <w:szCs w:val="32"/>
          <w:lang w:val="en-US" w:eastAsia="zh-CN"/>
        </w:rPr>
        <w:t>100</w:t>
      </w:r>
      <w:r>
        <w:rPr>
          <w:rFonts w:hint="eastAsia" w:eastAsia="仿宋_GB2312" w:cs="仿宋_GB2312"/>
          <w:sz w:val="32"/>
          <w:szCs w:val="32"/>
        </w:rPr>
        <w:t>%。</w:t>
      </w:r>
    </w:p>
    <w:p w14:paraId="5F857BCB">
      <w:pPr>
        <w:pStyle w:val="27"/>
        <w:spacing w:line="600" w:lineRule="exact"/>
        <w:jc w:val="center"/>
        <w:outlineLvl w:val="1"/>
        <w:rPr>
          <w:rFonts w:hint="eastAsia" w:eastAsia="仿宋_GB2312" w:cs="仿宋_GB2312"/>
          <w:sz w:val="32"/>
          <w:szCs w:val="32"/>
        </w:rPr>
      </w:pPr>
    </w:p>
    <w:p w14:paraId="3AEBEA1A">
      <w:pPr>
        <w:pStyle w:val="27"/>
        <w:spacing w:line="600" w:lineRule="exact"/>
        <w:jc w:val="center"/>
        <w:outlineLvl w:val="1"/>
        <w:rPr>
          <w:rFonts w:hint="eastAsia" w:eastAsia="仿宋_GB2312" w:cs="仿宋_GB2312"/>
          <w:sz w:val="32"/>
          <w:szCs w:val="32"/>
        </w:rPr>
      </w:pPr>
    </w:p>
    <w:p w14:paraId="7C93E96E">
      <w:pPr>
        <w:pStyle w:val="27"/>
        <w:spacing w:line="600" w:lineRule="exact"/>
        <w:jc w:val="center"/>
        <w:outlineLvl w:val="1"/>
        <w:rPr>
          <w:rFonts w:hint="eastAsia" w:eastAsia="仿宋_GB2312" w:cs="仿宋_GB2312"/>
          <w:sz w:val="32"/>
          <w:szCs w:val="32"/>
        </w:rPr>
      </w:pPr>
    </w:p>
    <w:p w14:paraId="756A494F">
      <w:pPr>
        <w:pStyle w:val="27"/>
        <w:spacing w:line="600" w:lineRule="exact"/>
        <w:jc w:val="center"/>
        <w:outlineLvl w:val="1"/>
        <w:rPr>
          <w:rFonts w:hint="eastAsia" w:eastAsia="仿宋_GB2312" w:cs="仿宋_GB2312"/>
          <w:sz w:val="32"/>
          <w:szCs w:val="32"/>
        </w:rPr>
      </w:pPr>
    </w:p>
    <w:p w14:paraId="682E2091">
      <w:pPr>
        <w:pStyle w:val="27"/>
        <w:spacing w:line="600" w:lineRule="exact"/>
        <w:jc w:val="center"/>
        <w:outlineLvl w:val="1"/>
        <w:rPr>
          <w:rFonts w:eastAsia="仿宋_GB2312" w:cs="仿宋_GB2312"/>
          <w:sz w:val="32"/>
          <w:szCs w:val="32"/>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388620</wp:posOffset>
            </wp:positionH>
            <wp:positionV relativeFrom="paragraph">
              <wp:posOffset>61595</wp:posOffset>
            </wp:positionV>
            <wp:extent cx="4497070" cy="2311400"/>
            <wp:effectExtent l="4445" t="4445" r="13335" b="8255"/>
            <wp:wrapTopAndBottom/>
            <wp:docPr id="3" name="图表 3" title="收入、支出决算总计变动情况图"/>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sz w:val="32"/>
          <w:szCs w:val="32"/>
        </w:rPr>
        <w:t>（图2：收入决算结构图）</w:t>
      </w:r>
    </w:p>
    <w:p w14:paraId="229208E9">
      <w:pPr>
        <w:ind w:firstLine="800" w:firstLineChars="250"/>
        <w:rPr>
          <w:rFonts w:eastAsia="仿宋_GB2312" w:cs="仿宋_GB2312"/>
          <w:sz w:val="32"/>
          <w:szCs w:val="32"/>
        </w:rPr>
      </w:pPr>
    </w:p>
    <w:p w14:paraId="5412DD3A">
      <w:pPr>
        <w:pStyle w:val="27"/>
        <w:spacing w:line="600" w:lineRule="exact"/>
        <w:ind w:firstLine="640"/>
        <w:outlineLvl w:val="1"/>
        <w:rPr>
          <w:rStyle w:val="29"/>
          <w:rFonts w:ascii="Times New Roman" w:hAnsi="Times New Roman" w:eastAsia="黑体"/>
          <w:b w:val="0"/>
        </w:rPr>
      </w:pPr>
      <w:bookmarkStart w:id="24" w:name="_Toc15377207"/>
      <w:bookmarkStart w:id="25" w:name="_Toc15396605"/>
      <w:r>
        <w:rPr>
          <w:rFonts w:hint="eastAsia" w:eastAsia="黑体"/>
          <w:sz w:val="32"/>
          <w:szCs w:val="32"/>
        </w:rPr>
        <w:t>三、支</w:t>
      </w:r>
      <w:r>
        <w:rPr>
          <w:rStyle w:val="29"/>
          <w:rFonts w:hint="eastAsia" w:ascii="Times New Roman" w:hAnsi="Times New Roman" w:eastAsia="黑体"/>
          <w:b w:val="0"/>
        </w:rPr>
        <w:t>出决算情况说明</w:t>
      </w:r>
      <w:bookmarkEnd w:id="24"/>
      <w:bookmarkEnd w:id="25"/>
    </w:p>
    <w:p w14:paraId="6DFA0207">
      <w:pPr>
        <w:pStyle w:val="27"/>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2025年度本年支出合计</w:t>
      </w:r>
      <w:r>
        <w:rPr>
          <w:rFonts w:hint="eastAsia" w:eastAsia="仿宋_GB2312" w:cs="仿宋_GB2312"/>
          <w:sz w:val="32"/>
          <w:szCs w:val="32"/>
          <w:lang w:val="en-US" w:eastAsia="zh-CN"/>
        </w:rPr>
        <w:t>141.68</w:t>
      </w:r>
      <w:r>
        <w:rPr>
          <w:rFonts w:hint="eastAsia" w:eastAsia="仿宋_GB2312" w:cs="仿宋_GB2312"/>
          <w:sz w:val="32"/>
          <w:szCs w:val="32"/>
        </w:rPr>
        <w:t>万元，其中：基本支出121.68万元，占</w:t>
      </w:r>
      <w:r>
        <w:rPr>
          <w:rFonts w:hint="eastAsia" w:eastAsia="仿宋_GB2312" w:cs="仿宋_GB2312"/>
          <w:sz w:val="32"/>
          <w:szCs w:val="32"/>
          <w:lang w:val="en-US" w:eastAsia="zh-CN"/>
        </w:rPr>
        <w:t>85.9</w:t>
      </w:r>
      <w:r>
        <w:rPr>
          <w:rFonts w:hint="eastAsia" w:eastAsia="仿宋_GB2312" w:cs="仿宋_GB2312"/>
          <w:sz w:val="32"/>
          <w:szCs w:val="32"/>
        </w:rPr>
        <w:t>%；项目支出</w:t>
      </w:r>
      <w:r>
        <w:rPr>
          <w:rFonts w:hint="eastAsia" w:eastAsia="仿宋_GB2312" w:cs="仿宋_GB2312"/>
          <w:sz w:val="32"/>
          <w:szCs w:val="32"/>
          <w:lang w:val="en-US" w:eastAsia="zh-CN"/>
        </w:rPr>
        <w:t>20</w:t>
      </w:r>
      <w:r>
        <w:rPr>
          <w:rFonts w:hint="eastAsia" w:eastAsia="仿宋_GB2312" w:cs="仿宋_GB2312"/>
          <w:sz w:val="32"/>
          <w:szCs w:val="32"/>
        </w:rPr>
        <w:t>万元，占</w:t>
      </w:r>
      <w:r>
        <w:rPr>
          <w:rFonts w:hint="eastAsia" w:eastAsia="仿宋_GB2312" w:cs="仿宋_GB2312"/>
          <w:sz w:val="32"/>
          <w:szCs w:val="32"/>
          <w:lang w:val="en-US" w:eastAsia="zh-CN"/>
        </w:rPr>
        <w:t>14.1</w:t>
      </w:r>
      <w:r>
        <w:rPr>
          <w:rFonts w:hint="eastAsia" w:eastAsia="仿宋_GB2312" w:cs="仿宋_GB2312"/>
          <w:sz w:val="32"/>
          <w:szCs w:val="32"/>
        </w:rPr>
        <w:t>%。</w:t>
      </w:r>
    </w:p>
    <w:p w14:paraId="28BC44E5">
      <w:pPr>
        <w:pStyle w:val="27"/>
        <w:spacing w:line="600" w:lineRule="exact"/>
        <w:ind w:left="0" w:leftChars="0" w:firstLine="0" w:firstLineChars="0"/>
        <w:jc w:val="center"/>
        <w:outlineLvl w:val="1"/>
        <w:rPr>
          <w:rFonts w:eastAsia="仿宋_GB2312" w:cs="仿宋_GB2312"/>
          <w:sz w:val="32"/>
          <w:szCs w:val="32"/>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361315</wp:posOffset>
            </wp:positionH>
            <wp:positionV relativeFrom="paragraph">
              <wp:posOffset>4445</wp:posOffset>
            </wp:positionV>
            <wp:extent cx="4551680" cy="2370455"/>
            <wp:effectExtent l="4445" t="4445" r="15875" b="6350"/>
            <wp:wrapTopAndBottom/>
            <wp:docPr id="4" name="图表 4" title="收入、支出决算总计变动情况图"/>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sz w:val="32"/>
          <w:szCs w:val="32"/>
        </w:rPr>
        <w:t>（图3：支出决算结构图）</w:t>
      </w:r>
    </w:p>
    <w:p w14:paraId="70AC0F2E">
      <w:pPr>
        <w:ind w:firstLine="800" w:firstLineChars="250"/>
        <w:rPr>
          <w:rFonts w:eastAsia="仿宋_GB2312" w:cs="仿宋_GB2312"/>
          <w:sz w:val="32"/>
          <w:szCs w:val="32"/>
        </w:rPr>
      </w:pPr>
    </w:p>
    <w:p w14:paraId="5A6940E2">
      <w:pPr>
        <w:spacing w:line="600" w:lineRule="exact"/>
        <w:ind w:firstLine="640" w:firstLineChars="200"/>
        <w:outlineLvl w:val="1"/>
        <w:rPr>
          <w:rStyle w:val="29"/>
          <w:rFonts w:ascii="Times New Roman" w:hAnsi="Times New Roman" w:eastAsia="黑体"/>
          <w:b w:val="0"/>
        </w:rPr>
      </w:pPr>
      <w:bookmarkStart w:id="26" w:name="_Toc15396606"/>
      <w:bookmarkStart w:id="27"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6"/>
      <w:bookmarkEnd w:id="27"/>
    </w:p>
    <w:p w14:paraId="4AB89944">
      <w:pPr>
        <w:spacing w:line="600" w:lineRule="exact"/>
        <w:ind w:firstLine="640"/>
        <w:rPr>
          <w:rFonts w:eastAsia="仿宋_GB2312" w:cs="仿宋_GB2312"/>
          <w:sz w:val="32"/>
          <w:szCs w:val="32"/>
        </w:rPr>
      </w:pPr>
      <w:r>
        <w:rPr>
          <w:rFonts w:hint="eastAsia" w:eastAsia="仿宋_GB2312" w:cs="仿宋_GB2312"/>
          <w:sz w:val="32"/>
          <w:szCs w:val="32"/>
        </w:rPr>
        <w:t>2025年度财政拨款收入、支出总计均为141.6</w:t>
      </w:r>
      <w:r>
        <w:rPr>
          <w:rFonts w:hint="eastAsia" w:eastAsia="仿宋_GB2312" w:cs="仿宋_GB2312"/>
          <w:sz w:val="32"/>
          <w:szCs w:val="32"/>
          <w:lang w:val="en-US" w:eastAsia="zh-CN"/>
        </w:rPr>
        <w:t>8</w:t>
      </w:r>
      <w:r>
        <w:rPr>
          <w:rFonts w:hint="eastAsia" w:eastAsia="仿宋_GB2312" w:cs="仿宋_GB2312"/>
          <w:sz w:val="32"/>
          <w:szCs w:val="32"/>
        </w:rPr>
        <w:t>万元。与上年度相比，财政拨款收入、支出总计各减少</w:t>
      </w:r>
      <w:r>
        <w:rPr>
          <w:rFonts w:hint="eastAsia" w:eastAsia="仿宋_GB2312" w:cs="仿宋_GB2312"/>
          <w:sz w:val="32"/>
          <w:szCs w:val="32"/>
          <w:lang w:val="en-US" w:eastAsia="zh-CN"/>
        </w:rPr>
        <w:t>3.45</w:t>
      </w:r>
      <w:r>
        <w:rPr>
          <w:rFonts w:hint="eastAsia" w:eastAsia="仿宋_GB2312" w:cs="仿宋_GB2312"/>
          <w:sz w:val="32"/>
          <w:szCs w:val="32"/>
        </w:rPr>
        <w:t>万元，</w:t>
      </w: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309245</wp:posOffset>
            </wp:positionH>
            <wp:positionV relativeFrom="paragraph">
              <wp:posOffset>385445</wp:posOffset>
            </wp:positionV>
            <wp:extent cx="4656455" cy="2582545"/>
            <wp:effectExtent l="4445" t="4445" r="6350" b="22860"/>
            <wp:wrapTopAndBottom/>
            <wp:docPr id="5" name="图表 5" title="收入、支出决算总计变动情况图"/>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sz w:val="32"/>
          <w:szCs w:val="32"/>
        </w:rPr>
        <w:t>下降</w:t>
      </w:r>
      <w:r>
        <w:rPr>
          <w:rFonts w:hint="eastAsia" w:eastAsia="仿宋_GB2312" w:cs="仿宋_GB2312"/>
          <w:sz w:val="32"/>
          <w:szCs w:val="32"/>
          <w:lang w:val="en-US" w:eastAsia="zh-CN"/>
        </w:rPr>
        <w:t>2.4</w:t>
      </w:r>
      <w:r>
        <w:rPr>
          <w:rFonts w:hint="eastAsia" w:eastAsia="仿宋_GB2312" w:cs="仿宋_GB2312"/>
          <w:sz w:val="32"/>
          <w:szCs w:val="32"/>
        </w:rPr>
        <w:t>%。主要变动原因是财政紧张，经费减少。</w:t>
      </w:r>
    </w:p>
    <w:p w14:paraId="1EB077AE">
      <w:pPr>
        <w:spacing w:line="600" w:lineRule="exact"/>
        <w:jc w:val="center"/>
        <w:rPr>
          <w:rFonts w:eastAsia="仿宋_GB2312" w:cs="仿宋_GB2312"/>
          <w:sz w:val="32"/>
          <w:szCs w:val="32"/>
        </w:rPr>
      </w:pPr>
      <w:r>
        <w:rPr>
          <w:rFonts w:hint="eastAsia" w:eastAsia="仿宋_GB2312" w:cs="仿宋_GB2312"/>
          <w:sz w:val="32"/>
          <w:szCs w:val="32"/>
        </w:rPr>
        <w:t>（图4：财政拨款收、支决算总计变动情况）</w:t>
      </w:r>
    </w:p>
    <w:p w14:paraId="0FA42E1B">
      <w:pPr>
        <w:spacing w:line="600" w:lineRule="exact"/>
        <w:ind w:firstLine="640"/>
        <w:rPr>
          <w:rFonts w:eastAsia="仿宋_GB2312" w:cs="仿宋_GB2312"/>
          <w:sz w:val="32"/>
          <w:szCs w:val="32"/>
        </w:rPr>
      </w:pPr>
    </w:p>
    <w:p w14:paraId="0EF209E3">
      <w:pPr>
        <w:spacing w:line="600" w:lineRule="exact"/>
        <w:ind w:firstLine="640" w:firstLineChars="200"/>
        <w:outlineLvl w:val="1"/>
        <w:rPr>
          <w:rStyle w:val="29"/>
          <w:rFonts w:ascii="Times New Roman" w:hAnsi="Times New Roman" w:eastAsia="黑体"/>
          <w:b w:val="0"/>
        </w:rPr>
      </w:pPr>
      <w:bookmarkStart w:id="28" w:name="_Toc15396607"/>
      <w:bookmarkStart w:id="29"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8"/>
      <w:bookmarkEnd w:id="29"/>
    </w:p>
    <w:p w14:paraId="4D563FB2">
      <w:pPr>
        <w:spacing w:line="600" w:lineRule="exact"/>
        <w:ind w:firstLine="643" w:firstLineChars="200"/>
        <w:outlineLvl w:val="2"/>
        <w:rPr>
          <w:rFonts w:eastAsia="楷体_GB2312" w:cs="楷体_GB2312"/>
          <w:b/>
          <w:sz w:val="32"/>
          <w:szCs w:val="32"/>
        </w:rPr>
      </w:pPr>
      <w:bookmarkStart w:id="30" w:name="_Toc15377210"/>
      <w:r>
        <w:rPr>
          <w:rFonts w:hint="eastAsia" w:eastAsia="楷体_GB2312" w:cs="楷体_GB2312"/>
          <w:b/>
          <w:sz w:val="32"/>
          <w:szCs w:val="32"/>
        </w:rPr>
        <w:t>（一）一般公共预算财政拨款支出决算总体情况</w:t>
      </w:r>
      <w:bookmarkEnd w:id="30"/>
    </w:p>
    <w:p w14:paraId="7E93EB32">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2025年度一般公共预算财政拨款支出141.68万元，占本年支出合计的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3.45</w:t>
      </w:r>
      <w:r>
        <w:rPr>
          <w:rFonts w:hint="eastAsia" w:eastAsia="仿宋_GB2312" w:cs="仿宋_GB2312"/>
          <w:sz w:val="32"/>
          <w:szCs w:val="32"/>
        </w:rPr>
        <w:t>万元，下降</w:t>
      </w:r>
      <w:r>
        <w:rPr>
          <w:rFonts w:hint="eastAsia" w:eastAsia="仿宋_GB2312" w:cs="仿宋_GB2312"/>
          <w:sz w:val="32"/>
          <w:szCs w:val="32"/>
          <w:lang w:val="en-US" w:eastAsia="zh-CN"/>
        </w:rPr>
        <w:t>2.4</w:t>
      </w:r>
      <w:r>
        <w:rPr>
          <w:rFonts w:hint="eastAsia" w:eastAsia="仿宋_GB2312" w:cs="仿宋_GB2312"/>
          <w:sz w:val="32"/>
          <w:szCs w:val="32"/>
        </w:rPr>
        <w:t>%。主要变动原因是财政紧张，经费减少。</w:t>
      </w:r>
    </w:p>
    <w:p w14:paraId="4946AA69">
      <w:pPr>
        <w:spacing w:line="600" w:lineRule="exact"/>
        <w:jc w:val="center"/>
        <w:rPr>
          <w:rFonts w:eastAsia="仿宋_GB2312" w:cs="仿宋_GB2312"/>
          <w:sz w:val="32"/>
          <w:szCs w:val="32"/>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314325</wp:posOffset>
            </wp:positionH>
            <wp:positionV relativeFrom="paragraph">
              <wp:posOffset>29210</wp:posOffset>
            </wp:positionV>
            <wp:extent cx="4645025" cy="2340610"/>
            <wp:effectExtent l="4445" t="4445" r="17780" b="17145"/>
            <wp:wrapTopAndBottom/>
            <wp:docPr id="2" name="图表 2" title="收入、支出决算总计变动情况图"/>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sz w:val="32"/>
          <w:szCs w:val="32"/>
        </w:rPr>
        <w:t>（图5：一般公共预算财政拨款支出决算变动情况）</w:t>
      </w:r>
    </w:p>
    <w:p w14:paraId="08B1641F">
      <w:pPr>
        <w:spacing w:line="600" w:lineRule="exact"/>
        <w:ind w:firstLine="640"/>
        <w:rPr>
          <w:rFonts w:eastAsia="仿宋_GB2312" w:cs="仿宋_GB2312"/>
          <w:sz w:val="32"/>
          <w:szCs w:val="32"/>
        </w:rPr>
      </w:pPr>
    </w:p>
    <w:p w14:paraId="45225DAB">
      <w:pPr>
        <w:spacing w:line="600" w:lineRule="exact"/>
        <w:ind w:firstLine="643" w:firstLineChars="200"/>
        <w:outlineLvl w:val="2"/>
        <w:rPr>
          <w:rFonts w:eastAsia="楷体_GB2312" w:cs="楷体_GB2312"/>
          <w:b/>
          <w:sz w:val="32"/>
          <w:szCs w:val="32"/>
        </w:rPr>
      </w:pPr>
      <w:bookmarkStart w:id="31" w:name="_Toc15377211"/>
      <w:r>
        <w:rPr>
          <w:rFonts w:hint="eastAsia" w:eastAsia="楷体_GB2312" w:cs="楷体_GB2312"/>
          <w:b/>
          <w:sz w:val="32"/>
          <w:szCs w:val="32"/>
        </w:rPr>
        <w:t>（二）一般公共预算财政拨款支出决算结构情况</w:t>
      </w:r>
      <w:bookmarkEnd w:id="31"/>
    </w:p>
    <w:p w14:paraId="5C211C84">
      <w:pPr>
        <w:spacing w:line="600" w:lineRule="exact"/>
        <w:ind w:firstLine="640"/>
        <w:rPr>
          <w:rFonts w:hint="eastAsia" w:eastAsia="仿宋_GB2312" w:cs="仿宋_GB2312"/>
          <w:b/>
          <w:bCs/>
          <w:sz w:val="32"/>
          <w:szCs w:val="32"/>
          <w:lang w:val="en-US"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332105</wp:posOffset>
            </wp:positionH>
            <wp:positionV relativeFrom="paragraph">
              <wp:posOffset>1528445</wp:posOffset>
            </wp:positionV>
            <wp:extent cx="4610735" cy="2418715"/>
            <wp:effectExtent l="4445" t="4445" r="13970" b="15240"/>
            <wp:wrapTopAndBottom/>
            <wp:docPr id="7" name="图表 7" title="收入、支出决算总计变动情况图"/>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eastAsia="仿宋_GB2312" w:cs="仿宋_GB2312"/>
          <w:sz w:val="32"/>
          <w:szCs w:val="32"/>
        </w:rPr>
        <w:t>2025年度一般公共预算财政拨款支出141.68万元，主要用于以下方面：一般公共服务支出</w:t>
      </w:r>
      <w:r>
        <w:rPr>
          <w:rFonts w:hint="eastAsia" w:eastAsia="仿宋_GB2312" w:cs="仿宋_GB2312"/>
          <w:sz w:val="32"/>
          <w:szCs w:val="32"/>
          <w:lang w:val="en-US" w:eastAsia="zh-CN"/>
        </w:rPr>
        <w:t>94.64</w:t>
      </w:r>
      <w:r>
        <w:rPr>
          <w:rFonts w:hint="eastAsia" w:eastAsia="仿宋_GB2312" w:cs="仿宋_GB2312"/>
          <w:sz w:val="32"/>
          <w:szCs w:val="32"/>
        </w:rPr>
        <w:t>万元，占</w:t>
      </w:r>
      <w:r>
        <w:rPr>
          <w:rFonts w:hint="eastAsia" w:eastAsia="仿宋_GB2312" w:cs="仿宋_GB2312"/>
          <w:sz w:val="32"/>
          <w:szCs w:val="32"/>
          <w:lang w:val="en-US" w:eastAsia="zh-CN"/>
        </w:rPr>
        <w:t>66.8</w:t>
      </w:r>
      <w:r>
        <w:rPr>
          <w:rFonts w:hint="eastAsia" w:eastAsia="仿宋_GB2312" w:cs="仿宋_GB2312"/>
          <w:sz w:val="32"/>
          <w:szCs w:val="32"/>
        </w:rPr>
        <w:t>%；社会保障和就业支出</w:t>
      </w:r>
      <w:r>
        <w:rPr>
          <w:rFonts w:hint="eastAsia" w:eastAsia="仿宋_GB2312" w:cs="仿宋_GB2312"/>
          <w:sz w:val="32"/>
          <w:szCs w:val="32"/>
          <w:lang w:val="en-US" w:eastAsia="zh-CN"/>
        </w:rPr>
        <w:t>32.84</w:t>
      </w:r>
      <w:r>
        <w:rPr>
          <w:rFonts w:hint="eastAsia" w:eastAsia="仿宋_GB2312" w:cs="仿宋_GB2312"/>
          <w:sz w:val="32"/>
          <w:szCs w:val="32"/>
        </w:rPr>
        <w:t>万元，占</w:t>
      </w:r>
      <w:r>
        <w:rPr>
          <w:rFonts w:hint="eastAsia" w:eastAsia="仿宋_GB2312" w:cs="仿宋_GB2312"/>
          <w:sz w:val="32"/>
          <w:szCs w:val="32"/>
          <w:lang w:val="en-US" w:eastAsia="zh-CN"/>
        </w:rPr>
        <w:t>23.2</w:t>
      </w:r>
      <w:r>
        <w:rPr>
          <w:rFonts w:hint="eastAsia" w:eastAsia="仿宋_GB2312" w:cs="仿宋_GB2312"/>
          <w:sz w:val="32"/>
          <w:szCs w:val="32"/>
        </w:rPr>
        <w:t>%；卫生健康支出</w:t>
      </w:r>
      <w:r>
        <w:rPr>
          <w:rFonts w:hint="eastAsia" w:eastAsia="仿宋_GB2312" w:cs="仿宋_GB2312"/>
          <w:sz w:val="32"/>
          <w:szCs w:val="32"/>
          <w:lang w:val="en-US" w:eastAsia="zh-CN"/>
        </w:rPr>
        <w:t>7.37</w:t>
      </w:r>
      <w:r>
        <w:rPr>
          <w:rFonts w:hint="eastAsia" w:eastAsia="仿宋_GB2312" w:cs="仿宋_GB2312"/>
          <w:sz w:val="32"/>
          <w:szCs w:val="32"/>
        </w:rPr>
        <w:t>万元，占</w:t>
      </w:r>
      <w:r>
        <w:rPr>
          <w:rFonts w:hint="eastAsia" w:eastAsia="仿宋_GB2312" w:cs="仿宋_GB2312"/>
          <w:sz w:val="32"/>
          <w:szCs w:val="32"/>
          <w:lang w:val="en-US" w:eastAsia="zh-CN"/>
        </w:rPr>
        <w:t>5.2</w:t>
      </w:r>
      <w:r>
        <w:rPr>
          <w:rFonts w:hint="eastAsia" w:eastAsia="仿宋_GB2312" w:cs="仿宋_GB2312"/>
          <w:sz w:val="32"/>
          <w:szCs w:val="32"/>
        </w:rPr>
        <w:t>%；住房保障支出</w:t>
      </w:r>
      <w:r>
        <w:rPr>
          <w:rFonts w:hint="eastAsia" w:eastAsia="仿宋_GB2312" w:cs="仿宋_GB2312"/>
          <w:sz w:val="32"/>
          <w:szCs w:val="32"/>
          <w:lang w:val="en-US" w:eastAsia="zh-CN"/>
        </w:rPr>
        <w:t>6.83</w:t>
      </w:r>
      <w:r>
        <w:rPr>
          <w:rFonts w:hint="eastAsia" w:eastAsia="仿宋_GB2312" w:cs="仿宋_GB2312"/>
          <w:sz w:val="32"/>
          <w:szCs w:val="32"/>
        </w:rPr>
        <w:t>万元，占</w:t>
      </w:r>
      <w:r>
        <w:rPr>
          <w:rFonts w:hint="eastAsia" w:eastAsia="仿宋_GB2312" w:cs="仿宋_GB2312"/>
          <w:sz w:val="32"/>
          <w:szCs w:val="32"/>
          <w:lang w:val="en-US" w:eastAsia="zh-CN"/>
        </w:rPr>
        <w:t>4.8</w:t>
      </w:r>
      <w:r>
        <w:rPr>
          <w:rFonts w:hint="eastAsia" w:eastAsia="仿宋_GB2312" w:cs="仿宋_GB2312"/>
          <w:sz w:val="32"/>
          <w:szCs w:val="32"/>
        </w:rPr>
        <w:t>%</w:t>
      </w:r>
      <w:r>
        <w:rPr>
          <w:rFonts w:hint="eastAsia" w:eastAsia="仿宋_GB2312" w:cs="仿宋_GB2312"/>
          <w:sz w:val="32"/>
          <w:szCs w:val="32"/>
          <w:lang w:eastAsia="zh-CN"/>
        </w:rPr>
        <w:t>。</w:t>
      </w:r>
    </w:p>
    <w:p w14:paraId="04B0A312">
      <w:pPr>
        <w:spacing w:line="600" w:lineRule="exact"/>
        <w:jc w:val="center"/>
        <w:rPr>
          <w:rFonts w:eastAsia="仿宋_GB2312" w:cs="仿宋_GB2312"/>
          <w:sz w:val="32"/>
          <w:szCs w:val="32"/>
        </w:rPr>
      </w:pPr>
      <w:r>
        <w:rPr>
          <w:rFonts w:hint="eastAsia" w:eastAsia="仿宋_GB2312" w:cs="仿宋_GB2312"/>
          <w:sz w:val="32"/>
          <w:szCs w:val="32"/>
        </w:rPr>
        <w:t>（图6：一般公共预算财政拨款支出决算结构）</w:t>
      </w:r>
    </w:p>
    <w:p w14:paraId="73523EEE">
      <w:pPr>
        <w:spacing w:line="600" w:lineRule="exact"/>
        <w:ind w:firstLine="640"/>
        <w:rPr>
          <w:rFonts w:eastAsia="仿宋_GB2312" w:cs="仿宋_GB2312"/>
          <w:sz w:val="32"/>
          <w:szCs w:val="32"/>
        </w:rPr>
      </w:pPr>
    </w:p>
    <w:p w14:paraId="2A73EC01">
      <w:pPr>
        <w:spacing w:line="600" w:lineRule="exact"/>
        <w:ind w:firstLine="643" w:firstLineChars="200"/>
        <w:outlineLvl w:val="2"/>
        <w:rPr>
          <w:rFonts w:eastAsia="楷体_GB2312" w:cs="楷体_GB2312"/>
          <w:b/>
          <w:sz w:val="32"/>
          <w:szCs w:val="32"/>
        </w:rPr>
      </w:pPr>
      <w:bookmarkStart w:id="32" w:name="_Toc15377212"/>
      <w:r>
        <w:rPr>
          <w:rFonts w:hint="eastAsia" w:eastAsia="楷体_GB2312" w:cs="楷体_GB2312"/>
          <w:b/>
          <w:sz w:val="32"/>
          <w:szCs w:val="32"/>
        </w:rPr>
        <w:t>（三）一般公共预算财政拨款支出决算具体情况</w:t>
      </w:r>
      <w:bookmarkEnd w:id="32"/>
    </w:p>
    <w:p w14:paraId="2ED2CC9B">
      <w:pPr>
        <w:spacing w:line="600" w:lineRule="exact"/>
        <w:ind w:firstLine="640"/>
        <w:rPr>
          <w:rFonts w:eastAsia="仿宋_GB2312" w:cs="仿宋_GB2312"/>
          <w:sz w:val="32"/>
          <w:szCs w:val="32"/>
        </w:rPr>
      </w:pPr>
      <w:bookmarkStart w:id="33" w:name="_Toc15377444"/>
      <w:bookmarkStart w:id="34" w:name="_Toc15378460"/>
      <w:bookmarkStart w:id="35" w:name="_Toc15377213"/>
      <w:r>
        <w:rPr>
          <w:rFonts w:hint="eastAsia" w:eastAsia="仿宋_GB2312" w:cs="仿宋_GB2312"/>
          <w:sz w:val="32"/>
          <w:szCs w:val="32"/>
        </w:rPr>
        <w:t>2025年度一般公共预算支出决算数为141.68，完成预算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3"/>
      <w:bookmarkEnd w:id="34"/>
      <w:bookmarkEnd w:id="35"/>
    </w:p>
    <w:p w14:paraId="1BFCF3A4">
      <w:pPr>
        <w:spacing w:line="600" w:lineRule="exact"/>
        <w:ind w:firstLine="640"/>
        <w:rPr>
          <w:rFonts w:hint="eastAsia" w:eastAsia="仿宋_GB2312" w:cs="仿宋_GB2312"/>
          <w:sz w:val="32"/>
          <w:szCs w:val="32"/>
        </w:rPr>
      </w:pPr>
      <w:r>
        <w:rPr>
          <w:rFonts w:hint="eastAsia" w:eastAsia="仿宋_GB2312" w:cs="仿宋_GB2312"/>
          <w:sz w:val="32"/>
          <w:szCs w:val="32"/>
        </w:rPr>
        <w:t>1.一般公共服务（类）政府办公厅（室）及相关机构事务（款）行政运行（项）：支出决算为</w:t>
      </w:r>
      <w:r>
        <w:rPr>
          <w:rFonts w:hint="eastAsia" w:eastAsia="仿宋_GB2312" w:cs="仿宋_GB2312"/>
          <w:sz w:val="32"/>
          <w:szCs w:val="32"/>
          <w:lang w:val="en-US" w:eastAsia="zh-CN"/>
        </w:rPr>
        <w:t>74.64</w:t>
      </w:r>
      <w:r>
        <w:rPr>
          <w:rFonts w:hint="eastAsia" w:eastAsia="仿宋_GB2312" w:cs="仿宋_GB2312"/>
          <w:sz w:val="32"/>
          <w:szCs w:val="32"/>
        </w:rPr>
        <w:t>万元，完成预算100%，决算数等于预算数。</w:t>
      </w:r>
    </w:p>
    <w:p w14:paraId="4404246A">
      <w:pPr>
        <w:spacing w:line="600" w:lineRule="exact"/>
        <w:ind w:firstLine="640"/>
        <w:rPr>
          <w:rFonts w:hint="eastAsia" w:eastAsia="仿宋_GB2312" w:cs="仿宋_GB2312"/>
          <w:sz w:val="32"/>
          <w:szCs w:val="32"/>
        </w:rPr>
      </w:pPr>
      <w:r>
        <w:rPr>
          <w:rFonts w:hint="eastAsia" w:eastAsia="仿宋_GB2312" w:cs="仿宋_GB2312"/>
          <w:sz w:val="32"/>
          <w:szCs w:val="32"/>
        </w:rPr>
        <w:t>2.一般公共服务（类）政府办公厅（室）及相关机构事务（款）一般行政管理事务（项）：支出决算为</w:t>
      </w:r>
      <w:r>
        <w:rPr>
          <w:rFonts w:hint="eastAsia" w:eastAsia="仿宋_GB2312" w:cs="仿宋_GB2312"/>
          <w:sz w:val="32"/>
          <w:szCs w:val="32"/>
          <w:lang w:val="en-US" w:eastAsia="zh-CN"/>
        </w:rPr>
        <w:t>2</w:t>
      </w:r>
      <w:r>
        <w:rPr>
          <w:rFonts w:hint="eastAsia" w:eastAsia="仿宋_GB2312" w:cs="仿宋_GB2312"/>
          <w:sz w:val="32"/>
          <w:szCs w:val="32"/>
        </w:rPr>
        <w:t>0万元，完成预算100%，决算数等于预算数。</w:t>
      </w:r>
    </w:p>
    <w:p w14:paraId="4A6005C8">
      <w:pPr>
        <w:spacing w:line="600" w:lineRule="exact"/>
        <w:ind w:firstLine="640"/>
        <w:rPr>
          <w:rFonts w:hint="eastAsia" w:eastAsia="仿宋_GB2312" w:cs="仿宋_GB2312"/>
          <w:sz w:val="32"/>
          <w:szCs w:val="32"/>
        </w:rPr>
      </w:pPr>
      <w:r>
        <w:rPr>
          <w:rFonts w:hint="eastAsia" w:eastAsia="仿宋_GB2312" w:cs="仿宋_GB2312"/>
          <w:sz w:val="32"/>
          <w:szCs w:val="32"/>
        </w:rPr>
        <w:t>3.社会保障和就业（类）行政事业单位养老支出（款）行政单位离退休（项）：支出决算为</w:t>
      </w:r>
      <w:r>
        <w:rPr>
          <w:rFonts w:hint="eastAsia" w:eastAsia="仿宋_GB2312" w:cs="仿宋_GB2312"/>
          <w:sz w:val="32"/>
          <w:szCs w:val="32"/>
          <w:lang w:val="en-US" w:eastAsia="zh-CN"/>
        </w:rPr>
        <w:t>23.99</w:t>
      </w:r>
      <w:r>
        <w:rPr>
          <w:rFonts w:hint="eastAsia" w:eastAsia="仿宋_GB2312" w:cs="仿宋_GB2312"/>
          <w:sz w:val="32"/>
          <w:szCs w:val="32"/>
        </w:rPr>
        <w:t>万元，完成预算100%，决算数等于预算数。</w:t>
      </w:r>
    </w:p>
    <w:p w14:paraId="457A8816">
      <w:pPr>
        <w:spacing w:line="600" w:lineRule="exact"/>
        <w:ind w:firstLine="640"/>
        <w:rPr>
          <w:rFonts w:hint="eastAsia"/>
        </w:rPr>
      </w:pPr>
      <w:r>
        <w:rPr>
          <w:rFonts w:hint="eastAsia" w:ascii="Times New Roman" w:hAnsi="Times New Roman" w:eastAsia="仿宋_GB2312" w:cs="仿宋_GB2312"/>
          <w:sz w:val="32"/>
          <w:szCs w:val="32"/>
        </w:rPr>
        <w:t>4.社会保障和就业（类）行政事业单位养老支出（款）机关事业单位基本养老保险缴费支出（项）：支出决算为</w:t>
      </w:r>
      <w:r>
        <w:rPr>
          <w:rFonts w:hint="eastAsia" w:ascii="Times New Roman" w:hAnsi="Times New Roman" w:eastAsia="仿宋_GB2312" w:cs="仿宋_GB2312"/>
          <w:sz w:val="32"/>
          <w:szCs w:val="32"/>
          <w:lang w:val="en-US" w:eastAsia="zh-CN"/>
        </w:rPr>
        <w:t>8.66</w:t>
      </w:r>
      <w:r>
        <w:rPr>
          <w:rFonts w:hint="eastAsia" w:ascii="Times New Roman" w:hAnsi="Times New Roman" w:eastAsia="仿宋_GB2312" w:cs="仿宋_GB2312"/>
          <w:sz w:val="32"/>
          <w:szCs w:val="32"/>
        </w:rPr>
        <w:t>万元，完成预算100%，决算数等于预算数。</w:t>
      </w:r>
    </w:p>
    <w:p w14:paraId="7F93500B">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.社会保障和就业（类）其他社会保障和就业支出（款）其他社会保障和就业支出（项）：支出决算为</w:t>
      </w:r>
      <w:r>
        <w:rPr>
          <w:rFonts w:hint="eastAsia" w:eastAsia="仿宋_GB2312" w:cs="仿宋_GB2312"/>
          <w:sz w:val="32"/>
          <w:szCs w:val="32"/>
          <w:lang w:val="en-US" w:eastAsia="zh-CN"/>
        </w:rPr>
        <w:t>0.19</w:t>
      </w:r>
      <w:r>
        <w:rPr>
          <w:rFonts w:hint="eastAsia" w:eastAsia="仿宋_GB2312" w:cs="仿宋_GB2312"/>
          <w:sz w:val="32"/>
          <w:szCs w:val="32"/>
        </w:rPr>
        <w:t>万元，完成预算100%，决算数等于预算数。</w:t>
      </w:r>
    </w:p>
    <w:p w14:paraId="62BCEDDD">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.卫生健康（类）行政事业单位医疗（款）行政单位医疗（项）：支出决算为</w:t>
      </w:r>
      <w:r>
        <w:rPr>
          <w:rFonts w:hint="eastAsia" w:eastAsia="仿宋_GB2312" w:cs="仿宋_GB2312"/>
          <w:sz w:val="32"/>
          <w:szCs w:val="32"/>
          <w:lang w:val="en-US" w:eastAsia="zh-CN"/>
        </w:rPr>
        <w:t>4.48</w:t>
      </w:r>
      <w:r>
        <w:rPr>
          <w:rFonts w:hint="eastAsia" w:eastAsia="仿宋_GB2312" w:cs="仿宋_GB2312"/>
          <w:sz w:val="32"/>
          <w:szCs w:val="32"/>
        </w:rPr>
        <w:t>万元，完成预算100%，决算数等于预算数。</w:t>
      </w:r>
    </w:p>
    <w:p w14:paraId="60567767">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.卫生健康（类）行政事业单位医疗（款）公务员医疗补助（项）：支出决算为</w:t>
      </w:r>
      <w:r>
        <w:rPr>
          <w:rFonts w:hint="eastAsia" w:eastAsia="仿宋_GB2312" w:cs="仿宋_GB2312"/>
          <w:sz w:val="32"/>
          <w:szCs w:val="32"/>
          <w:lang w:val="en-US" w:eastAsia="zh-CN"/>
        </w:rPr>
        <w:t>1.7</w:t>
      </w:r>
      <w:r>
        <w:rPr>
          <w:rFonts w:hint="eastAsia" w:eastAsia="仿宋_GB2312" w:cs="仿宋_GB2312"/>
          <w:sz w:val="32"/>
          <w:szCs w:val="32"/>
        </w:rPr>
        <w:t>万元，完成预算100%，决算数等于预算数。</w:t>
      </w:r>
    </w:p>
    <w:p w14:paraId="67FF190D">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eastAsia="仿宋_GB2312" w:cs="仿宋_GB2312"/>
          <w:sz w:val="32"/>
          <w:szCs w:val="32"/>
        </w:rPr>
      </w:pPr>
      <w:r>
        <w:rPr>
          <w:rFonts w:hint="eastAsia" w:eastAsia="仿宋_GB2312" w:cs="仿宋_GB2312"/>
          <w:sz w:val="32"/>
          <w:szCs w:val="32"/>
        </w:rPr>
        <w:t>8.卫生健康（类）其他卫生健康支出（款）其他卫生健康支出（项）：支出决算为</w:t>
      </w:r>
      <w:r>
        <w:rPr>
          <w:rFonts w:hint="eastAsia" w:eastAsia="仿宋_GB2312" w:cs="仿宋_GB2312"/>
          <w:sz w:val="32"/>
          <w:szCs w:val="32"/>
          <w:lang w:val="en-US" w:eastAsia="zh-CN"/>
        </w:rPr>
        <w:t>1.2</w:t>
      </w:r>
      <w:r>
        <w:rPr>
          <w:rFonts w:hint="eastAsia" w:eastAsia="仿宋_GB2312" w:cs="仿宋_GB2312"/>
          <w:sz w:val="32"/>
          <w:szCs w:val="32"/>
        </w:rPr>
        <w:t>万元，完成预算100%，决算数等于预算数。</w:t>
      </w:r>
    </w:p>
    <w:p w14:paraId="46F4C9D4">
      <w:pPr>
        <w:spacing w:line="600" w:lineRule="exact"/>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9.住房保障支出（类）住房改革支出（款）住房公积金（项）：支出决算为</w:t>
      </w:r>
      <w:r>
        <w:rPr>
          <w:rFonts w:hint="eastAsia" w:ascii="Times New Roman" w:hAnsi="Times New Roman" w:eastAsia="仿宋_GB2312" w:cs="仿宋_GB2312"/>
          <w:sz w:val="32"/>
          <w:szCs w:val="32"/>
          <w:lang w:val="en-US" w:eastAsia="zh-CN"/>
        </w:rPr>
        <w:t>6.83</w:t>
      </w:r>
      <w:r>
        <w:rPr>
          <w:rFonts w:hint="eastAsia" w:ascii="Times New Roman" w:hAnsi="Times New Roman" w:eastAsia="仿宋_GB2312" w:cs="仿宋_GB2312"/>
          <w:sz w:val="32"/>
          <w:szCs w:val="32"/>
        </w:rPr>
        <w:t>万元，完成预算100%，决算数等于预算数。</w:t>
      </w:r>
    </w:p>
    <w:p w14:paraId="13D6CF54">
      <w:pPr>
        <w:spacing w:line="600" w:lineRule="exact"/>
        <w:rPr>
          <w:rFonts w:hint="eastAsia" w:ascii="Times New Roman" w:hAnsi="Times New Roman" w:eastAsia="仿宋_GB2312" w:cs="仿宋_GB2312"/>
          <w:sz w:val="32"/>
          <w:szCs w:val="32"/>
        </w:rPr>
      </w:pPr>
    </w:p>
    <w:p w14:paraId="36D1C79E">
      <w:pPr>
        <w:tabs>
          <w:tab w:val="right" w:pos="8306"/>
        </w:tabs>
        <w:spacing w:line="600" w:lineRule="exact"/>
        <w:ind w:firstLine="640"/>
        <w:outlineLvl w:val="1"/>
        <w:rPr>
          <w:rStyle w:val="29"/>
          <w:rFonts w:ascii="Times New Roman" w:hAnsi="Times New Roman"/>
        </w:rPr>
      </w:pPr>
      <w:bookmarkStart w:id="36" w:name="_Toc15396608"/>
      <w:bookmarkStart w:id="37"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6"/>
      <w:bookmarkEnd w:id="37"/>
      <w:r>
        <w:rPr>
          <w:rStyle w:val="29"/>
          <w:rFonts w:ascii="Times New Roman" w:hAnsi="Times New Roman" w:eastAsia="黑体"/>
          <w:b w:val="0"/>
        </w:rPr>
        <w:tab/>
      </w:r>
    </w:p>
    <w:p w14:paraId="085E168B">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121.68</w:t>
      </w:r>
      <w:r>
        <w:rPr>
          <w:rFonts w:hint="eastAsia" w:eastAsia="仿宋_GB2312" w:cs="仿宋_GB2312"/>
          <w:sz w:val="32"/>
          <w:szCs w:val="32"/>
        </w:rPr>
        <w:t>万元，其中：</w:t>
      </w:r>
    </w:p>
    <w:p w14:paraId="21BFBECB">
      <w:pPr>
        <w:spacing w:line="600" w:lineRule="exact"/>
        <w:ind w:firstLine="640"/>
        <w:rPr>
          <w:rFonts w:eastAsia="仿宋_GB2312" w:cs="仿宋_GB2312"/>
          <w:b/>
          <w:bCs/>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107.01</w:t>
      </w:r>
      <w:r>
        <w:rPr>
          <w:rFonts w:hint="eastAsia" w:eastAsia="仿宋_GB2312" w:cs="仿宋_GB2312"/>
          <w:sz w:val="32"/>
          <w:szCs w:val="32"/>
        </w:rPr>
        <w:t>万元，主要包括：基本工资、津贴补贴、奖金、绩效工资、机关事业单位基本养老保险缴费、职工基本医疗保险缴费、公务员医疗补助缴费、其他社会保障缴费、住房公积金、其他工资福利支出、退休费、生活补助、医疗费补助、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14.67</w:t>
      </w:r>
      <w:r>
        <w:rPr>
          <w:rFonts w:hint="eastAsia" w:eastAsia="仿宋_GB2312" w:cs="仿宋_GB2312"/>
          <w:sz w:val="32"/>
          <w:szCs w:val="32"/>
        </w:rPr>
        <w:t>万元，主要包括：办公费、手续费、水费、电费、邮电费、差旅费、维修（护）费、公务接待费、劳务费、工会经费、福利费、公务用车运行维护费、其他交通费、其他商品和服务支出等。</w:t>
      </w:r>
    </w:p>
    <w:p w14:paraId="4C7A3EAC">
      <w:pPr>
        <w:spacing w:line="600" w:lineRule="exact"/>
        <w:ind w:firstLine="640"/>
        <w:rPr>
          <w:rFonts w:eastAsia="仿宋_GB2312" w:cs="仿宋_GB2312"/>
          <w:sz w:val="32"/>
          <w:szCs w:val="32"/>
        </w:rPr>
      </w:pPr>
    </w:p>
    <w:p w14:paraId="7FDBC1E3">
      <w:pPr>
        <w:spacing w:line="600" w:lineRule="exact"/>
        <w:ind w:firstLine="640"/>
        <w:outlineLvl w:val="1"/>
        <w:rPr>
          <w:rStyle w:val="29"/>
          <w:rFonts w:ascii="Times New Roman" w:hAnsi="Times New Roman" w:eastAsia="黑体"/>
          <w:b w:val="0"/>
        </w:rPr>
      </w:pPr>
      <w:bookmarkStart w:id="38" w:name="_Toc15396609"/>
      <w:bookmarkStart w:id="39"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8"/>
      <w:bookmarkEnd w:id="39"/>
    </w:p>
    <w:p w14:paraId="4249A5A4">
      <w:pPr>
        <w:spacing w:line="600" w:lineRule="exact"/>
        <w:ind w:firstLine="643" w:firstLineChars="200"/>
        <w:outlineLvl w:val="2"/>
        <w:rPr>
          <w:rFonts w:eastAsia="楷体_GB2312" w:cs="楷体_GB2312"/>
          <w:b/>
          <w:sz w:val="32"/>
          <w:szCs w:val="32"/>
        </w:rPr>
      </w:pPr>
      <w:bookmarkStart w:id="40" w:name="_Toc15377216"/>
      <w:r>
        <w:rPr>
          <w:rFonts w:hint="eastAsia" w:eastAsia="楷体_GB2312" w:cs="楷体_GB2312"/>
          <w:b/>
          <w:sz w:val="32"/>
          <w:szCs w:val="32"/>
        </w:rPr>
        <w:t>（一）财政拨款“三公”经费支出决算总体情况说明</w:t>
      </w:r>
      <w:bookmarkEnd w:id="40"/>
    </w:p>
    <w:p w14:paraId="2B1C9E97">
      <w:pPr>
        <w:spacing w:line="600" w:lineRule="exact"/>
        <w:ind w:firstLine="640"/>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2025年度财政拨款“三公”经费支出决算为</w:t>
      </w:r>
      <w:r>
        <w:rPr>
          <w:rFonts w:hint="eastAsia" w:ascii="Times New Roman" w:hAnsi="Times New Roman" w:eastAsia="仿宋_GB2312" w:cs="仿宋_GB2312"/>
          <w:sz w:val="32"/>
          <w:szCs w:val="32"/>
          <w:lang w:val="en-US" w:eastAsia="zh-CN"/>
        </w:rPr>
        <w:t>3.4</w:t>
      </w:r>
      <w:r>
        <w:rPr>
          <w:rFonts w:hint="eastAsia" w:ascii="Times New Roman" w:hAnsi="Times New Roman" w:eastAsia="仿宋_GB2312" w:cs="仿宋_GB2312"/>
          <w:sz w:val="32"/>
          <w:szCs w:val="32"/>
        </w:rPr>
        <w:t>万元，完成预算</w:t>
      </w:r>
      <w:r>
        <w:rPr>
          <w:rFonts w:hint="eastAsia" w:ascii="Times New Roman" w:hAnsi="Times New Roman" w:eastAsia="仿宋_GB2312" w:cs="仿宋_GB2312"/>
          <w:sz w:val="32"/>
          <w:szCs w:val="32"/>
          <w:lang w:val="en-US" w:eastAsia="zh-CN"/>
        </w:rPr>
        <w:t>100</w:t>
      </w:r>
      <w:r>
        <w:rPr>
          <w:rFonts w:hint="eastAsia" w:ascii="Times New Roman" w:hAnsi="Times New Roman" w:eastAsia="仿宋_GB2312" w:cs="仿宋_GB2312"/>
          <w:sz w:val="32"/>
          <w:szCs w:val="32"/>
        </w:rPr>
        <w:t>%，较上年度减少</w:t>
      </w:r>
      <w:r>
        <w:rPr>
          <w:rFonts w:hint="eastAsia" w:ascii="Times New Roman" w:hAnsi="Times New Roman" w:eastAsia="仿宋_GB2312" w:cs="仿宋_GB2312"/>
          <w:sz w:val="32"/>
          <w:szCs w:val="32"/>
          <w:lang w:val="en-US" w:eastAsia="zh-CN"/>
        </w:rPr>
        <w:t>0.12</w:t>
      </w:r>
      <w:r>
        <w:rPr>
          <w:rFonts w:hint="eastAsia" w:ascii="Times New Roman" w:hAnsi="Times New Roman" w:eastAsia="仿宋_GB2312" w:cs="仿宋_GB2312"/>
          <w:sz w:val="32"/>
          <w:szCs w:val="32"/>
        </w:rPr>
        <w:t>万元，下降</w:t>
      </w:r>
      <w:r>
        <w:rPr>
          <w:rFonts w:hint="eastAsia" w:ascii="Times New Roman" w:hAnsi="Times New Roman" w:eastAsia="仿宋_GB2312" w:cs="仿宋_GB2312"/>
          <w:sz w:val="32"/>
          <w:szCs w:val="32"/>
          <w:lang w:val="en-US" w:eastAsia="zh-CN"/>
        </w:rPr>
        <w:t>3.4</w:t>
      </w:r>
      <w:r>
        <w:rPr>
          <w:rFonts w:hint="eastAsia" w:ascii="Times New Roman" w:hAnsi="Times New Roman" w:eastAsia="仿宋_GB2312" w:cs="仿宋_GB2312"/>
          <w:sz w:val="32"/>
          <w:szCs w:val="32"/>
        </w:rPr>
        <w:t>%。决算数与预算数持平</w:t>
      </w:r>
      <w:r>
        <w:rPr>
          <w:rFonts w:hint="eastAsia" w:ascii="Times New Roman" w:hAnsi="Times New Roman" w:eastAsia="仿宋_GB2312" w:cs="仿宋_GB2312"/>
          <w:sz w:val="32"/>
          <w:szCs w:val="32"/>
          <w:lang w:eastAsia="zh-CN"/>
        </w:rPr>
        <w:t>。</w:t>
      </w:r>
    </w:p>
    <w:p w14:paraId="037A75FF">
      <w:pPr>
        <w:spacing w:line="600" w:lineRule="exact"/>
        <w:ind w:firstLine="640"/>
      </w:pPr>
    </w:p>
    <w:p w14:paraId="53473DDA">
      <w:pPr>
        <w:spacing w:line="600" w:lineRule="exact"/>
        <w:ind w:firstLine="643" w:firstLineChars="200"/>
        <w:outlineLvl w:val="2"/>
        <w:rPr>
          <w:rFonts w:eastAsia="楷体_GB2312" w:cs="楷体_GB2312"/>
          <w:b/>
          <w:sz w:val="32"/>
          <w:szCs w:val="32"/>
        </w:rPr>
      </w:pPr>
      <w:bookmarkStart w:id="41" w:name="_Toc15377217"/>
      <w:r>
        <w:rPr>
          <w:rFonts w:hint="eastAsia" w:eastAsia="楷体_GB2312" w:cs="楷体_GB2312"/>
          <w:b/>
          <w:sz w:val="32"/>
          <w:szCs w:val="32"/>
        </w:rPr>
        <w:t>（二）财政拨款“三公”经费支出决算具体情况说明</w:t>
      </w:r>
      <w:bookmarkEnd w:id="41"/>
    </w:p>
    <w:p w14:paraId="60B534EF">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w:t>
      </w: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288290</wp:posOffset>
            </wp:positionH>
            <wp:positionV relativeFrom="paragraph">
              <wp:posOffset>1147445</wp:posOffset>
            </wp:positionV>
            <wp:extent cx="4697095" cy="2332355"/>
            <wp:effectExtent l="4445" t="4445" r="22860" b="6350"/>
            <wp:wrapTopAndBottom/>
            <wp:docPr id="8" name="图表 8" title="收入、支出决算总计变动情况图"/>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eastAsia="仿宋_GB2312" w:cs="仿宋_GB2312"/>
          <w:sz w:val="32"/>
          <w:szCs w:val="32"/>
        </w:rPr>
        <w:t>（境）费支出决算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3.4</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%；公务接待费支出决算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14:paraId="24196562">
      <w:pPr>
        <w:spacing w:line="600" w:lineRule="exact"/>
        <w:jc w:val="center"/>
        <w:rPr>
          <w:rFonts w:eastAsia="仿宋_GB2312" w:cs="仿宋_GB2312"/>
          <w:sz w:val="32"/>
          <w:szCs w:val="32"/>
        </w:rPr>
      </w:pPr>
      <w:r>
        <w:rPr>
          <w:rFonts w:hint="eastAsia" w:eastAsia="仿宋_GB2312" w:cs="仿宋_GB2312"/>
          <w:sz w:val="32"/>
          <w:szCs w:val="32"/>
        </w:rPr>
        <w:t>（图7：财政拨款“三公”经费支出结构）</w:t>
      </w:r>
    </w:p>
    <w:p w14:paraId="25BFF35C">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eastAsia="zh-CN"/>
        </w:rPr>
        <w:t>与</w:t>
      </w:r>
      <w:r>
        <w:rPr>
          <w:rFonts w:hint="eastAsia" w:eastAsia="仿宋_GB2312" w:cs="仿宋_GB2312"/>
          <w:sz w:val="32"/>
          <w:szCs w:val="32"/>
        </w:rPr>
        <w:t>上年度</w:t>
      </w:r>
      <w:r>
        <w:rPr>
          <w:rFonts w:hint="eastAsia" w:eastAsia="仿宋_GB2312" w:cs="仿宋_GB2312"/>
          <w:sz w:val="32"/>
          <w:szCs w:val="32"/>
          <w:lang w:eastAsia="zh-CN"/>
        </w:rPr>
        <w:t>持平。</w:t>
      </w:r>
    </w:p>
    <w:p w14:paraId="2FE26CB0">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3.4</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公务用车购置及运行维护费支出决算与上年度持平。</w:t>
      </w:r>
    </w:p>
    <w:p w14:paraId="55BA8D50">
      <w:pPr>
        <w:spacing w:line="600" w:lineRule="exact"/>
        <w:ind w:firstLine="640"/>
        <w:rPr>
          <w:rFonts w:eastAsia="仿宋_GB2312" w:cs="仿宋_GB2312"/>
          <w:sz w:val="32"/>
          <w:szCs w:val="32"/>
        </w:rPr>
      </w:pPr>
      <w:r>
        <w:rPr>
          <w:rFonts w:hint="eastAsia" w:eastAsia="仿宋_GB2312" w:cs="仿宋_GB2312"/>
          <w:sz w:val="32"/>
          <w:szCs w:val="32"/>
        </w:rPr>
        <w:t>其中：公务用车运行维护费支出</w:t>
      </w:r>
      <w:r>
        <w:rPr>
          <w:rFonts w:hint="eastAsia" w:eastAsia="仿宋_GB2312" w:cs="仿宋_GB2312"/>
          <w:sz w:val="32"/>
          <w:szCs w:val="32"/>
          <w:lang w:val="en-US" w:eastAsia="zh-CN"/>
        </w:rPr>
        <w:t>3.4</w:t>
      </w:r>
      <w:r>
        <w:rPr>
          <w:rFonts w:hint="eastAsia" w:eastAsia="仿宋_GB2312" w:cs="仿宋_GB2312"/>
          <w:sz w:val="32"/>
          <w:szCs w:val="32"/>
        </w:rPr>
        <w:t>万元。接送老干部外出就医、活动等所需的公务用车燃料费、维修费、过路过桥费、保险费等支出。</w:t>
      </w:r>
    </w:p>
    <w:p w14:paraId="0AB0AE04">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0.12</w:t>
      </w:r>
      <w:r>
        <w:rPr>
          <w:rFonts w:hint="eastAsia" w:eastAsia="仿宋_GB2312" w:cs="仿宋_GB2312"/>
          <w:sz w:val="32"/>
          <w:szCs w:val="32"/>
        </w:rPr>
        <w:t>万元，下降</w:t>
      </w:r>
      <w:r>
        <w:rPr>
          <w:rFonts w:hint="eastAsia" w:eastAsia="仿宋_GB2312" w:cs="仿宋_GB2312"/>
          <w:sz w:val="32"/>
          <w:szCs w:val="32"/>
          <w:lang w:val="en-US" w:eastAsia="zh-CN"/>
        </w:rPr>
        <w:t>100</w:t>
      </w:r>
      <w:r>
        <w:rPr>
          <w:rFonts w:hint="eastAsia" w:eastAsia="仿宋_GB2312" w:cs="仿宋_GB2312"/>
          <w:sz w:val="32"/>
          <w:szCs w:val="32"/>
        </w:rPr>
        <w:t>%。主要原因是</w:t>
      </w:r>
      <w:r>
        <w:rPr>
          <w:rFonts w:hint="eastAsia" w:eastAsia="仿宋_GB2312" w:cs="仿宋_GB2312"/>
          <w:sz w:val="32"/>
          <w:szCs w:val="32"/>
          <w:lang w:eastAsia="zh-CN"/>
        </w:rPr>
        <w:t>未发生接待工作</w:t>
      </w:r>
      <w:r>
        <w:rPr>
          <w:rFonts w:hint="eastAsia" w:eastAsia="仿宋_GB2312" w:cs="仿宋_GB2312"/>
          <w:sz w:val="32"/>
          <w:szCs w:val="32"/>
        </w:rPr>
        <w:t>。</w:t>
      </w:r>
    </w:p>
    <w:p w14:paraId="3452BD63">
      <w:pPr>
        <w:spacing w:line="600" w:lineRule="exact"/>
        <w:ind w:firstLine="640"/>
        <w:rPr>
          <w:rFonts w:eastAsia="仿宋_GB2312" w:cs="仿宋_GB2312"/>
          <w:sz w:val="32"/>
          <w:szCs w:val="32"/>
        </w:rPr>
      </w:pPr>
      <w:bookmarkStart w:id="42" w:name="_Toc15377218"/>
      <w:bookmarkStart w:id="43" w:name="_Toc15396610"/>
    </w:p>
    <w:p w14:paraId="4BD3AF82">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2"/>
      <w:bookmarkEnd w:id="43"/>
    </w:p>
    <w:p w14:paraId="3E7F7125">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%。与上年度持平。</w:t>
      </w:r>
    </w:p>
    <w:p w14:paraId="4D9E47CC">
      <w:pPr>
        <w:spacing w:line="600" w:lineRule="exact"/>
        <w:ind w:firstLine="640"/>
        <w:rPr>
          <w:rFonts w:eastAsia="仿宋_GB2312" w:cs="仿宋_GB2312"/>
          <w:sz w:val="32"/>
          <w:szCs w:val="32"/>
        </w:rPr>
      </w:pPr>
    </w:p>
    <w:p w14:paraId="53CDC78D">
      <w:pPr>
        <w:spacing w:line="600" w:lineRule="exact"/>
        <w:ind w:left="630"/>
        <w:outlineLvl w:val="1"/>
        <w:rPr>
          <w:rStyle w:val="29"/>
          <w:rFonts w:ascii="Times New Roman" w:hAnsi="Times New Roman" w:eastAsia="黑体"/>
          <w:b w:val="0"/>
        </w:rPr>
      </w:pPr>
      <w:bookmarkStart w:id="44" w:name="_Toc15377219"/>
      <w:bookmarkStart w:id="45" w:name="_Toc15396611"/>
      <w:r>
        <w:rPr>
          <w:rStyle w:val="29"/>
          <w:rFonts w:hint="eastAsia" w:ascii="Times New Roman" w:hAnsi="Times New Roman" w:eastAsia="黑体"/>
          <w:b w:val="0"/>
        </w:rPr>
        <w:t>九、国有资本经营预算支出决算情况说明</w:t>
      </w:r>
      <w:bookmarkEnd w:id="44"/>
      <w:bookmarkEnd w:id="45"/>
    </w:p>
    <w:p w14:paraId="452D65F8">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%。与上年度持平。</w:t>
      </w:r>
    </w:p>
    <w:p w14:paraId="4CE34577">
      <w:pPr>
        <w:spacing w:line="600" w:lineRule="exact"/>
        <w:ind w:firstLine="640"/>
        <w:rPr>
          <w:rFonts w:eastAsia="仿宋_GB2312" w:cs="仿宋_GB2312"/>
          <w:sz w:val="32"/>
          <w:szCs w:val="32"/>
        </w:rPr>
      </w:pPr>
    </w:p>
    <w:p w14:paraId="2E464080">
      <w:pPr>
        <w:spacing w:line="600" w:lineRule="exact"/>
        <w:ind w:left="630"/>
        <w:outlineLvl w:val="1"/>
        <w:rPr>
          <w:rStyle w:val="29"/>
          <w:rFonts w:ascii="Times New Roman" w:hAnsi="Times New Roman" w:eastAsia="黑体"/>
          <w:b w:val="0"/>
        </w:rPr>
      </w:pPr>
      <w:bookmarkStart w:id="46" w:name="_Toc15377221"/>
      <w:bookmarkStart w:id="47" w:name="_Toc15396612"/>
      <w:r>
        <w:rPr>
          <w:rStyle w:val="29"/>
          <w:rFonts w:hint="eastAsia" w:ascii="Times New Roman" w:hAnsi="Times New Roman" w:eastAsia="黑体"/>
          <w:b w:val="0"/>
        </w:rPr>
        <w:t>十、其他重要事项的情况说明</w:t>
      </w:r>
      <w:bookmarkEnd w:id="46"/>
      <w:bookmarkEnd w:id="47"/>
    </w:p>
    <w:p w14:paraId="76826E63">
      <w:pPr>
        <w:spacing w:line="600" w:lineRule="exact"/>
        <w:ind w:firstLine="643" w:firstLineChars="200"/>
        <w:outlineLvl w:val="2"/>
        <w:rPr>
          <w:rFonts w:eastAsia="楷体_GB2312" w:cs="楷体_GB2312"/>
          <w:b/>
          <w:sz w:val="32"/>
          <w:szCs w:val="32"/>
        </w:rPr>
      </w:pPr>
      <w:bookmarkStart w:id="48" w:name="_Toc15377222"/>
      <w:r>
        <w:rPr>
          <w:rFonts w:hint="eastAsia" w:eastAsia="楷体_GB2312" w:cs="楷体_GB2312"/>
          <w:b/>
          <w:sz w:val="32"/>
          <w:szCs w:val="32"/>
        </w:rPr>
        <w:t>（一）机关运行经费支出情况</w:t>
      </w:r>
      <w:bookmarkEnd w:id="48"/>
    </w:p>
    <w:p w14:paraId="1C9F44DB">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2025年度，攀枝花市成都干部休养所机关运行经费支出</w:t>
      </w:r>
      <w:r>
        <w:rPr>
          <w:rFonts w:hint="eastAsia" w:eastAsia="仿宋_GB2312" w:cs="仿宋_GB2312"/>
          <w:sz w:val="32"/>
          <w:szCs w:val="32"/>
          <w:lang w:val="en-US" w:eastAsia="zh-CN"/>
        </w:rPr>
        <w:t>14.67</w:t>
      </w:r>
      <w:r>
        <w:rPr>
          <w:rFonts w:hint="eastAsia" w:eastAsia="仿宋_GB2312" w:cs="仿宋_GB2312"/>
          <w:sz w:val="32"/>
          <w:szCs w:val="32"/>
        </w:rPr>
        <w:t>万元，比上年度增加</w:t>
      </w:r>
      <w:r>
        <w:rPr>
          <w:rFonts w:hint="eastAsia" w:eastAsia="仿宋_GB2312" w:cs="仿宋_GB2312"/>
          <w:sz w:val="32"/>
          <w:szCs w:val="32"/>
          <w:lang w:val="en-US" w:eastAsia="zh-CN"/>
        </w:rPr>
        <w:t>0.49</w:t>
      </w:r>
      <w:r>
        <w:rPr>
          <w:rFonts w:hint="eastAsia" w:eastAsia="仿宋_GB2312" w:cs="仿宋_GB2312"/>
          <w:sz w:val="32"/>
          <w:szCs w:val="32"/>
        </w:rPr>
        <w:t>万元，增长</w:t>
      </w:r>
      <w:r>
        <w:rPr>
          <w:rFonts w:hint="eastAsia" w:eastAsia="仿宋_GB2312" w:cs="仿宋_GB2312"/>
          <w:sz w:val="32"/>
          <w:szCs w:val="32"/>
          <w:lang w:val="en-US" w:eastAsia="zh-CN"/>
        </w:rPr>
        <w:t>3.4</w:t>
      </w:r>
      <w:r>
        <w:rPr>
          <w:rFonts w:hint="eastAsia" w:eastAsia="仿宋_GB2312" w:cs="仿宋_GB2312"/>
          <w:sz w:val="32"/>
          <w:szCs w:val="32"/>
        </w:rPr>
        <w:t>%。主要原因是办公设备老化</w:t>
      </w:r>
      <w:r>
        <w:rPr>
          <w:rFonts w:hint="eastAsia" w:eastAsia="仿宋_GB2312" w:cs="仿宋_GB2312"/>
          <w:sz w:val="32"/>
          <w:szCs w:val="32"/>
          <w:lang w:eastAsia="zh-CN"/>
        </w:rPr>
        <w:t>，</w:t>
      </w:r>
      <w:r>
        <w:rPr>
          <w:rFonts w:hint="eastAsia" w:eastAsia="仿宋_GB2312" w:cs="仿宋_GB2312"/>
          <w:sz w:val="32"/>
          <w:szCs w:val="32"/>
        </w:rPr>
        <w:t>维修维护需求增加</w:t>
      </w:r>
      <w:r>
        <w:rPr>
          <w:rFonts w:hint="eastAsia" w:eastAsia="仿宋_GB2312" w:cs="仿宋_GB2312"/>
          <w:sz w:val="32"/>
          <w:szCs w:val="32"/>
          <w:lang w:eastAsia="zh-CN"/>
        </w:rPr>
        <w:t>。</w:t>
      </w:r>
    </w:p>
    <w:p w14:paraId="313E6045">
      <w:pPr>
        <w:spacing w:line="600" w:lineRule="exact"/>
        <w:ind w:firstLine="640"/>
        <w:rPr>
          <w:rFonts w:eastAsia="仿宋_GB2312" w:cs="仿宋_GB2312"/>
          <w:sz w:val="32"/>
          <w:szCs w:val="32"/>
        </w:rPr>
      </w:pPr>
    </w:p>
    <w:p w14:paraId="408BBA5E">
      <w:pPr>
        <w:spacing w:line="600" w:lineRule="exact"/>
        <w:ind w:firstLine="643" w:firstLineChars="200"/>
        <w:outlineLvl w:val="2"/>
        <w:rPr>
          <w:rFonts w:eastAsia="楷体_GB2312" w:cs="楷体_GB2312"/>
          <w:b/>
          <w:sz w:val="32"/>
          <w:szCs w:val="32"/>
        </w:rPr>
      </w:pPr>
      <w:bookmarkStart w:id="49" w:name="_Toc15377223"/>
      <w:r>
        <w:rPr>
          <w:rFonts w:hint="eastAsia" w:eastAsia="楷体_GB2312" w:cs="楷体_GB2312"/>
          <w:b/>
          <w:sz w:val="32"/>
          <w:szCs w:val="32"/>
        </w:rPr>
        <w:t>（二）政府采购支出情况</w:t>
      </w:r>
      <w:bookmarkEnd w:id="49"/>
    </w:p>
    <w:p w14:paraId="35B18E80">
      <w:pPr>
        <w:spacing w:line="600" w:lineRule="exact"/>
        <w:ind w:firstLine="640"/>
        <w:rPr>
          <w:rFonts w:hint="eastAsia"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val="en-US" w:eastAsia="zh-CN"/>
        </w:rPr>
        <w:t>0</w:t>
      </w:r>
      <w:r>
        <w:rPr>
          <w:rFonts w:hint="eastAsia" w:eastAsia="仿宋_GB2312" w:cs="仿宋_GB2312"/>
          <w:sz w:val="32"/>
          <w:szCs w:val="32"/>
        </w:rPr>
        <w:t>政府采购支出总额</w:t>
      </w:r>
      <w:r>
        <w:rPr>
          <w:rFonts w:hint="eastAsia" w:eastAsia="仿宋_GB2312" w:cs="仿宋_GB2312"/>
          <w:sz w:val="32"/>
          <w:szCs w:val="32"/>
          <w:lang w:val="en-US" w:eastAsia="zh-CN"/>
        </w:rPr>
        <w:t>0</w:t>
      </w:r>
      <w:r>
        <w:rPr>
          <w:rFonts w:hint="eastAsia"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0</w:t>
      </w:r>
      <w:r>
        <w:rPr>
          <w:rFonts w:hint="eastAsia" w:eastAsia="仿宋_GB2312" w:cs="仿宋_GB2312"/>
          <w:sz w:val="32"/>
          <w:szCs w:val="32"/>
        </w:rPr>
        <w:t>万元。授予中小企业合同金额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w:t>
      </w:r>
    </w:p>
    <w:p w14:paraId="2E927869">
      <w:pPr>
        <w:spacing w:line="600" w:lineRule="exact"/>
        <w:ind w:firstLine="640"/>
        <w:rPr>
          <w:rFonts w:hint="eastAsia" w:eastAsia="仿宋_GB2312" w:cs="仿宋_GB2312"/>
          <w:sz w:val="32"/>
          <w:szCs w:val="32"/>
        </w:rPr>
      </w:pPr>
    </w:p>
    <w:p w14:paraId="16A4863B">
      <w:pPr>
        <w:spacing w:line="600" w:lineRule="exact"/>
        <w:ind w:firstLine="643" w:firstLineChars="200"/>
        <w:outlineLvl w:val="2"/>
        <w:rPr>
          <w:rFonts w:eastAsia="楷体_GB2312" w:cs="楷体_GB2312"/>
          <w:b/>
          <w:sz w:val="32"/>
          <w:szCs w:val="32"/>
        </w:rPr>
      </w:pPr>
      <w:bookmarkStart w:id="50" w:name="_Toc15377224"/>
      <w:r>
        <w:rPr>
          <w:rFonts w:hint="eastAsia" w:eastAsia="楷体_GB2312" w:cs="楷体_GB2312"/>
          <w:b/>
          <w:sz w:val="32"/>
          <w:szCs w:val="32"/>
        </w:rPr>
        <w:t>（三）国有资产占有使用情况</w:t>
      </w:r>
      <w:bookmarkEnd w:id="50"/>
    </w:p>
    <w:p w14:paraId="349D4CEA">
      <w:pPr>
        <w:spacing w:line="600" w:lineRule="exact"/>
        <w:ind w:firstLine="640"/>
        <w:rPr>
          <w:rFonts w:eastAsia="仿宋_GB2312" w:cs="仿宋_GB2312"/>
          <w:sz w:val="32"/>
          <w:szCs w:val="32"/>
        </w:rPr>
      </w:pPr>
      <w:r>
        <w:rPr>
          <w:rFonts w:hint="eastAsia" w:eastAsia="仿宋_GB2312" w:cs="仿宋_GB2312"/>
          <w:sz w:val="32"/>
          <w:szCs w:val="32"/>
        </w:rPr>
        <w:t>截至2025年12月31日，攀枝花市成都干部休养所共有车辆</w:t>
      </w:r>
      <w:r>
        <w:rPr>
          <w:rFonts w:hint="eastAsia" w:eastAsia="仿宋_GB2312" w:cs="仿宋_GB2312"/>
          <w:sz w:val="32"/>
          <w:szCs w:val="32"/>
          <w:lang w:val="en-US" w:eastAsia="zh-CN"/>
        </w:rPr>
        <w:t>2</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2</w:t>
      </w:r>
      <w:r>
        <w:rPr>
          <w:rFonts w:hint="eastAsia" w:eastAsia="仿宋_GB2312" w:cs="仿宋_GB2312"/>
          <w:sz w:val="32"/>
          <w:szCs w:val="32"/>
        </w:rPr>
        <w:t>辆、其他用车</w:t>
      </w:r>
      <w:r>
        <w:rPr>
          <w:rFonts w:hint="eastAsia" w:eastAsia="仿宋_GB2312" w:cs="仿宋_GB2312"/>
          <w:sz w:val="32"/>
          <w:szCs w:val="32"/>
          <w:lang w:val="en-US" w:eastAsia="zh-CN"/>
        </w:rPr>
        <w:t>0</w:t>
      </w:r>
      <w:r>
        <w:rPr>
          <w:rFonts w:hint="eastAsia" w:eastAsia="仿宋_GB2312" w:cs="仿宋_GB2312"/>
          <w:sz w:val="32"/>
          <w:szCs w:val="32"/>
        </w:rPr>
        <w:t>辆。单价100万元（含）以上设备（不含车辆）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14:paraId="576FE6FC">
      <w:pPr>
        <w:spacing w:line="600" w:lineRule="exact"/>
        <w:ind w:firstLine="640"/>
        <w:rPr>
          <w:rFonts w:eastAsia="仿宋_GB2312" w:cs="仿宋_GB2312"/>
          <w:sz w:val="32"/>
          <w:szCs w:val="32"/>
        </w:rPr>
      </w:pPr>
    </w:p>
    <w:p w14:paraId="6859042D">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214CB5A8">
      <w:pPr>
        <w:spacing w:line="600" w:lineRule="exact"/>
        <w:ind w:firstLine="640"/>
        <w:rPr>
          <w:rFonts w:eastAsia="仿宋_GB2312" w:cs="仿宋_GB2312"/>
          <w:sz w:val="32"/>
          <w:szCs w:val="32"/>
        </w:rPr>
      </w:pPr>
      <w:r>
        <w:rPr>
          <w:rFonts w:hint="eastAsia" w:eastAsia="仿宋_GB2312" w:cs="仿宋_GB2312"/>
          <w:sz w:val="32"/>
          <w:szCs w:val="32"/>
        </w:rPr>
        <w:t>根据预算绩效管理要求，攀枝花市成都干部休养所在2025年度，组织对</w:t>
      </w:r>
      <w:r>
        <w:rPr>
          <w:rFonts w:hint="eastAsia" w:eastAsia="仿宋_GB2312" w:cs="仿宋_GB2312"/>
          <w:sz w:val="32"/>
          <w:szCs w:val="32"/>
          <w:lang w:eastAsia="zh-CN"/>
        </w:rPr>
        <w:t>楼栋管理费、老干部活动及慰问</w:t>
      </w:r>
      <w:r>
        <w:rPr>
          <w:rFonts w:hint="eastAsia" w:eastAsia="仿宋_GB2312" w:cs="仿宋_GB2312"/>
          <w:sz w:val="32"/>
          <w:szCs w:val="32"/>
          <w:lang w:val="en-US" w:eastAsia="zh-CN"/>
        </w:rPr>
        <w:t>2</w:t>
      </w:r>
      <w:r>
        <w:rPr>
          <w:rFonts w:hint="eastAsia" w:eastAsia="仿宋_GB2312" w:cs="仿宋_GB2312"/>
          <w:sz w:val="32"/>
          <w:szCs w:val="32"/>
        </w:rPr>
        <w:t>个项目涉及金额</w:t>
      </w:r>
      <w:r>
        <w:rPr>
          <w:rFonts w:hint="eastAsia" w:eastAsia="仿宋_GB2312" w:cs="仿宋_GB2312"/>
          <w:sz w:val="32"/>
          <w:szCs w:val="32"/>
          <w:lang w:val="en-US" w:eastAsia="zh-CN"/>
        </w:rPr>
        <w:t>20</w:t>
      </w:r>
      <w:r>
        <w:rPr>
          <w:rFonts w:hint="eastAsia" w:eastAsia="仿宋_GB2312" w:cs="仿宋_GB2312"/>
          <w:sz w:val="32"/>
          <w:szCs w:val="32"/>
        </w:rPr>
        <w:t>万元开展了事前绩效评估，对</w:t>
      </w:r>
      <w:r>
        <w:rPr>
          <w:rFonts w:hint="eastAsia" w:eastAsia="仿宋_GB2312" w:cs="仿宋_GB2312"/>
          <w:sz w:val="32"/>
          <w:szCs w:val="32"/>
          <w:lang w:val="en-US" w:eastAsia="zh-CN"/>
        </w:rPr>
        <w:t>2</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w:t>
      </w:r>
      <w:r>
        <w:rPr>
          <w:rFonts w:hint="eastAsia" w:eastAsia="仿宋_GB2312" w:cs="仿宋_GB2312"/>
          <w:sz w:val="32"/>
          <w:szCs w:val="32"/>
        </w:rPr>
        <w:t>个项目开展绩效监控。</w:t>
      </w:r>
    </w:p>
    <w:p w14:paraId="693F72F2">
      <w:pPr>
        <w:rPr>
          <w:rFonts w:hint="eastAsia" w:eastAsia="黑体"/>
          <w:sz w:val="44"/>
          <w:szCs w:val="44"/>
        </w:rPr>
      </w:pPr>
      <w:bookmarkStart w:id="51" w:name="_Toc15377225"/>
      <w:bookmarkStart w:id="52" w:name="_Toc15396613"/>
      <w:r>
        <w:rPr>
          <w:rFonts w:hint="eastAsia" w:eastAsia="黑体"/>
          <w:sz w:val="44"/>
          <w:szCs w:val="44"/>
        </w:rPr>
        <w:br w:type="page"/>
      </w:r>
    </w:p>
    <w:p w14:paraId="6B6F9EF9">
      <w:pPr>
        <w:spacing w:line="600" w:lineRule="exact"/>
        <w:jc w:val="center"/>
        <w:outlineLvl w:val="0"/>
        <w:rPr>
          <w:rFonts w:eastAsia="黑体"/>
          <w:sz w:val="44"/>
          <w:szCs w:val="44"/>
        </w:rPr>
      </w:pPr>
      <w:r>
        <w:rPr>
          <w:rFonts w:hint="eastAsia" w:eastAsia="黑体"/>
          <w:sz w:val="44"/>
          <w:szCs w:val="44"/>
        </w:rPr>
        <w:t>第三部分  名词解释</w:t>
      </w:r>
      <w:bookmarkEnd w:id="51"/>
      <w:bookmarkEnd w:id="52"/>
    </w:p>
    <w:p w14:paraId="0E68BC4E">
      <w:pPr>
        <w:spacing w:line="600" w:lineRule="exact"/>
        <w:jc w:val="left"/>
        <w:rPr>
          <w:b/>
          <w:sz w:val="44"/>
          <w:szCs w:val="44"/>
        </w:rPr>
      </w:pPr>
    </w:p>
    <w:p w14:paraId="3A1CBCEE">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4C404D2B">
      <w:pPr>
        <w:spacing w:line="600" w:lineRule="exact"/>
        <w:ind w:firstLine="640"/>
        <w:rPr>
          <w:rFonts w:hint="eastAsia" w:eastAsia="仿宋_GB2312" w:cs="仿宋_GB2312"/>
          <w:sz w:val="32"/>
          <w:szCs w:val="32"/>
        </w:rPr>
      </w:pPr>
      <w:r>
        <w:rPr>
          <w:rFonts w:hint="eastAsia" w:eastAsia="仿宋_GB2312" w:cs="仿宋_GB2312"/>
          <w:sz w:val="32"/>
          <w:szCs w:val="32"/>
        </w:rPr>
        <w:t>2.一般公共服务支出（类）政府办公厅（室）及相关机构事务（款）一般行政管理事务（政府）（项）：指行政单位（包括实行公务员管理的事业单位）未单独设置项级科目的其他项目支出。</w:t>
      </w:r>
    </w:p>
    <w:p w14:paraId="2A1CA599">
      <w:pPr>
        <w:spacing w:line="600" w:lineRule="exact"/>
        <w:ind w:firstLine="640"/>
        <w:rPr>
          <w:rFonts w:hint="eastAsia" w:eastAsia="仿宋_GB2312" w:cs="仿宋_GB2312"/>
          <w:sz w:val="32"/>
          <w:szCs w:val="32"/>
        </w:rPr>
      </w:pPr>
      <w:r>
        <w:rPr>
          <w:rFonts w:hint="eastAsia" w:eastAsia="仿宋_GB2312" w:cs="仿宋_GB2312"/>
          <w:sz w:val="32"/>
          <w:szCs w:val="32"/>
        </w:rPr>
        <w:t>3.一般公共服务支出（类）政府办公厅（室）及相关机构事务（款）行政运行（政府）（项）：指行政单位的基本支出。</w:t>
      </w:r>
    </w:p>
    <w:p w14:paraId="5837E481">
      <w:pPr>
        <w:spacing w:line="600" w:lineRule="exact"/>
        <w:ind w:firstLine="640"/>
        <w:rPr>
          <w:rFonts w:hint="eastAsia" w:eastAsia="仿宋_GB2312" w:cs="仿宋_GB2312"/>
          <w:sz w:val="32"/>
          <w:szCs w:val="32"/>
        </w:rPr>
      </w:pPr>
      <w:r>
        <w:rPr>
          <w:rFonts w:hint="eastAsia" w:eastAsia="仿宋_GB2312" w:cs="仿宋_GB2312"/>
          <w:sz w:val="32"/>
          <w:szCs w:val="32"/>
        </w:rPr>
        <w:t>4.社会保障和就业支出（类）行政事业单位养老支出（款）行政单位离退休（项）：指实行归口管理的行政单位开支的离退休经费。</w:t>
      </w:r>
    </w:p>
    <w:p w14:paraId="1B0E6A2A">
      <w:pPr>
        <w:spacing w:line="600" w:lineRule="exact"/>
        <w:ind w:firstLine="640"/>
        <w:rPr>
          <w:rFonts w:hint="eastAsia" w:ascii="Times New Roman" w:hAnsi="Times New Roman" w:eastAsia="仿宋_GB2312" w:cs="仿宋_GB2312"/>
          <w:sz w:val="32"/>
          <w:szCs w:val="32"/>
        </w:rPr>
      </w:pPr>
      <w:r>
        <w:rPr>
          <w:rFonts w:hint="eastAsia" w:eastAsia="仿宋_GB2312" w:cs="仿宋_GB2312"/>
          <w:sz w:val="32"/>
          <w:szCs w:val="32"/>
        </w:rPr>
        <w:t>5.社会保障和就业支出（类）行政事业单位养老支出（款）机关事业单位基本养老保险缴费支出（项）：指机关事业单</w:t>
      </w:r>
      <w:r>
        <w:rPr>
          <w:rFonts w:hint="eastAsia" w:ascii="Times New Roman" w:hAnsi="Times New Roman" w:eastAsia="仿宋_GB2312" w:cs="仿宋_GB2312"/>
          <w:sz w:val="32"/>
          <w:szCs w:val="32"/>
        </w:rPr>
        <w:t>位实施养老保险制度由单位缴纳的基本养老保险费支出。</w:t>
      </w:r>
    </w:p>
    <w:p w14:paraId="49BCDEDC">
      <w:pPr>
        <w:spacing w:line="600" w:lineRule="exact"/>
        <w:ind w:firstLine="640"/>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社会保障和就业（类）其他社会保障和就业支出（款）其他社会保障和就业支出（项）：</w:t>
      </w:r>
      <w:r>
        <w:rPr>
          <w:rFonts w:hint="eastAsia" w:ascii="Times New Roman" w:hAnsi="Times New Roman" w:eastAsia="仿宋_GB2312" w:cs="仿宋_GB2312"/>
          <w:sz w:val="32"/>
          <w:szCs w:val="32"/>
          <w:lang w:eastAsia="zh-CN"/>
        </w:rPr>
        <w:t>指其他用于社会保障和就业方面的支出。</w:t>
      </w:r>
    </w:p>
    <w:p w14:paraId="282EF766">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.卫生健康支出（类）行政事业单位医疗（款）行政单位医疗（项）：反映财政部门安排的行政单位医疗保险缴费经费，未参加医疗保险的行政单位的公费医疗经费，按国家规定享受离休人员待遇的医疗经费。</w:t>
      </w:r>
    </w:p>
    <w:p w14:paraId="1BD90E05">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8</w:t>
      </w:r>
      <w:r>
        <w:rPr>
          <w:rFonts w:hint="eastAsia" w:eastAsia="仿宋_GB2312" w:cs="仿宋_GB2312"/>
          <w:sz w:val="32"/>
          <w:szCs w:val="32"/>
        </w:rPr>
        <w:t>.卫生健康支出（类）行政事业单位医疗（款）公务员医疗补助（项）：反映财政部门安排的公务员医疗补助经费。</w:t>
      </w:r>
    </w:p>
    <w:p w14:paraId="7AA23D98">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9</w:t>
      </w:r>
      <w:r>
        <w:rPr>
          <w:rFonts w:hint="eastAsia" w:eastAsia="仿宋_GB2312" w:cs="仿宋_GB2312"/>
          <w:sz w:val="32"/>
          <w:szCs w:val="32"/>
        </w:rPr>
        <w:t>.卫生健康支出（类）其他卫生健康支出（款）其他卫生健康支出出（项）：反映其他用于</w:t>
      </w:r>
      <w:r>
        <w:rPr>
          <w:rFonts w:hint="eastAsia" w:eastAsia="仿宋_GB2312" w:cs="仿宋_GB2312"/>
          <w:sz w:val="32"/>
          <w:szCs w:val="32"/>
          <w:lang w:eastAsia="zh-CN"/>
        </w:rPr>
        <w:t>卫生健康</w:t>
      </w:r>
      <w:r>
        <w:rPr>
          <w:rFonts w:hint="eastAsia" w:eastAsia="仿宋_GB2312" w:cs="仿宋_GB2312"/>
          <w:sz w:val="32"/>
          <w:szCs w:val="32"/>
        </w:rPr>
        <w:t>方面的支出。</w:t>
      </w:r>
    </w:p>
    <w:p w14:paraId="4CF392CC">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10</w:t>
      </w:r>
      <w:r>
        <w:rPr>
          <w:rFonts w:hint="eastAsia" w:eastAsia="仿宋_GB2312" w:cs="仿宋_GB2312"/>
          <w:sz w:val="32"/>
          <w:szCs w:val="32"/>
        </w:rPr>
        <w:t>.住房保障支出（类）住房改革支出（款）住房公积金（项）：指行政事业单位按人力资源和社会保障部、财政部规定的基本工资和津贴补贴以及规定比例为职工缴纳的住房公积金。</w:t>
      </w:r>
    </w:p>
    <w:p w14:paraId="60F9C81B">
      <w:pPr>
        <w:spacing w:line="600" w:lineRule="exact"/>
        <w:ind w:firstLine="640"/>
        <w:rPr>
          <w:rFonts w:eastAsia="仿宋_GB2312" w:cs="仿宋_GB2312"/>
          <w:sz w:val="32"/>
          <w:szCs w:val="32"/>
        </w:rPr>
      </w:pPr>
      <w:r>
        <w:rPr>
          <w:rFonts w:hint="eastAsia" w:eastAsia="仿宋_GB2312" w:cs="仿宋_GB2312"/>
          <w:sz w:val="32"/>
          <w:szCs w:val="32"/>
          <w:lang w:val="en-US" w:eastAsia="zh-CN"/>
        </w:rPr>
        <w:t>11</w:t>
      </w:r>
      <w:r>
        <w:rPr>
          <w:rFonts w:hint="eastAsia" w:eastAsia="仿宋_GB2312" w:cs="仿宋_GB2312"/>
          <w:sz w:val="32"/>
          <w:szCs w:val="32"/>
        </w:rPr>
        <w:t>.基本支出：指为保障机构正常运转、完成日常工作任务而发生的人员支出和公用支出。</w:t>
      </w:r>
    </w:p>
    <w:p w14:paraId="2408D76A">
      <w:pPr>
        <w:spacing w:line="600" w:lineRule="exact"/>
        <w:ind w:firstLine="640"/>
        <w:rPr>
          <w:rFonts w:eastAsia="仿宋_GB2312" w:cs="仿宋_GB2312"/>
          <w:sz w:val="32"/>
          <w:szCs w:val="32"/>
        </w:rPr>
      </w:pPr>
      <w:r>
        <w:rPr>
          <w:rFonts w:hint="eastAsia" w:eastAsia="仿宋_GB2312" w:cs="仿宋_GB2312"/>
          <w:sz w:val="32"/>
          <w:szCs w:val="32"/>
          <w:lang w:val="en-US" w:eastAsia="zh-CN"/>
        </w:rPr>
        <w:t>12</w:t>
      </w:r>
      <w:r>
        <w:rPr>
          <w:rFonts w:hint="eastAsia" w:eastAsia="仿宋_GB2312" w:cs="仿宋_GB2312"/>
          <w:sz w:val="32"/>
          <w:szCs w:val="32"/>
        </w:rPr>
        <w:t xml:space="preserve">.项目支出：指在基本支出之外为完成特定行政任务和事业发展目标所发生的支出。 </w:t>
      </w:r>
    </w:p>
    <w:p w14:paraId="65DAB1C4">
      <w:pPr>
        <w:spacing w:line="600" w:lineRule="exact"/>
        <w:ind w:firstLine="640"/>
        <w:rPr>
          <w:rFonts w:eastAsia="仿宋_GB2312" w:cs="仿宋_GB2312"/>
          <w:sz w:val="32"/>
          <w:szCs w:val="32"/>
        </w:rPr>
      </w:pPr>
      <w:r>
        <w:rPr>
          <w:rFonts w:hint="eastAsia" w:eastAsia="仿宋_GB2312" w:cs="仿宋_GB2312"/>
          <w:sz w:val="32"/>
          <w:szCs w:val="32"/>
          <w:lang w:val="en-US" w:eastAsia="zh-CN"/>
        </w:rPr>
        <w:t>13</w:t>
      </w:r>
      <w:r>
        <w:rPr>
          <w:rFonts w:hint="eastAsia" w:eastAsia="仿宋_GB2312" w:cs="仿宋_GB2312"/>
          <w:sz w:val="32"/>
          <w:szCs w:val="32"/>
        </w:rPr>
        <w:t>.经营支出：指事业单位在专业业务活动及其辅助活动之外开展非独立核算经营活动发生的支出。</w:t>
      </w:r>
    </w:p>
    <w:p w14:paraId="6D529712">
      <w:pPr>
        <w:spacing w:line="600" w:lineRule="exact"/>
        <w:ind w:firstLine="640"/>
        <w:rPr>
          <w:rFonts w:eastAsia="仿宋_GB2312" w:cs="仿宋_GB2312"/>
          <w:sz w:val="32"/>
          <w:szCs w:val="32"/>
        </w:rPr>
      </w:pPr>
      <w:r>
        <w:rPr>
          <w:rFonts w:hint="eastAsia" w:eastAsia="仿宋_GB2312" w:cs="仿宋_GB2312"/>
          <w:sz w:val="32"/>
          <w:szCs w:val="32"/>
          <w:lang w:val="en-US" w:eastAsia="zh-CN"/>
        </w:rPr>
        <w:t>14</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30CD001">
      <w:pPr>
        <w:spacing w:line="600" w:lineRule="exact"/>
        <w:ind w:firstLine="640"/>
        <w:rPr>
          <w:rFonts w:eastAsia="仿宋_GB2312" w:cs="仿宋_GB2312"/>
          <w:b/>
          <w:bCs/>
          <w:sz w:val="32"/>
          <w:szCs w:val="32"/>
        </w:rPr>
      </w:pPr>
      <w:r>
        <w:rPr>
          <w:rFonts w:hint="eastAsia" w:eastAsia="仿宋_GB2312" w:cs="仿宋_GB2312"/>
          <w:sz w:val="32"/>
          <w:szCs w:val="32"/>
          <w:lang w:val="en-US" w:eastAsia="zh-CN"/>
        </w:rPr>
        <w:t>15</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3EA3BF3">
      <w:pPr>
        <w:spacing w:line="600" w:lineRule="exact"/>
        <w:jc w:val="center"/>
        <w:rPr>
          <w:rStyle w:val="28"/>
          <w:rFonts w:eastAsia="黑体"/>
          <w:b w:val="0"/>
        </w:rPr>
      </w:pPr>
      <w:bookmarkStart w:id="53" w:name="_Toc15377226"/>
      <w:r>
        <w:rPr>
          <w:rFonts w:hint="eastAsia" w:eastAsia="仿宋_GB2312" w:cs="仿宋_GB2312"/>
          <w:sz w:val="32"/>
          <w:szCs w:val="32"/>
        </w:rPr>
        <w:br w:type="page"/>
      </w:r>
      <w:bookmarkStart w:id="54" w:name="_Toc15396614"/>
      <w:r>
        <w:rPr>
          <w:rFonts w:hint="eastAsia" w:eastAsia="黑体"/>
          <w:sz w:val="44"/>
          <w:szCs w:val="44"/>
        </w:rPr>
        <w:t>第四部分  附件</w:t>
      </w:r>
      <w:bookmarkEnd w:id="54"/>
    </w:p>
    <w:p w14:paraId="32C7F95B">
      <w:pPr>
        <w:spacing w:line="578" w:lineRule="exact"/>
        <w:ind w:firstLine="640"/>
        <w:rPr>
          <w:rFonts w:eastAsia="仿宋_GB2312" w:cs="仿宋_GB2312"/>
          <w:kern w:val="0"/>
          <w:sz w:val="32"/>
          <w:szCs w:val="32"/>
        </w:rPr>
      </w:pPr>
      <w:r>
        <w:rPr>
          <w:rFonts w:hint="eastAsia" w:ascii="Times New Roman" w:eastAsia="仿宋_GB2312" w:cs="仿宋_GB2312"/>
          <w:kern w:val="0"/>
          <w:sz w:val="32"/>
        </w:rPr>
        <w:t>部门预算项目支出绩效自评表（2025年度）见附件3。</w:t>
      </w:r>
    </w:p>
    <w:p w14:paraId="5C99056B">
      <w:pPr>
        <w:spacing w:line="578" w:lineRule="exact"/>
        <w:ind w:firstLine="640"/>
        <w:rPr>
          <w:rFonts w:eastAsia="仿宋_GB2312" w:cs="仿宋_GB2312"/>
          <w:kern w:val="0"/>
          <w:sz w:val="32"/>
          <w:szCs w:val="32"/>
        </w:rPr>
      </w:pPr>
    </w:p>
    <w:p w14:paraId="7BD3608A">
      <w:pPr>
        <w:spacing w:line="578" w:lineRule="exact"/>
        <w:ind w:firstLine="640"/>
        <w:rPr>
          <w:rFonts w:eastAsia="仿宋_GB2312" w:cs="仿宋_GB2312"/>
          <w:kern w:val="0"/>
          <w:sz w:val="32"/>
          <w:szCs w:val="32"/>
        </w:rPr>
      </w:pPr>
      <w:bookmarkStart w:id="55" w:name="_Toc15396618"/>
      <w:r>
        <w:rPr>
          <w:rFonts w:hint="eastAsia" w:eastAsia="仿宋_GB2312" w:cs="仿宋_GB2312"/>
          <w:kern w:val="0"/>
          <w:sz w:val="32"/>
          <w:szCs w:val="32"/>
        </w:rPr>
        <w:br w:type="page"/>
      </w:r>
    </w:p>
    <w:p w14:paraId="3305A75A">
      <w:pPr>
        <w:widowControl/>
        <w:jc w:val="center"/>
        <w:rPr>
          <w:rFonts w:eastAsia="仿宋"/>
        </w:rPr>
      </w:pPr>
      <w:r>
        <w:rPr>
          <w:rFonts w:hint="eastAsia" w:eastAsia="黑体"/>
          <w:sz w:val="44"/>
          <w:szCs w:val="44"/>
        </w:rPr>
        <w:t>第</w:t>
      </w:r>
      <w:r>
        <w:rPr>
          <w:rStyle w:val="28"/>
          <w:rFonts w:hint="eastAsia" w:eastAsia="黑体"/>
          <w:b w:val="0"/>
        </w:rPr>
        <w:t>五部分 附表</w:t>
      </w:r>
      <w:bookmarkEnd w:id="53"/>
      <w:bookmarkEnd w:id="55"/>
      <w:bookmarkStart w:id="56" w:name="_Toc15396619"/>
    </w:p>
    <w:p w14:paraId="084CA3AB">
      <w:pPr>
        <w:pStyle w:val="14"/>
        <w:adjustRightInd w:val="0"/>
        <w:snapToGrid w:val="0"/>
        <w:spacing w:line="560" w:lineRule="exact"/>
        <w:jc w:val="left"/>
        <w:rPr>
          <w:rFonts w:eastAsia="仿宋_GB2312" w:cs="仿宋_GB2312"/>
          <w:sz w:val="32"/>
          <w:szCs w:val="32"/>
        </w:rPr>
      </w:pPr>
    </w:p>
    <w:p w14:paraId="795DD643">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6"/>
    </w:p>
    <w:p w14:paraId="63B088FC">
      <w:pPr>
        <w:pStyle w:val="14"/>
        <w:adjustRightInd w:val="0"/>
        <w:snapToGrid w:val="0"/>
        <w:spacing w:line="560" w:lineRule="exact"/>
        <w:jc w:val="left"/>
        <w:rPr>
          <w:rFonts w:eastAsia="仿宋_GB2312" w:cs="仿宋_GB2312"/>
          <w:sz w:val="32"/>
          <w:szCs w:val="32"/>
        </w:rPr>
      </w:pPr>
      <w:bookmarkStart w:id="57" w:name="_Toc15396620"/>
      <w:r>
        <w:rPr>
          <w:rFonts w:hint="eastAsia" w:eastAsia="仿宋_GB2312" w:cs="仿宋_GB2312"/>
          <w:sz w:val="32"/>
          <w:szCs w:val="32"/>
        </w:rPr>
        <w:t>二、收入决算表</w:t>
      </w:r>
      <w:bookmarkEnd w:id="57"/>
    </w:p>
    <w:p w14:paraId="243C4A84">
      <w:pPr>
        <w:pStyle w:val="14"/>
        <w:adjustRightInd w:val="0"/>
        <w:snapToGrid w:val="0"/>
        <w:spacing w:line="560" w:lineRule="exact"/>
        <w:jc w:val="left"/>
        <w:rPr>
          <w:rFonts w:eastAsia="仿宋_GB2312" w:cs="仿宋_GB2312"/>
          <w:sz w:val="32"/>
          <w:szCs w:val="32"/>
        </w:rPr>
      </w:pPr>
      <w:bookmarkStart w:id="58" w:name="_Toc15396621"/>
      <w:r>
        <w:rPr>
          <w:rFonts w:hint="eastAsia" w:eastAsia="仿宋_GB2312" w:cs="仿宋_GB2312"/>
          <w:sz w:val="32"/>
          <w:szCs w:val="32"/>
        </w:rPr>
        <w:t>三、支出决算表</w:t>
      </w:r>
      <w:bookmarkEnd w:id="58"/>
    </w:p>
    <w:p w14:paraId="5C932DD7">
      <w:pPr>
        <w:pStyle w:val="14"/>
        <w:adjustRightInd w:val="0"/>
        <w:snapToGrid w:val="0"/>
        <w:spacing w:line="560" w:lineRule="exact"/>
        <w:jc w:val="left"/>
        <w:rPr>
          <w:rFonts w:eastAsia="仿宋_GB2312" w:cs="仿宋_GB2312"/>
          <w:sz w:val="32"/>
          <w:szCs w:val="32"/>
        </w:rPr>
      </w:pPr>
      <w:bookmarkStart w:id="59" w:name="_Toc15396622"/>
      <w:r>
        <w:rPr>
          <w:rFonts w:hint="eastAsia" w:eastAsia="仿宋_GB2312" w:cs="仿宋_GB2312"/>
          <w:sz w:val="32"/>
          <w:szCs w:val="32"/>
        </w:rPr>
        <w:t>四、财政拨款收入支出决算总表</w:t>
      </w:r>
      <w:bookmarkEnd w:id="59"/>
    </w:p>
    <w:p w14:paraId="57B8B4CC">
      <w:pPr>
        <w:pStyle w:val="14"/>
        <w:adjustRightInd w:val="0"/>
        <w:snapToGrid w:val="0"/>
        <w:spacing w:line="560" w:lineRule="exact"/>
        <w:jc w:val="left"/>
        <w:rPr>
          <w:rFonts w:eastAsia="仿宋_GB2312" w:cs="仿宋_GB2312"/>
          <w:sz w:val="32"/>
          <w:szCs w:val="32"/>
        </w:rPr>
      </w:pPr>
      <w:bookmarkStart w:id="60" w:name="_Toc15396623"/>
      <w:r>
        <w:rPr>
          <w:rFonts w:hint="eastAsia" w:eastAsia="仿宋_GB2312" w:cs="仿宋_GB2312"/>
          <w:sz w:val="32"/>
          <w:szCs w:val="32"/>
        </w:rPr>
        <w:t>五、财政拨款支出决算明细表</w:t>
      </w:r>
      <w:bookmarkEnd w:id="60"/>
      <w:bookmarkStart w:id="61" w:name="_Toc15396624"/>
    </w:p>
    <w:p w14:paraId="6F5AB0E7">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1"/>
    </w:p>
    <w:p w14:paraId="10D7F955">
      <w:pPr>
        <w:pStyle w:val="14"/>
        <w:adjustRightInd w:val="0"/>
        <w:snapToGrid w:val="0"/>
        <w:spacing w:line="560" w:lineRule="exact"/>
        <w:jc w:val="left"/>
        <w:rPr>
          <w:rFonts w:eastAsia="仿宋_GB2312" w:cs="仿宋_GB2312"/>
          <w:sz w:val="32"/>
          <w:szCs w:val="32"/>
        </w:rPr>
      </w:pPr>
      <w:bookmarkStart w:id="62" w:name="_Toc15396625"/>
      <w:r>
        <w:rPr>
          <w:rFonts w:hint="eastAsia" w:eastAsia="仿宋_GB2312" w:cs="仿宋_GB2312"/>
          <w:sz w:val="32"/>
          <w:szCs w:val="32"/>
        </w:rPr>
        <w:t>七、一般公共预算财政拨款支出决算明细表</w:t>
      </w:r>
      <w:bookmarkEnd w:id="62"/>
    </w:p>
    <w:p w14:paraId="70DCECCA">
      <w:pPr>
        <w:pStyle w:val="14"/>
        <w:adjustRightInd w:val="0"/>
        <w:snapToGrid w:val="0"/>
        <w:spacing w:line="560" w:lineRule="exact"/>
        <w:jc w:val="left"/>
        <w:rPr>
          <w:rFonts w:eastAsia="仿宋_GB2312" w:cs="仿宋_GB2312"/>
          <w:sz w:val="32"/>
          <w:szCs w:val="32"/>
        </w:rPr>
      </w:pPr>
      <w:bookmarkStart w:id="63" w:name="_Toc15396626"/>
      <w:r>
        <w:rPr>
          <w:rFonts w:hint="eastAsia" w:eastAsia="仿宋_GB2312" w:cs="仿宋_GB2312"/>
          <w:sz w:val="32"/>
          <w:szCs w:val="32"/>
        </w:rPr>
        <w:t>八、一般公共预算财政拨款基本支出决算表</w:t>
      </w:r>
      <w:bookmarkEnd w:id="63"/>
    </w:p>
    <w:p w14:paraId="135CAFFC">
      <w:pPr>
        <w:pStyle w:val="14"/>
        <w:adjustRightInd w:val="0"/>
        <w:snapToGrid w:val="0"/>
        <w:spacing w:line="560" w:lineRule="exact"/>
        <w:jc w:val="left"/>
        <w:rPr>
          <w:rFonts w:eastAsia="仿宋_GB2312" w:cs="仿宋_GB2312"/>
          <w:sz w:val="32"/>
          <w:szCs w:val="32"/>
        </w:rPr>
      </w:pPr>
      <w:bookmarkStart w:id="64" w:name="_Toc15396627"/>
      <w:r>
        <w:rPr>
          <w:rFonts w:hint="eastAsia" w:eastAsia="仿宋_GB2312" w:cs="仿宋_GB2312"/>
          <w:sz w:val="32"/>
          <w:szCs w:val="32"/>
        </w:rPr>
        <w:t>九、一般公共预算财政拨款项目支出决算表</w:t>
      </w:r>
      <w:bookmarkEnd w:id="64"/>
    </w:p>
    <w:p w14:paraId="0C263C3A">
      <w:pPr>
        <w:pStyle w:val="14"/>
        <w:adjustRightInd w:val="0"/>
        <w:snapToGrid w:val="0"/>
        <w:spacing w:line="560" w:lineRule="exact"/>
        <w:jc w:val="left"/>
        <w:rPr>
          <w:rFonts w:eastAsia="仿宋_GB2312" w:cs="仿宋_GB2312"/>
          <w:sz w:val="32"/>
          <w:szCs w:val="32"/>
        </w:rPr>
      </w:pPr>
      <w:bookmarkStart w:id="65" w:name="_Toc15396628"/>
      <w:r>
        <w:rPr>
          <w:rFonts w:hint="eastAsia" w:eastAsia="仿宋_GB2312" w:cs="仿宋_GB2312"/>
          <w:sz w:val="32"/>
          <w:szCs w:val="32"/>
        </w:rPr>
        <w:t>十、</w:t>
      </w:r>
      <w:bookmarkEnd w:id="65"/>
      <w:r>
        <w:rPr>
          <w:rFonts w:hint="eastAsia" w:eastAsia="仿宋_GB2312" w:cs="仿宋_GB2312"/>
          <w:sz w:val="32"/>
          <w:szCs w:val="32"/>
        </w:rPr>
        <w:t>政府性基金预算财政拨款收入支出决算表</w:t>
      </w:r>
    </w:p>
    <w:p w14:paraId="2982F9EE">
      <w:pPr>
        <w:pStyle w:val="14"/>
        <w:adjustRightInd w:val="0"/>
        <w:snapToGrid w:val="0"/>
        <w:spacing w:line="560" w:lineRule="exact"/>
        <w:jc w:val="left"/>
        <w:rPr>
          <w:rFonts w:eastAsia="仿宋_GB2312" w:cs="仿宋_GB2312"/>
          <w:sz w:val="32"/>
          <w:szCs w:val="32"/>
        </w:rPr>
      </w:pPr>
      <w:bookmarkStart w:id="66" w:name="_Toc15396629"/>
      <w:r>
        <w:rPr>
          <w:rFonts w:hint="eastAsia" w:eastAsia="仿宋_GB2312" w:cs="仿宋_GB2312"/>
          <w:sz w:val="32"/>
          <w:szCs w:val="32"/>
        </w:rPr>
        <w:t>十一、</w:t>
      </w:r>
      <w:bookmarkEnd w:id="66"/>
      <w:r>
        <w:rPr>
          <w:rFonts w:hint="eastAsia" w:eastAsia="仿宋_GB2312" w:cs="仿宋_GB2312"/>
          <w:sz w:val="32"/>
          <w:szCs w:val="32"/>
        </w:rPr>
        <w:t>国有资本经营预算财政拨款收入支出决算表</w:t>
      </w:r>
    </w:p>
    <w:p w14:paraId="4109E8C5">
      <w:pPr>
        <w:pStyle w:val="14"/>
        <w:adjustRightInd w:val="0"/>
        <w:snapToGrid w:val="0"/>
        <w:spacing w:line="560" w:lineRule="exact"/>
        <w:jc w:val="left"/>
        <w:rPr>
          <w:rFonts w:eastAsia="仿宋_GB2312" w:cs="仿宋_GB2312"/>
          <w:sz w:val="32"/>
          <w:szCs w:val="32"/>
        </w:rPr>
      </w:pPr>
      <w:bookmarkStart w:id="67" w:name="_Toc15396630"/>
      <w:r>
        <w:rPr>
          <w:rFonts w:hint="eastAsia" w:eastAsia="仿宋_GB2312" w:cs="仿宋_GB2312"/>
          <w:sz w:val="32"/>
          <w:szCs w:val="32"/>
        </w:rPr>
        <w:t>十二、</w:t>
      </w:r>
      <w:bookmarkEnd w:id="67"/>
      <w:r>
        <w:rPr>
          <w:rFonts w:hint="eastAsia" w:eastAsia="仿宋_GB2312" w:cs="仿宋_GB2312"/>
          <w:sz w:val="32"/>
          <w:szCs w:val="32"/>
        </w:rPr>
        <w:t>国有资本经营预算财政拨款支出决算表</w:t>
      </w:r>
    </w:p>
    <w:p w14:paraId="4A2A859A">
      <w:pPr>
        <w:pStyle w:val="14"/>
        <w:adjustRightInd w:val="0"/>
        <w:snapToGrid w:val="0"/>
        <w:spacing w:line="560" w:lineRule="exact"/>
        <w:jc w:val="left"/>
        <w:rPr>
          <w:rFonts w:eastAsia="仿宋_GB2312" w:cs="仿宋_GB2312"/>
          <w:sz w:val="32"/>
          <w:szCs w:val="32"/>
        </w:rPr>
      </w:pPr>
      <w:bookmarkStart w:id="68" w:name="_Toc15396631"/>
      <w:r>
        <w:rPr>
          <w:rFonts w:hint="eastAsia" w:eastAsia="仿宋_GB2312" w:cs="仿宋_GB2312"/>
          <w:sz w:val="32"/>
          <w:szCs w:val="32"/>
        </w:rPr>
        <w:t>十三、</w:t>
      </w:r>
      <w:bookmarkEnd w:id="68"/>
      <w:r>
        <w:rPr>
          <w:rFonts w:hint="eastAsia" w:eastAsia="仿宋_GB2312" w:cs="仿宋_GB2312"/>
          <w:sz w:val="32"/>
          <w:szCs w:val="32"/>
        </w:rPr>
        <w:t>财政拨款“三公”经费支出决算表</w:t>
      </w:r>
    </w:p>
    <w:p w14:paraId="05BB81D7"/>
    <w:sectPr>
      <w:footerReference r:id="rId8"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94525C-8496-4EF0-8810-B3C49D6F1DB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2" w:fontKey="{8C9BA232-7045-448E-86AE-BF2D2154E92A}"/>
  </w:font>
  <w:font w:name="仿宋">
    <w:panose1 w:val="02010609060101010101"/>
    <w:charset w:val="86"/>
    <w:family w:val="modern"/>
    <w:pitch w:val="default"/>
    <w:sig w:usb0="800002BF" w:usb1="38CF7CFA" w:usb2="00000016" w:usb3="00000000" w:csb0="00040001" w:csb1="00000000"/>
    <w:embedRegular r:id="rId3" w:fontKey="{2DA50089-2E60-47AD-B061-EE502012CD52}"/>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E0000" w:usb2="00000000" w:usb3="00000000" w:csb0="00040000" w:csb1="00000000"/>
    <w:embedRegular r:id="rId4" w:fontKey="{CCAF2988-5DF1-4AA6-B361-3C969B75C0E2}"/>
  </w:font>
  <w:font w:name="楷体_GB2312">
    <w:altName w:val="楷体"/>
    <w:panose1 w:val="02010609030101010101"/>
    <w:charset w:val="86"/>
    <w:family w:val="modern"/>
    <w:pitch w:val="default"/>
    <w:sig w:usb0="00000000" w:usb1="00000000" w:usb2="00000010" w:usb3="00000000" w:csb0="00040000" w:csb1="00000000"/>
    <w:embedRegular r:id="rId5" w:fontKey="{9E4B00C5-9AC8-4B4B-A3DE-0925BD57312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3D233">
    <w:pPr>
      <w:pStyle w:val="11"/>
      <w:jc w:val="center"/>
    </w:pPr>
  </w:p>
  <w:p w14:paraId="407B22B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42C6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A8FD7">
    <w:pPr>
      <w:pStyle w:val="11"/>
      <w:jc w:val="center"/>
    </w:pPr>
  </w:p>
  <w:p w14:paraId="7AC5AE13">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18513">
    <w:pPr>
      <w:pStyle w:val="11"/>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D5106">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5BD5106">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D44A9">
    <w:pPr>
      <w:pStyle w:val="11"/>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C9EFE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2C9EFE4">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222A5C00">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FCFD3">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83070B"/>
    <w:rsid w:val="0CA8290A"/>
    <w:rsid w:val="0D35B1ED"/>
    <w:rsid w:val="0DE07E2B"/>
    <w:rsid w:val="0E096BE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C873DC"/>
    <w:rsid w:val="2FD9A7D8"/>
    <w:rsid w:val="319F7F4E"/>
    <w:rsid w:val="321B2544"/>
    <w:rsid w:val="3304709D"/>
    <w:rsid w:val="34281836"/>
    <w:rsid w:val="349D6851"/>
    <w:rsid w:val="35657E02"/>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2BE2F86"/>
    <w:rsid w:val="43A407DF"/>
    <w:rsid w:val="44515BEA"/>
    <w:rsid w:val="44E268DA"/>
    <w:rsid w:val="453F7E5B"/>
    <w:rsid w:val="45895260"/>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6E7B30"/>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0.00_ </c:formatCode>
                <c:ptCount val="2"/>
                <c:pt idx="0">
                  <c:v>141.68</c:v>
                </c:pt>
                <c:pt idx="1">
                  <c:v>145.126995</c:v>
                </c:pt>
              </c:numCache>
            </c:numRef>
          </c:val>
        </c:ser>
        <c:ser>
          <c:idx val="1"/>
          <c:order val="1"/>
          <c:tx>
            <c:strRef>
              <c:f>Sheet1!$C$1</c:f>
              <c:strCache>
                <c:ptCount val="1"/>
                <c:pt idx="0">
                  <c:v>支出</c:v>
                </c:pt>
              </c:strCache>
            </c:strRef>
          </c:tx>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0.00_ </c:formatCode>
                <c:ptCount val="2"/>
                <c:pt idx="0">
                  <c:v>141.68</c:v>
                </c:pt>
                <c:pt idx="1">
                  <c:v>145.126995</c:v>
                </c:pt>
              </c:numCache>
            </c:numRef>
          </c:val>
        </c:ser>
        <c:dLbls>
          <c:showLegendKey val="0"/>
          <c:showVal val="1"/>
          <c:showCatName val="0"/>
          <c:showSerName val="0"/>
          <c:showPercent val="0"/>
          <c:showBubbleSize val="0"/>
        </c:dLbls>
        <c:gapWidth val="246"/>
        <c:overlap val="-28"/>
        <c:axId val="261248036"/>
        <c:axId val="175748737"/>
      </c:barChart>
      <c:catAx>
        <c:axId val="2612480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5748737"/>
        <c:crosses val="autoZero"/>
        <c:auto val="1"/>
        <c:lblAlgn val="ctr"/>
        <c:lblOffset val="100"/>
        <c:noMultiLvlLbl val="0"/>
      </c:catAx>
      <c:valAx>
        <c:axId val="175748737"/>
        <c:scaling>
          <c:orientation val="minMax"/>
        </c:scaling>
        <c:delete val="0"/>
        <c:axPos val="l"/>
        <c:majorGridlines>
          <c:spPr>
            <a:ln w="9525" cap="flat" cmpd="sng" algn="ctr">
              <a:solidFill>
                <a:schemeClr val="lt1">
                  <a:lumMod val="902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2480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1e0f4e-364d-4523-9b3e-24326e003d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endParaRPr lang="en-US" altLang="zh-CN"/>
          </a:p>
        </c:rich>
      </c:tx>
      <c:layout/>
      <c:overlay val="0"/>
      <c:spPr>
        <a:noFill/>
        <a:ln>
          <a:noFill/>
        </a:ln>
        <a:effectLst/>
      </c:spPr>
    </c:title>
    <c:autoTitleDeleted val="0"/>
    <c:plotArea>
      <c:layout>
        <c:manualLayout>
          <c:layoutTarget val="inner"/>
          <c:xMode val="edge"/>
          <c:yMode val="edge"/>
          <c:x val="0.327344769267939"/>
          <c:y val="0.203625159371016"/>
          <c:w val="0.34772650398647"/>
          <c:h val="0.611661708457289"/>
        </c:manualLayout>
      </c:layout>
      <c:pieChart>
        <c:varyColors val="1"/>
        <c:ser>
          <c:idx val="0"/>
          <c:order val="0"/>
          <c:tx>
            <c:strRef>
              <c:f>Sheet1!$B$1</c:f>
              <c:strCache>
                <c:ptCount val="1"/>
                <c:pt idx="0">
                  <c:v>收入</c:v>
                </c:pt>
              </c:strCache>
            </c:strRef>
          </c:tx>
          <c:spPr>
            <a:effectLst>
              <a:outerShdw blurRad="76200" dist="25400" dir="2700000" algn="tl" rotWithShape="0">
                <a:schemeClr val="accent6">
                  <a:lumMod val="50000"/>
                  <a:alpha val="30000"/>
                </a:schemeClr>
              </a:outerShdw>
            </a:effectLst>
          </c:spPr>
          <c:explosion val="0"/>
          <c:dPt>
            <c:idx val="0"/>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Lbls>
            <c:dLbl>
              <c:idx val="0"/>
              <c:layout>
                <c:manualLayout>
                  <c:x val="-0.268180719980672"/>
                  <c:y val="-0.36974075648108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141.68</a:t>
                    </a:r>
                    <a:r>
                      <a:rPr altLang="en-US"/>
                      <a:t>万元</a:t>
                    </a:r>
                    <a:endParaRPr lang="en-US" altLang="zh-CN"/>
                  </a:p>
                  <a:p>
                    <a:pPr defTabSz="914400">
                      <a:defRPr lang="zh-CN" sz="1000" b="0" i="0" u="none" strike="noStrike" kern="1200" baseline="0">
                        <a:solidFill>
                          <a:schemeClr val="tx1">
                            <a:lumMod val="75000"/>
                            <a:lumOff val="25000"/>
                          </a:schemeClr>
                        </a:solidFill>
                        <a:latin typeface="+mn-lt"/>
                        <a:ea typeface="+mn-ea"/>
                        <a:cs typeface="+mn-cs"/>
                      </a:defRPr>
                    </a:pPr>
                    <a:r>
                      <a:rPr altLang="en-US"/>
                      <a:t>（</a:t>
                    </a:r>
                    <a:r>
                      <a:rPr lang="en-US" altLang="zh-CN"/>
                      <a:t>100%</a:t>
                    </a:r>
                    <a:r>
                      <a:rPr altLang="en-US"/>
                      <a:t>）</a:t>
                    </a:r>
                    <a:endParaRPr alt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0.00_ </c:formatCode>
                <c:ptCount val="1"/>
                <c:pt idx="0">
                  <c:v>141.68</c:v>
                </c:pt>
              </c:numCache>
            </c:numRef>
          </c:val>
        </c:ser>
        <c:ser>
          <c:idx val="1"/>
          <c:order val="1"/>
          <c:tx>
            <c:strRef>
              <c:f>Sheet1!$C$1</c:f>
              <c:strCache>
                <c:ptCount val="1"/>
                <c:pt idx="0">
                  <c:v>支出</c:v>
                </c:pt>
              </c:strCache>
            </c:strRef>
          </c:tx>
          <c:spPr>
            <a:effectLst>
              <a:outerShdw blurRad="76200" dist="25400" dir="2700000" algn="tl" rotWithShape="0">
                <a:schemeClr val="accent5">
                  <a:lumMod val="50000"/>
                  <a:alpha val="30000"/>
                </a:schemeClr>
              </a:outerShdw>
            </a:effectLst>
          </c:spPr>
          <c:explosion val="0"/>
          <c:dPt>
            <c:idx val="0"/>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5">
                    <a:lumMod val="50000"/>
                    <a:alpha val="30000"/>
                  </a:schemeClr>
                </a:outerShdw>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Sheet1!$C$2</c:f>
              <c:numCache>
                <c:formatCode>0.00_ </c:formatCode>
                <c:ptCount val="1"/>
                <c:pt idx="0">
                  <c:v>141.68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337581541435129"/>
          <c:y val="0.9058648533786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1e0f4e-364d-4523-9b3e-24326e003d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manualLayout>
          <c:layoutTarget val="inner"/>
          <c:xMode val="edge"/>
          <c:yMode val="edge"/>
          <c:x val="0.327344769267939"/>
          <c:y val="0.259511262218445"/>
          <c:w val="0.34772650398647"/>
          <c:h val="0.611661708457289"/>
        </c:manualLayout>
      </c:layout>
      <c:pieChart>
        <c:varyColors val="1"/>
        <c:ser>
          <c:idx val="0"/>
          <c:order val="0"/>
          <c:tx>
            <c:strRef>
              <c:f>Sheet1!$B$1</c:f>
              <c:strCache>
                <c:ptCount val="1"/>
                <c:pt idx="0">
                  <c:v>支出</c:v>
                </c:pt>
              </c:strCache>
            </c:strRef>
          </c:tx>
          <c:spPr/>
          <c:explosion val="0"/>
          <c:dPt>
            <c:idx val="0"/>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Pt>
            <c:idx val="1"/>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115.13</a:t>
                    </a:r>
                  </a:p>
                  <a:p>
                    <a:pPr defTabSz="914400">
                      <a:defRPr lang="zh-CN" sz="1000" b="0" i="0" u="none" strike="noStrike" kern="1200" baseline="0">
                        <a:solidFill>
                          <a:schemeClr val="tx1">
                            <a:lumMod val="75000"/>
                            <a:lumOff val="25000"/>
                          </a:schemeClr>
                        </a:solidFill>
                        <a:latin typeface="+mn-lt"/>
                        <a:ea typeface="+mn-ea"/>
                        <a:cs typeface="+mn-cs"/>
                      </a:defRPr>
                    </a:pPr>
                    <a:r>
                      <a:t>（</a:t>
                    </a:r>
                    <a:r>
                      <a:rPr lang="en-US" altLang="zh-CN"/>
                      <a:t>85.9%</a:t>
                    </a:r>
                    <a:r>
                      <a:t>）</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773133607151486"/>
                  <c:y val="0.07012324691882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30.00</a:t>
                    </a:r>
                  </a:p>
                  <a:p>
                    <a:pPr defTabSz="914400">
                      <a:defRPr lang="zh-CN" sz="1000" b="0" i="0" u="none" strike="noStrike" kern="1200" baseline="0">
                        <a:solidFill>
                          <a:schemeClr val="tx1">
                            <a:lumMod val="75000"/>
                            <a:lumOff val="25000"/>
                          </a:schemeClr>
                        </a:solidFill>
                        <a:latin typeface="+mn-lt"/>
                        <a:ea typeface="+mn-ea"/>
                        <a:cs typeface="+mn-cs"/>
                      </a:defRPr>
                    </a:pPr>
                    <a:r>
                      <a:t>（</a:t>
                    </a:r>
                    <a:r>
                      <a:rPr lang="en-US" altLang="zh-CN"/>
                      <a:t>14.1%</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0.00_ </c:formatCode>
                <c:ptCount val="2"/>
                <c:pt idx="0">
                  <c:v>121.68</c:v>
                </c:pt>
                <c:pt idx="1">
                  <c:v>20</c:v>
                </c:pt>
              </c:numCache>
            </c:numRef>
          </c:val>
        </c:ser>
        <c:ser>
          <c:idx val="1"/>
          <c:order val="1"/>
          <c:tx>
            <c:strRef>
              <c:f>Sheet1!$C$1</c:f>
              <c:strCache>
                <c:ptCount val="1"/>
                <c:pt idx="0">
                  <c:v>占比</c:v>
                </c:pt>
              </c:strCache>
            </c:strRef>
          </c:tx>
          <c:spPr/>
          <c:explosion val="0"/>
          <c:dPt>
            <c:idx val="0"/>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Pt>
            <c:idx val="1"/>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Sheet1!$C$2:$C$3</c:f>
              <c:numCache>
                <c:formatCode>0%</c:formatCode>
                <c:ptCount val="2"/>
                <c:pt idx="0">
                  <c:v>0.859</c:v>
                </c:pt>
                <c:pt idx="1">
                  <c:v>0.141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1e0f4e-364d-4523-9b3e-24326e003d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0.00_ </c:formatCode>
                <c:ptCount val="2"/>
                <c:pt idx="0">
                  <c:v>141.68</c:v>
                </c:pt>
                <c:pt idx="1">
                  <c:v>145.126995</c:v>
                </c:pt>
              </c:numCache>
            </c:numRef>
          </c:val>
        </c:ser>
        <c:ser>
          <c:idx val="1"/>
          <c:order val="1"/>
          <c:tx>
            <c:strRef>
              <c:f>Sheet1!$C$1</c:f>
              <c:strCache>
                <c:ptCount val="1"/>
                <c:pt idx="0">
                  <c:v>支出</c:v>
                </c:pt>
              </c:strCache>
            </c:strRef>
          </c:tx>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0.00_ </c:formatCode>
                <c:ptCount val="2"/>
                <c:pt idx="0">
                  <c:v>141.68</c:v>
                </c:pt>
                <c:pt idx="1">
                  <c:v>145.126995</c:v>
                </c:pt>
              </c:numCache>
            </c:numRef>
          </c:val>
        </c:ser>
        <c:dLbls>
          <c:showLegendKey val="0"/>
          <c:showVal val="1"/>
          <c:showCatName val="0"/>
          <c:showSerName val="0"/>
          <c:showPercent val="0"/>
          <c:showBubbleSize val="0"/>
        </c:dLbls>
        <c:gapWidth val="246"/>
        <c:overlap val="-28"/>
        <c:axId val="261248036"/>
        <c:axId val="175748737"/>
      </c:barChart>
      <c:catAx>
        <c:axId val="2612480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5748737"/>
        <c:crosses val="autoZero"/>
        <c:auto val="1"/>
        <c:lblAlgn val="ctr"/>
        <c:lblOffset val="100"/>
        <c:noMultiLvlLbl val="0"/>
      </c:catAx>
      <c:valAx>
        <c:axId val="175748737"/>
        <c:scaling>
          <c:orientation val="minMax"/>
        </c:scaling>
        <c:delete val="0"/>
        <c:axPos val="l"/>
        <c:majorGridlines>
          <c:spPr>
            <a:ln w="9525" cap="flat" cmpd="sng" algn="ctr">
              <a:solidFill>
                <a:schemeClr val="lt1">
                  <a:lumMod val="902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2480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1e0f4e-364d-4523-9b3e-24326e003d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barChart>
        <c:barDir val="col"/>
        <c:grouping val="clustered"/>
        <c:varyColors val="0"/>
        <c:ser>
          <c:idx val="1"/>
          <c:order val="0"/>
          <c:tx>
            <c:strRef>
              <c:f>Sheet1!$C$1</c:f>
              <c:strCache>
                <c:ptCount val="1"/>
                <c:pt idx="0">
                  <c:v>支出</c:v>
                </c:pt>
              </c:strCache>
            </c:strRef>
          </c:tx>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0.00_ </c:formatCode>
                <c:ptCount val="2"/>
                <c:pt idx="0">
                  <c:v>141.68</c:v>
                </c:pt>
                <c:pt idx="1">
                  <c:v>145.126995</c:v>
                </c:pt>
              </c:numCache>
            </c:numRef>
          </c:val>
        </c:ser>
        <c:dLbls>
          <c:showLegendKey val="0"/>
          <c:showVal val="1"/>
          <c:showCatName val="0"/>
          <c:showSerName val="0"/>
          <c:showPercent val="0"/>
          <c:showBubbleSize val="0"/>
        </c:dLbls>
        <c:gapWidth val="246"/>
        <c:overlap val="-28"/>
        <c:axId val="261248036"/>
        <c:axId val="175748737"/>
      </c:barChart>
      <c:catAx>
        <c:axId val="2612480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5748737"/>
        <c:crosses val="autoZero"/>
        <c:auto val="1"/>
        <c:lblAlgn val="ctr"/>
        <c:lblOffset val="100"/>
        <c:noMultiLvlLbl val="0"/>
      </c:catAx>
      <c:valAx>
        <c:axId val="175748737"/>
        <c:scaling>
          <c:orientation val="minMax"/>
        </c:scaling>
        <c:delete val="0"/>
        <c:axPos val="l"/>
        <c:majorGridlines>
          <c:spPr>
            <a:ln w="9525" cap="flat" cmpd="sng" algn="ctr">
              <a:solidFill>
                <a:schemeClr val="lt1">
                  <a:lumMod val="902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2480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1e0f4e-364d-4523-9b3e-24326e003d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manualLayout>
          <c:xMode val="edge"/>
          <c:yMode val="edge"/>
          <c:x val="0.20367238463397"/>
          <c:y val="0.0276243093922652"/>
        </c:manualLayout>
      </c:layout>
      <c:overlay val="0"/>
      <c:spPr>
        <a:noFill/>
        <a:ln>
          <a:noFill/>
        </a:ln>
        <a:effectLst/>
      </c:spPr>
    </c:title>
    <c:autoTitleDeleted val="0"/>
    <c:plotArea>
      <c:layout/>
      <c:pieChart>
        <c:varyColors val="1"/>
        <c:ser>
          <c:idx val="0"/>
          <c:order val="0"/>
          <c:tx>
            <c:strRef>
              <c:f>Sheet1!$B$1</c:f>
              <c:strCache>
                <c:ptCount val="1"/>
                <c:pt idx="0">
                  <c:v>收入</c:v>
                </c:pt>
              </c:strCache>
            </c:strRef>
          </c:tx>
          <c:spPr>
            <a:effectLst>
              <a:outerShdw blurRad="76200" dist="25400" dir="2700000" algn="tl" rotWithShape="0">
                <a:schemeClr val="accent6">
                  <a:lumMod val="50000"/>
                  <a:alpha val="30000"/>
                </a:schemeClr>
              </a:outerShdw>
            </a:effectLst>
          </c:spPr>
          <c:explosion val="0"/>
          <c:dPt>
            <c:idx val="0"/>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Pt>
            <c:idx val="1"/>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6">
                    <a:lumMod val="50000"/>
                    <a:alpha val="30000"/>
                  </a:schemeClr>
                </a:outerShdw>
              </a:effectLst>
            </c:spPr>
          </c:dPt>
          <c:dPt>
            <c:idx val="2"/>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6">
                    <a:lumMod val="50000"/>
                    <a:alpha val="30000"/>
                  </a:schemeClr>
                </a:outerShdw>
              </a:effectLst>
            </c:spPr>
          </c:dPt>
          <c:dPt>
            <c:idx val="3"/>
            <c:bubble3D val="0"/>
            <c:spPr>
              <a:gradFill>
                <a:gsLst>
                  <a:gs pos="0">
                    <a:schemeClr val="accent6">
                      <a:lumMod val="60000"/>
                      <a:lumMod val="40000"/>
                      <a:lumOff val="60000"/>
                    </a:schemeClr>
                  </a:gs>
                  <a:gs pos="90000">
                    <a:schemeClr val="accent6">
                      <a:lumMod val="60000"/>
                    </a:schemeClr>
                  </a:gs>
                </a:gsLst>
                <a:lin ang="5400000" scaled="0"/>
              </a:gradFill>
              <a:ln>
                <a:gradFill>
                  <a:gsLst>
                    <a:gs pos="0">
                      <a:schemeClr val="accent6">
                        <a:lumMod val="60000"/>
                      </a:schemeClr>
                    </a:gs>
                    <a:gs pos="100000">
                      <a:schemeClr val="accent6">
                        <a:lumMod val="60000"/>
                        <a:lumMod val="75000"/>
                      </a:schemeClr>
                    </a:gs>
                  </a:gsLst>
                  <a:lin ang="5400000" scaled="1"/>
                </a:gradFill>
              </a:ln>
              <a:effectLst>
                <a:outerShdw blurRad="76200" dist="25400" dir="2700000" algn="tl" rotWithShape="0">
                  <a:schemeClr val="accent6">
                    <a:lumMod val="50000"/>
                    <a:alpha val="30000"/>
                  </a:schemeClr>
                </a:outerShdw>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98.37</a:t>
                    </a:r>
                  </a:p>
                  <a:p>
                    <a:pPr defTabSz="914400">
                      <a:defRPr lang="zh-CN" sz="1000" b="0" i="0" u="none" strike="noStrike" kern="1200" baseline="0">
                        <a:solidFill>
                          <a:schemeClr val="tx1">
                            <a:lumMod val="75000"/>
                            <a:lumOff val="25000"/>
                          </a:schemeClr>
                        </a:solidFill>
                        <a:latin typeface="+mn-lt"/>
                        <a:ea typeface="+mn-ea"/>
                        <a:cs typeface="+mn-cs"/>
                      </a:defRPr>
                    </a:pPr>
                    <a:r>
                      <a:t>（</a:t>
                    </a:r>
                    <a:r>
                      <a:rPr lang="en-US" altLang="zh-CN"/>
                      <a:t>66.8%</a:t>
                    </a:r>
                    <a:r>
                      <a:t>）</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33.21</a:t>
                    </a:r>
                  </a:p>
                  <a:p>
                    <a:pPr defTabSz="914400">
                      <a:defRPr lang="zh-CN" sz="1000" b="0" i="0" u="none" strike="noStrike" kern="1200" baseline="0">
                        <a:solidFill>
                          <a:schemeClr val="tx1">
                            <a:lumMod val="75000"/>
                            <a:lumOff val="25000"/>
                          </a:schemeClr>
                        </a:solidFill>
                        <a:latin typeface="+mn-lt"/>
                        <a:ea typeface="+mn-ea"/>
                        <a:cs typeface="+mn-cs"/>
                      </a:defRPr>
                    </a:pPr>
                    <a:r>
                      <a:t>（</a:t>
                    </a:r>
                    <a:r>
                      <a:rPr lang="en-US" altLang="zh-CN"/>
                      <a:t>23.2%</a:t>
                    </a:r>
                    <a:r>
                      <a:t>）</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7.03（</a:t>
                    </a:r>
                    <a:r>
                      <a:rPr lang="en-US" altLang="zh-CN"/>
                      <a:t>4.84%</a:t>
                    </a:r>
                    <a:r>
                      <a:t>）</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0.0157042763952646"/>
                  <c:y val="-0.012749681257968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6.52（</a:t>
                    </a:r>
                    <a:r>
                      <a:rPr lang="en-US" altLang="zh-CN"/>
                      <a:t>4.8%</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社会与保障和就业支出</c:v>
                </c:pt>
                <c:pt idx="2">
                  <c:v>卫生健康支出</c:v>
                </c:pt>
                <c:pt idx="3">
                  <c:v>住房保障支出</c:v>
                </c:pt>
              </c:strCache>
            </c:strRef>
          </c:cat>
          <c:val>
            <c:numRef>
              <c:f>Sheet1!$B$2:$B$5</c:f>
              <c:numCache>
                <c:formatCode>0.00_ </c:formatCode>
                <c:ptCount val="4"/>
                <c:pt idx="0">
                  <c:v>94.64</c:v>
                </c:pt>
                <c:pt idx="1">
                  <c:v>32.84</c:v>
                </c:pt>
                <c:pt idx="2" c:formatCode="General">
                  <c:v>7.37</c:v>
                </c:pt>
                <c:pt idx="3" c:formatCode="General">
                  <c:v>6.83</c:v>
                </c:pt>
              </c:numCache>
            </c:numRef>
          </c:val>
        </c:ser>
        <c:ser>
          <c:idx val="1"/>
          <c:order val="1"/>
          <c:tx>
            <c:strRef>
              <c:f>Sheet1!$C$1</c:f>
              <c:strCache>
                <c:ptCount val="1"/>
                <c:pt idx="0">
                  <c:v>支出</c:v>
                </c:pt>
              </c:strCache>
            </c:strRef>
          </c:tx>
          <c:spPr>
            <a:effectLst>
              <a:outerShdw blurRad="76200" dist="25400" dir="2700000" algn="tl" rotWithShape="0">
                <a:schemeClr val="accent5">
                  <a:lumMod val="50000"/>
                  <a:alpha val="30000"/>
                </a:schemeClr>
              </a:outerShdw>
            </a:effectLst>
          </c:spPr>
          <c:explosion val="0"/>
          <c:dPt>
            <c:idx val="0"/>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5">
                    <a:lumMod val="50000"/>
                    <a:alpha val="30000"/>
                  </a:schemeClr>
                </a:outerShdw>
              </a:effectLst>
            </c:spPr>
          </c:dPt>
          <c:dPt>
            <c:idx val="1"/>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dPt>
          <c:dPt>
            <c:idx val="2"/>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5">
                    <a:lumMod val="50000"/>
                    <a:alpha val="30000"/>
                  </a:schemeClr>
                </a:outerShdw>
              </a:effectLst>
            </c:spPr>
          </c:dPt>
          <c:dPt>
            <c:idx val="3"/>
            <c:bubble3D val="0"/>
            <c:spPr>
              <a:gradFill>
                <a:gsLst>
                  <a:gs pos="0">
                    <a:schemeClr val="accent6">
                      <a:lumMod val="60000"/>
                      <a:lumMod val="40000"/>
                      <a:lumOff val="60000"/>
                    </a:schemeClr>
                  </a:gs>
                  <a:gs pos="90000">
                    <a:schemeClr val="accent6">
                      <a:lumMod val="60000"/>
                    </a:schemeClr>
                  </a:gs>
                </a:gsLst>
                <a:lin ang="5400000" scaled="0"/>
              </a:gradFill>
              <a:ln>
                <a:gradFill>
                  <a:gsLst>
                    <a:gs pos="0">
                      <a:schemeClr val="accent6">
                        <a:lumMod val="60000"/>
                      </a:schemeClr>
                    </a:gs>
                    <a:gs pos="100000">
                      <a:schemeClr val="accent6">
                        <a:lumMod val="60000"/>
                        <a:lumMod val="75000"/>
                      </a:schemeClr>
                    </a:gs>
                  </a:gsLst>
                  <a:lin ang="5400000" scaled="1"/>
                </a:gradFill>
              </a:ln>
              <a:effectLst>
                <a:outerShdw blurRad="76200" dist="25400" dir="2700000" algn="tl" rotWithShape="0">
                  <a:schemeClr val="accent5">
                    <a:lumMod val="50000"/>
                    <a:alpha val="30000"/>
                  </a:schemeClr>
                </a:outerShdw>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社会与保障和就业支出</c:v>
                </c:pt>
                <c:pt idx="2">
                  <c:v>卫生健康支出</c:v>
                </c:pt>
                <c:pt idx="3">
                  <c:v>住房保障支出</c:v>
                </c:pt>
              </c:strCache>
            </c:strRef>
          </c:cat>
          <c:val>
            <c:numRef>
              <c:f>Sheet1!$C$2:$C$5</c:f>
              <c:numCache>
                <c:formatCode>0.00_ </c:formatCode>
                <c:ptCount val="4"/>
                <c:pt idx="0">
                  <c:v>145.126995</c:v>
                </c:pt>
                <c:pt idx="1">
                  <c:v>161.426772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1e0f4e-364d-4523-9b3e-24326e003d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a:t>
            </a:r>
            <a:r>
              <a:rPr altLang="en-US"/>
              <a:t>三公</a:t>
            </a:r>
            <a:r>
              <a:rPr lang="en-US" altLang="zh-CN"/>
              <a:t>”</a:t>
            </a:r>
            <a:r>
              <a:rPr altLang="en-US"/>
              <a:t>经费财政拨款支出</a:t>
            </a:r>
            <a:r>
              <a:t>结构图</a:t>
            </a:r>
          </a:p>
        </c:rich>
      </c:tx>
      <c:layout>
        <c:manualLayout>
          <c:xMode val="edge"/>
          <c:yMode val="edge"/>
          <c:x val="0.229040831118628"/>
          <c:y val="0.0276243093922652"/>
        </c:manualLayout>
      </c:layout>
      <c:overlay val="0"/>
      <c:spPr>
        <a:noFill/>
        <a:ln>
          <a:noFill/>
        </a:ln>
        <a:effectLst/>
      </c:spPr>
    </c:title>
    <c:autoTitleDeleted val="0"/>
    <c:plotArea>
      <c:layout/>
      <c:pieChart>
        <c:varyColors val="1"/>
        <c:ser>
          <c:idx val="0"/>
          <c:order val="0"/>
          <c:tx>
            <c:strRef>
              <c:f>Sheet1!$B$1</c:f>
              <c:strCache>
                <c:ptCount val="1"/>
                <c:pt idx="0">
                  <c:v/>
                </c:pt>
              </c:strCache>
            </c:strRef>
          </c:tx>
          <c:spPr>
            <a:gradFill>
              <a:gsLst>
                <a:gs pos="59000">
                  <a:srgbClr val="FAB67E">
                    <a:alpha val="100000"/>
                  </a:srgbClr>
                </a:gs>
                <a:gs pos="0">
                  <a:schemeClr val="accent6">
                    <a:lumMod val="40000"/>
                    <a:lumOff val="60000"/>
                  </a:schemeClr>
                </a:gs>
                <a:gs pos="90000">
                  <a:schemeClr val="accent6"/>
                </a:gs>
              </a:gsLst>
              <a:lin ang="5400000" scaled="0"/>
            </a:gradFill>
            <a:effectLst>
              <a:outerShdw blurRad="76200" dist="25400" dir="2700000" algn="tl" rotWithShape="0">
                <a:schemeClr val="accent6">
                  <a:lumMod val="50000"/>
                  <a:alpha val="30000"/>
                </a:schemeClr>
              </a:outerShdw>
            </a:effectLst>
          </c:spPr>
          <c:explosion val="0"/>
          <c:dPt>
            <c:idx val="0"/>
            <c:bubble3D val="0"/>
            <c:spPr>
              <a:gradFill>
                <a:gsLst>
                  <a:gs pos="59000">
                    <a:srgbClr val="FAB67E">
                      <a:alpha val="100000"/>
                    </a:srgbClr>
                  </a:gs>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Lbls>
            <c:dLbl>
              <c:idx val="0"/>
              <c:layout>
                <c:manualLayout>
                  <c:x val="0.228316018361923"/>
                  <c:y val="-0.3676158096047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3.4</a:t>
                    </a:r>
                    <a:endParaRPr lang="en-US" altLang="zh-CN"/>
                  </a:p>
                  <a:p>
                    <a:pPr defTabSz="914400">
                      <a:defRPr lang="zh-CN" sz="1000" b="0" i="0" u="none" strike="noStrike" kern="1200" baseline="0">
                        <a:solidFill>
                          <a:schemeClr val="tx1">
                            <a:lumMod val="75000"/>
                            <a:lumOff val="25000"/>
                          </a:schemeClr>
                        </a:solidFill>
                        <a:latin typeface="+mn-lt"/>
                        <a:ea typeface="+mn-ea"/>
                        <a:cs typeface="+mn-cs"/>
                      </a:defRPr>
                    </a:pPr>
                    <a:r>
                      <a:t>（</a:t>
                    </a:r>
                    <a:r>
                      <a:rPr lang="en-US" altLang="zh-CN"/>
                      <a:t>100%</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公务用车购置及运行维护费支出</c:v>
                </c:pt>
              </c:strCache>
            </c:strRef>
          </c:cat>
          <c:val>
            <c:numRef>
              <c:f>Sheet1!$B$2</c:f>
              <c:numCache>
                <c:formatCode>0.00_ </c:formatCode>
                <c:ptCount val="1"/>
                <c:pt idx="0">
                  <c:v>3.4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1e0f4e-364d-4523-9b3e-24326e003d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1334</Words>
  <Characters>7606</Characters>
  <Lines>63</Lines>
  <Paragraphs>17</Paragraphs>
  <TotalTime>3</TotalTime>
  <ScaleCrop>false</ScaleCrop>
  <LinksUpToDate>false</LinksUpToDate>
  <CharactersWithSpaces>8923</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自已</cp:lastModifiedBy>
  <cp:lastPrinted>2026-08-27T00:27:00Z</cp:lastPrinted>
  <dcterms:modified xsi:type="dcterms:W3CDTF">2026-09-04T02:22:32Z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EBD2412068A14D70B51D68D616A2995A_13</vt:lpwstr>
  </property>
</Properties>
</file>