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
        <w:rPr>
          <w:rFonts w:hint="eastAsia" w:ascii="Times New Roman" w:eastAsia="方正小标宋简体"/>
          <w:kern w:val="2"/>
          <w:sz w:val="72"/>
          <w:szCs w:val="72"/>
        </w:rPr>
      </w:pPr>
      <w:bookmarkStart w:id="0" w:name="_Toc15396475"/>
      <w:bookmarkStart w:id="1" w:name="_Toc15377193"/>
      <w:bookmarkStart w:id="2" w:name="_Toc15396597"/>
      <w:bookmarkStart w:id="3" w:name="_Toc15378441"/>
      <w:bookmarkStart w:id="4" w:name="_Toc15377425"/>
      <w:bookmarkStart w:id="5" w:name="_Toc15306267"/>
    </w:p>
    <w:p>
      <w:pPr>
        <w:pStyle w:val="2"/>
        <w:spacing w:before="93"/>
        <w:rPr>
          <w:rFonts w:ascii="Times New Roman" w:eastAsia="方正小标宋简体"/>
          <w:kern w:val="2"/>
          <w:sz w:val="72"/>
          <w:szCs w:val="72"/>
        </w:rPr>
      </w:pPr>
    </w:p>
    <w:p>
      <w:pPr>
        <w:pStyle w:val="2"/>
        <w:spacing w:before="93"/>
        <w:rPr>
          <w:rFonts w:hint="eastAsia" w:ascii="Times New Roman" w:eastAsia="方正小标宋简体"/>
          <w:kern w:val="2"/>
          <w:sz w:val="72"/>
          <w:szCs w:val="72"/>
        </w:rPr>
      </w:pP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2025年度市级单位决算</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bookmarkEnd w:id="0"/>
    <w:bookmarkEnd w:id="1"/>
    <w:bookmarkEnd w:id="2"/>
    <w:bookmarkEnd w:id="3"/>
    <w:bookmarkEnd w:id="4"/>
    <w:p>
      <w:pPr>
        <w:pStyle w:val="2"/>
        <w:spacing w:before="93"/>
        <w:jc w:val="center"/>
        <w:rPr>
          <w:rFonts w:ascii="Times New Roman" w:eastAsia="方正小标宋简体"/>
          <w:kern w:val="2"/>
          <w:sz w:val="44"/>
          <w:szCs w:val="44"/>
        </w:rPr>
      </w:pPr>
      <w:bookmarkStart w:id="6" w:name="_Toc15378442"/>
      <w:bookmarkStart w:id="7" w:name="_Toc15396598"/>
      <w:bookmarkStart w:id="8" w:name="_Toc15377426"/>
      <w:bookmarkStart w:id="9" w:name="_Toc15377194"/>
      <w:bookmarkStart w:id="10" w:name="_Toc15396476"/>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eastAsia="zh-CN"/>
        </w:rPr>
        <w:t>地方志编纂中心</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w:t>
      </w:r>
      <w:r>
        <w:rPr>
          <w:rFonts w:hint="default" w:ascii="Times New Roman" w:hAnsi="Times New Roman" w:eastAsia="仿宋_GB2312" w:cs="仿宋_GB2312"/>
          <w:sz w:val="32"/>
          <w:szCs w:val="32"/>
          <w:lang w:val="en" w:eastAsia="zh-CN"/>
        </w:rPr>
        <w:t>5</w:t>
      </w:r>
      <w:bookmarkStart w:id="12" w:name="_GoBack"/>
      <w:bookmarkEnd w:id="12"/>
      <w:r>
        <w:rPr>
          <w:rFonts w:hint="eastAsia" w:ascii="Times New Roman" w:hAnsi="Times New Roman" w:eastAsia="仿宋_GB2312" w:cs="仿宋_GB2312"/>
          <w:sz w:val="32"/>
          <w:szCs w:val="32"/>
        </w:rPr>
        <w:t xml:space="preserve"> 日</w:t>
      </w:r>
    </w:p>
    <w:p/>
    <w:p>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r>
        <w:rPr>
          <w:rFonts w:hint="eastAsia" w:ascii="Times New Roman" w:hAnsi="Times New Roman" w:eastAsia="黑体" w:cs="黑体"/>
          <w:kern w:val="2"/>
          <w:sz w:val="32"/>
          <w:szCs w:val="32"/>
          <w:lang w:val="en-US" w:eastAsia="zh-CN" w:bidi="ar-SA"/>
        </w:rPr>
        <w:tab/>
      </w:r>
      <w:r>
        <w:rPr>
          <w:rFonts w:hint="eastAsia" w:ascii="Times New Roman" w:hAnsi="Times New Roman" w:eastAsia="黑体" w:cs="黑体"/>
          <w:kern w:val="2"/>
          <w:sz w:val="32"/>
          <w:szCs w:val="32"/>
          <w:lang w:val="en-US" w:eastAsia="zh-CN" w:bidi="ar-SA"/>
        </w:rPr>
        <w:t>5</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5</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5</w:t>
      </w:r>
    </w:p>
    <w:p>
      <w:pPr>
        <w:pStyle w:val="14"/>
        <w:adjustRightInd w:val="0"/>
        <w:snapToGrid w:val="0"/>
        <w:spacing w:line="560" w:lineRule="exact"/>
        <w:ind w:left="0" w:leftChars="0" w:firstLine="0" w:firstLineChars="0"/>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6</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6</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6</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8</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13</w:t>
      </w:r>
    </w:p>
    <w:p>
      <w:pPr>
        <w:pStyle w:val="14"/>
        <w:adjustRightInd w:val="0"/>
        <w:snapToGrid w:val="0"/>
        <w:spacing w:line="560" w:lineRule="exact"/>
        <w:ind w:left="0" w:leftChars="0" w:firstLine="0" w:firstLineChars="0"/>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14</w:t>
      </w:r>
    </w:p>
    <w:p>
      <w:pPr>
        <w:pStyle w:val="14"/>
        <w:adjustRightInd w:val="0"/>
        <w:snapToGrid w:val="0"/>
        <w:spacing w:line="560" w:lineRule="exact"/>
        <w:ind w:left="0" w:leftChars="0" w:firstLine="0" w:firstLineChars="0"/>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1</w:t>
      </w:r>
      <w:r>
        <w:rPr>
          <w:rFonts w:hint="eastAsia" w:eastAsia="仿宋_GB2312" w:cs="仿宋_GB2312"/>
          <w:kern w:val="2"/>
          <w:sz w:val="32"/>
          <w:szCs w:val="32"/>
          <w:lang w:val="en-US" w:eastAsia="zh-CN" w:bidi="ar-SA"/>
        </w:rPr>
        <w:t>8</w:t>
      </w:r>
    </w:p>
    <w:p>
      <w:pPr>
        <w:pStyle w:val="14"/>
        <w:adjustRightInd w:val="0"/>
        <w:snapToGrid w:val="0"/>
        <w:spacing w:line="560" w:lineRule="exact"/>
        <w:ind w:left="0" w:leftChars="0" w:firstLine="0" w:firstLineChars="0"/>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eastAsia="仿宋_GB2312" w:cs="仿宋_GB2312"/>
          <w:sz w:val="32"/>
          <w:szCs w:val="32"/>
        </w:rPr>
      </w:pP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十三、财政拨款“三公”经费支出决算表</w:t>
      </w:r>
      <w:r>
        <w:rPr>
          <w:rFonts w:hint="eastAsia" w:ascii="Times New Roman" w:hAnsi="Times New Roman" w:eastAsia="仿宋_GB2312" w:cs="仿宋_GB2312"/>
          <w:kern w:val="2"/>
          <w:sz w:val="32"/>
          <w:szCs w:val="32"/>
          <w:lang w:val="en-US" w:eastAsia="zh-CN" w:bidi="ar-SA"/>
        </w:rPr>
        <w:tab/>
      </w:r>
      <w:r>
        <w:rPr>
          <w:rFonts w:hint="eastAsia" w:eastAsia="仿宋_GB2312" w:cs="仿宋_GB2312"/>
          <w:kern w:val="2"/>
          <w:sz w:val="32"/>
          <w:szCs w:val="32"/>
          <w:lang w:val="en-US" w:eastAsia="zh-CN" w:bidi="ar-SA"/>
        </w:rPr>
        <w:t>19</w:t>
      </w:r>
    </w:p>
    <w:p>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lang w:eastAsia="zh-CN"/>
        </w:rPr>
        <w:t>单位</w:t>
      </w:r>
      <w:r>
        <w:rPr>
          <w:rStyle w:val="28"/>
          <w:rFonts w:hint="eastAsia" w:eastAsia="方正小标宋简体" w:cs="方正小标宋简体"/>
          <w:b w:val="0"/>
          <w:bCs w:val="0"/>
        </w:rPr>
        <w:t>概况</w:t>
      </w:r>
    </w:p>
    <w:p>
      <w:pPr>
        <w:widowControl/>
        <w:jc w:val="left"/>
        <w:rPr>
          <w:rFonts w:eastAsia="黑体"/>
          <w:sz w:val="32"/>
          <w:szCs w:val="32"/>
        </w:rPr>
      </w:pPr>
    </w:p>
    <w:p>
      <w:pPr>
        <w:pStyle w:val="4"/>
        <w:numPr>
          <w:ilvl w:val="0"/>
          <w:numId w:val="1"/>
        </w:numPr>
        <w:rPr>
          <w:rFonts w:hint="eastAsia" w:ascii="Times New Roman" w:hAnsi="Times New Roman" w:eastAsia="黑体"/>
          <w:b w:val="0"/>
        </w:rPr>
      </w:pPr>
      <w:r>
        <w:rPr>
          <w:rFonts w:hint="eastAsia" w:ascii="Times New Roman" w:hAnsi="Times New Roman" w:eastAsia="黑体"/>
          <w:b w:val="0"/>
          <w:lang w:eastAsia="zh-CN"/>
        </w:rPr>
        <w:t>单位</w:t>
      </w:r>
      <w:r>
        <w:rPr>
          <w:rFonts w:hint="eastAsia" w:ascii="Times New Roman" w:hAnsi="Times New Roman" w:eastAsia="黑体"/>
          <w:b w:val="0"/>
        </w:rPr>
        <w:t>职责</w:t>
      </w:r>
    </w:p>
    <w:p>
      <w:pPr>
        <w:ind w:firstLine="640" w:firstLineChars="20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主要负责编修地方志、年鉴。负责组织编辑、出版、发行《攀枝花市志》《攀枝花年鉴》；负责指导、督促县区志、部门志、专业志的编修，并审查验收；负责组织编辑、出版、发行《攀枝花史志》杂志。</w:t>
      </w:r>
    </w:p>
    <w:p>
      <w:pPr>
        <w:numPr>
          <w:ilvl w:val="0"/>
          <w:numId w:val="0"/>
        </w:numPr>
        <w:rPr>
          <w:rFonts w:hint="eastAsia" w:eastAsia="宋体"/>
          <w:lang w:val="en-US" w:eastAsia="zh-CN"/>
        </w:rPr>
      </w:pPr>
    </w:p>
    <w:p>
      <w:pPr>
        <w:pStyle w:val="4"/>
        <w:rPr>
          <w:rStyle w:val="29"/>
          <w:rFonts w:ascii="Times New Roman" w:hAnsi="Times New Roman"/>
          <w:b w:val="0"/>
          <w:bCs w:val="0"/>
        </w:rPr>
      </w:pPr>
      <w:r>
        <w:rPr>
          <w:rFonts w:hint="eastAsia" w:ascii="Times New Roman" w:hAnsi="Times New Roman" w:eastAsia="黑体"/>
          <w:b w:val="0"/>
        </w:rPr>
        <w:t>二、机</w:t>
      </w:r>
      <w:r>
        <w:rPr>
          <w:rStyle w:val="29"/>
          <w:rFonts w:hint="eastAsia" w:ascii="Times New Roman" w:hAnsi="Times New Roman" w:eastAsia="黑体"/>
          <w:b w:val="0"/>
          <w:bCs w:val="0"/>
        </w:rPr>
        <w:t>构设置</w:t>
      </w:r>
    </w:p>
    <w:p>
      <w:pPr>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攀枝花市地方志编纂中心为攀枝花市政府办下属二级预算单位，无下属单位。本中心为参照公务员法管理事业单位，独立编制机构数1个；独立核算机构数1个，本年度无变化。</w:t>
      </w:r>
    </w:p>
    <w:p>
      <w:pPr>
        <w:widowControl/>
        <w:jc w:val="left"/>
        <w:rPr>
          <w:rFonts w:eastAsia="仿宋"/>
          <w:kern w:val="0"/>
          <w:sz w:val="32"/>
          <w:szCs w:val="32"/>
        </w:rPr>
      </w:pPr>
      <w:r>
        <w:rPr>
          <w:rFonts w:eastAsia="仿宋"/>
          <w:sz w:val="32"/>
          <w:szCs w:val="32"/>
        </w:rPr>
        <w:br w:type="page"/>
      </w:r>
    </w:p>
    <w:p>
      <w:pPr>
        <w:pStyle w:val="3"/>
        <w:jc w:val="center"/>
        <w:rPr>
          <w:rFonts w:eastAsia="方正小标宋简体" w:cs="方正小标宋简体"/>
          <w:b w:val="0"/>
        </w:rPr>
      </w:pPr>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p>
    <w:p/>
    <w:p>
      <w:pPr>
        <w:pStyle w:val="27"/>
        <w:spacing w:line="600" w:lineRule="exact"/>
        <w:ind w:firstLine="640"/>
        <w:outlineLvl w:val="1"/>
        <w:rPr>
          <w:rStyle w:val="29"/>
          <w:rFonts w:ascii="Times New Roman" w:hAnsi="Times New Roman" w:eastAsia="黑体"/>
          <w:b w:val="0"/>
        </w:rPr>
      </w:pPr>
      <w:r>
        <w:rPr>
          <w:rFonts w:hint="eastAsia" w:eastAsia="黑体"/>
          <w:sz w:val="32"/>
          <w:szCs w:val="32"/>
        </w:rPr>
        <w:t>一、收</w:t>
      </w:r>
      <w:r>
        <w:rPr>
          <w:rStyle w:val="29"/>
          <w:rFonts w:hint="eastAsia" w:ascii="Times New Roman" w:hAnsi="Times New Roman" w:eastAsia="黑体"/>
          <w:b w:val="0"/>
        </w:rPr>
        <w:t>入支出决算总体情况说明</w:t>
      </w:r>
    </w:p>
    <w:p>
      <w:pPr>
        <w:widowControl w:val="0"/>
        <w:ind w:firstLine="640" w:firstLineChars="200"/>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2025年度收入、支出总计均为271.02万元。与上年度相比，收入、支出总计各减少17.21万元，下降5.9%。主要变动原因是本年度项目经费支出减少。</w:t>
      </w:r>
    </w:p>
    <w:p>
      <w:pPr>
        <w:widowControl w:val="0"/>
        <w:ind w:firstLine="420" w:firstLineChars="200"/>
        <w:jc w:val="both"/>
        <w:rPr>
          <w:rFonts w:hint="eastAsia" w:eastAsia="仿宋_GB2312" w:cs="仿宋_GB2312"/>
          <w:color w:val="auto"/>
          <w:sz w:val="32"/>
          <w:szCs w:val="32"/>
          <w:highlight w:val="none"/>
          <w:lang w:eastAsia="zh-CN"/>
        </w:rPr>
      </w:pPr>
      <w:r>
        <w:drawing>
          <wp:inline distT="0" distB="0" distL="114300" distR="114300">
            <wp:extent cx="4572000" cy="3086100"/>
            <wp:effectExtent l="4445" t="4445" r="14605" b="1460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pPr>
        <w:ind w:firstLine="640" w:firstLineChars="200"/>
        <w:rPr>
          <w:rFonts w:eastAsia="仿宋_GB2312" w:cs="仿宋_GB2312"/>
          <w:sz w:val="32"/>
          <w:szCs w:val="32"/>
        </w:rPr>
      </w:pPr>
    </w:p>
    <w:p>
      <w:pPr>
        <w:pStyle w:val="27"/>
        <w:spacing w:line="600" w:lineRule="exact"/>
        <w:ind w:firstLine="640"/>
        <w:outlineLvl w:val="1"/>
        <w:rPr>
          <w:rFonts w:eastAsia="黑体"/>
          <w:sz w:val="32"/>
          <w:szCs w:val="32"/>
        </w:rPr>
      </w:pPr>
      <w:r>
        <w:rPr>
          <w:rFonts w:hint="eastAsia" w:eastAsia="黑体"/>
          <w:sz w:val="32"/>
          <w:szCs w:val="32"/>
        </w:rPr>
        <w:t>二、收入决算情况说明</w:t>
      </w:r>
    </w:p>
    <w:p>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2025年度本年收入合计</w:t>
      </w:r>
      <w:r>
        <w:rPr>
          <w:rFonts w:hint="eastAsia" w:eastAsia="仿宋_GB2312" w:cs="仿宋_GB2312"/>
          <w:sz w:val="32"/>
          <w:szCs w:val="32"/>
          <w:lang w:val="en-US" w:eastAsia="zh-CN"/>
        </w:rPr>
        <w:t>271.02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271.02</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pStyle w:val="27"/>
        <w:spacing w:after="120" w:line="360" w:lineRule="auto"/>
        <w:ind w:firstLine="640"/>
        <w:jc w:val="both"/>
        <w:outlineLvl w:val="1"/>
        <w:rPr>
          <w:rFonts w:hint="eastAsia" w:eastAsia="宋体" w:cs="仿宋_GB2312"/>
          <w:b w:val="0"/>
          <w:i w:val="0"/>
          <w:strike w:val="0"/>
          <w:color w:val="auto"/>
          <w:sz w:val="24"/>
          <w:szCs w:val="32"/>
          <w:u w:val="none"/>
          <w:lang w:eastAsia="zh-CN"/>
        </w:rPr>
      </w:pPr>
      <w:r>
        <w:rPr>
          <w:rFonts w:eastAsia="宋体"/>
          <w:b w:val="0"/>
          <w:i w:val="0"/>
          <w:strike w:val="0"/>
          <w:color w:val="auto"/>
          <w:sz w:val="24"/>
          <w:u w:val="none"/>
        </w:rP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widowControl w:val="0"/>
        <w:spacing w:line="600" w:lineRule="exact"/>
        <w:ind w:firstLine="640" w:firstLineChars="200"/>
        <w:jc w:val="both"/>
        <w:outlineLvl w:val="1"/>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（图2：收入决算结构图）（饼状图）</w:t>
      </w:r>
    </w:p>
    <w:p>
      <w:pPr>
        <w:ind w:firstLine="800" w:firstLineChars="250"/>
        <w:rPr>
          <w:rFonts w:eastAsia="仿宋_GB2312" w:cs="仿宋_GB2312"/>
          <w:sz w:val="32"/>
          <w:szCs w:val="32"/>
        </w:rPr>
      </w:pPr>
    </w:p>
    <w:p>
      <w:pPr>
        <w:pStyle w:val="27"/>
        <w:spacing w:line="600" w:lineRule="exact"/>
        <w:ind w:firstLine="640"/>
        <w:outlineLvl w:val="1"/>
        <w:rPr>
          <w:rStyle w:val="29"/>
          <w:rFonts w:ascii="Times New Roman" w:hAnsi="Times New Roman" w:eastAsia="黑体"/>
          <w:b w:val="0"/>
        </w:rPr>
      </w:pPr>
      <w:r>
        <w:rPr>
          <w:rFonts w:hint="eastAsia" w:eastAsia="黑体"/>
          <w:sz w:val="32"/>
          <w:szCs w:val="32"/>
        </w:rPr>
        <w:t>三、支</w:t>
      </w:r>
      <w:r>
        <w:rPr>
          <w:rStyle w:val="29"/>
          <w:rFonts w:hint="eastAsia" w:ascii="Times New Roman" w:hAnsi="Times New Roman" w:eastAsia="黑体"/>
          <w:b w:val="0"/>
        </w:rPr>
        <w:t>出决算情况说明</w:t>
      </w:r>
    </w:p>
    <w:p>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271.02</w:t>
      </w:r>
      <w:r>
        <w:rPr>
          <w:rFonts w:hint="eastAsia" w:eastAsia="仿宋_GB2312" w:cs="仿宋_GB2312"/>
          <w:sz w:val="32"/>
          <w:szCs w:val="32"/>
        </w:rPr>
        <w:t>万元，其中：基本支出</w:t>
      </w:r>
      <w:r>
        <w:rPr>
          <w:rFonts w:hint="eastAsia" w:eastAsia="仿宋_GB2312" w:cs="仿宋_GB2312"/>
          <w:sz w:val="32"/>
          <w:szCs w:val="32"/>
          <w:lang w:val="en-US" w:eastAsia="zh-CN"/>
        </w:rPr>
        <w:t>266.98</w:t>
      </w:r>
      <w:r>
        <w:rPr>
          <w:rFonts w:hint="eastAsia" w:eastAsia="仿宋_GB2312" w:cs="仿宋_GB2312"/>
          <w:sz w:val="32"/>
          <w:szCs w:val="32"/>
        </w:rPr>
        <w:t>万元，占</w:t>
      </w:r>
      <w:r>
        <w:rPr>
          <w:rFonts w:hint="eastAsia" w:eastAsia="仿宋_GB2312" w:cs="仿宋_GB2312"/>
          <w:sz w:val="32"/>
          <w:szCs w:val="32"/>
          <w:lang w:val="en-US" w:eastAsia="zh-CN"/>
        </w:rPr>
        <w:t>98.5</w:t>
      </w:r>
      <w:r>
        <w:rPr>
          <w:rFonts w:hint="eastAsia" w:eastAsia="仿宋_GB2312" w:cs="仿宋_GB2312"/>
          <w:sz w:val="32"/>
          <w:szCs w:val="32"/>
        </w:rPr>
        <w:t>%；项目支出</w:t>
      </w:r>
      <w:r>
        <w:rPr>
          <w:rFonts w:hint="eastAsia" w:eastAsia="仿宋_GB2312" w:cs="仿宋_GB2312"/>
          <w:sz w:val="32"/>
          <w:szCs w:val="32"/>
          <w:lang w:val="en-US" w:eastAsia="zh-CN"/>
        </w:rPr>
        <w:t>4.04</w:t>
      </w:r>
      <w:r>
        <w:rPr>
          <w:rFonts w:hint="eastAsia" w:eastAsia="仿宋_GB2312" w:cs="仿宋_GB2312"/>
          <w:sz w:val="32"/>
          <w:szCs w:val="32"/>
        </w:rPr>
        <w:t>万元，占</w:t>
      </w:r>
      <w:r>
        <w:rPr>
          <w:rFonts w:hint="eastAsia" w:eastAsia="仿宋_GB2312" w:cs="仿宋_GB2312"/>
          <w:sz w:val="32"/>
          <w:szCs w:val="32"/>
          <w:lang w:val="en-US" w:eastAsia="zh-CN"/>
        </w:rPr>
        <w:t>1.5</w:t>
      </w:r>
      <w:r>
        <w:rPr>
          <w:rFonts w:hint="eastAsia" w:eastAsia="仿宋_GB2312" w:cs="仿宋_GB2312"/>
          <w:sz w:val="32"/>
          <w:szCs w:val="32"/>
        </w:rPr>
        <w:t>%。</w:t>
      </w:r>
    </w:p>
    <w:p>
      <w:pPr>
        <w:pStyle w:val="27"/>
        <w:spacing w:after="120" w:line="360" w:lineRule="auto"/>
        <w:ind w:firstLine="640"/>
        <w:jc w:val="both"/>
        <w:outlineLvl w:val="1"/>
        <w:rPr>
          <w:rFonts w:hint="eastAsia" w:eastAsia="宋体" w:cs="仿宋_GB2312"/>
          <w:b w:val="0"/>
          <w:i w:val="0"/>
          <w:strike w:val="0"/>
          <w:color w:val="auto"/>
          <w:sz w:val="24"/>
          <w:szCs w:val="32"/>
          <w:u w:val="none"/>
        </w:rPr>
      </w:pPr>
      <w:r>
        <w:rPr>
          <w:rFonts w:eastAsia="宋体"/>
          <w:b w:val="0"/>
          <w:i w:val="0"/>
          <w:strike w:val="0"/>
          <w:color w:val="auto"/>
          <w:sz w:val="24"/>
          <w:u w:val="none"/>
        </w:rPr>
        <w:drawing>
          <wp:inline distT="0" distB="0" distL="114300" distR="114300">
            <wp:extent cx="4572000" cy="2743200"/>
            <wp:effectExtent l="4445" t="4445" r="1460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pPr>
        <w:ind w:firstLine="800" w:firstLineChars="25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r>
        <w:rPr>
          <w:rFonts w:hint="eastAsia" w:eastAsia="黑体"/>
          <w:sz w:val="32"/>
          <w:szCs w:val="32"/>
        </w:rPr>
        <w:t>四、财</w:t>
      </w:r>
      <w:r>
        <w:rPr>
          <w:rStyle w:val="29"/>
          <w:rFonts w:hint="eastAsia" w:ascii="Times New Roman" w:hAnsi="Times New Roman" w:eastAsia="黑体"/>
          <w:b w:val="0"/>
        </w:rPr>
        <w:t>政拨款收入支出决算总体情况说明</w:t>
      </w:r>
    </w:p>
    <w:p>
      <w:pPr>
        <w:widowControl w:val="0"/>
        <w:ind w:firstLine="640" w:firstLineChars="200"/>
        <w:jc w:val="both"/>
        <w:rPr>
          <w:rFonts w:hint="eastAsia" w:ascii="仿宋_GB2312" w:hAnsi="仿宋_GB2312" w:eastAsia="仿宋_GB2312" w:cs="仿宋_GB2312"/>
          <w:color w:val="auto"/>
          <w:kern w:val="2"/>
          <w:sz w:val="32"/>
          <w:szCs w:val="32"/>
          <w:highlight w:val="none"/>
          <w:lang w:val="en-US" w:eastAsia="zh-CN" w:bidi="ar-SA"/>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271.02</w:t>
      </w:r>
      <w:r>
        <w:rPr>
          <w:rFonts w:hint="eastAsia" w:eastAsia="仿宋_GB2312" w:cs="仿宋_GB2312"/>
          <w:sz w:val="32"/>
          <w:szCs w:val="32"/>
        </w:rPr>
        <w:t>万元。与上年度相比，财政拨款收入、支出总计各</w:t>
      </w:r>
      <w:r>
        <w:rPr>
          <w:rFonts w:hint="eastAsia" w:ascii="仿宋_GB2312" w:hAnsi="仿宋_GB2312" w:eastAsia="仿宋_GB2312" w:cs="仿宋_GB2312"/>
          <w:color w:val="auto"/>
          <w:kern w:val="2"/>
          <w:sz w:val="32"/>
          <w:szCs w:val="32"/>
          <w:highlight w:val="none"/>
          <w:lang w:val="en-US" w:eastAsia="zh-CN" w:bidi="ar-SA"/>
        </w:rPr>
        <w:t>减少17.21万元，下降5.9%。主要变动原因是本年度项目经费支出减少。</w:t>
      </w:r>
    </w:p>
    <w:p>
      <w:pPr>
        <w:pStyle w:val="10"/>
        <w:rPr>
          <w:rFonts w:hint="default"/>
          <w:lang w:val="en-US" w:eastAsia="zh-CN"/>
        </w:rPr>
      </w:pPr>
      <w:r>
        <w:rPr>
          <w:rFonts w:hint="eastAsia" w:ascii="仿宋_GB2312" w:hAnsi="仿宋_GB2312" w:eastAsia="仿宋_GB2312" w:cs="仿宋_GB2312"/>
          <w:color w:val="auto"/>
          <w:kern w:val="2"/>
          <w:sz w:val="32"/>
          <w:szCs w:val="32"/>
          <w:highlight w:val="none"/>
          <w:lang w:val="en-US" w:eastAsia="zh-CN" w:bidi="ar-SA"/>
        </w:rPr>
        <w:t xml:space="preserve"> </w:t>
      </w:r>
    </w:p>
    <w:p>
      <w:pPr>
        <w:pStyle w:val="10"/>
        <w:rPr>
          <w:rFonts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drawing>
          <wp:inline distT="0" distB="0" distL="114300" distR="114300">
            <wp:extent cx="4572000" cy="3257550"/>
            <wp:effectExtent l="4445" t="4445" r="1460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pPr>
        <w:spacing w:line="600" w:lineRule="exact"/>
        <w:ind w:firstLine="64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（一）一般公共预算财政拨款支出决算总体情况</w:t>
      </w:r>
    </w:p>
    <w:p>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271.02</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ascii="仿宋_GB2312" w:hAnsi="仿宋_GB2312" w:eastAsia="仿宋_GB2312" w:cs="仿宋_GB2312"/>
          <w:color w:val="auto"/>
          <w:kern w:val="2"/>
          <w:sz w:val="32"/>
          <w:szCs w:val="32"/>
          <w:highlight w:val="none"/>
          <w:lang w:val="en-US" w:eastAsia="zh-CN" w:bidi="ar-SA"/>
        </w:rPr>
        <w:t>17.21万元，下降5.9%。主要变动原因是本年度项目经费支出减少。</w:t>
      </w:r>
    </w:p>
    <w:p>
      <w:pPr>
        <w:pStyle w:val="10"/>
      </w:pPr>
      <w:r>
        <w:drawing>
          <wp:inline distT="0" distB="0" distL="114300" distR="114300">
            <wp:extent cx="4572000" cy="2743200"/>
            <wp:effectExtent l="4445" t="4445" r="14605" b="1460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271.02</w:t>
      </w:r>
      <w:r>
        <w:rPr>
          <w:rFonts w:hint="eastAsia" w:eastAsia="仿宋_GB2312" w:cs="仿宋_GB2312"/>
          <w:sz w:val="32"/>
          <w:szCs w:val="32"/>
        </w:rPr>
        <w:t>万元，主要用于以下方面：</w:t>
      </w:r>
      <w:r>
        <w:rPr>
          <w:rFonts w:hint="eastAsia" w:ascii="Times New Roman" w:hAnsi="Times New Roman" w:eastAsia="仿宋_GB2312" w:cs="仿宋_GB2312"/>
          <w:color w:val="auto"/>
          <w:kern w:val="2"/>
          <w:sz w:val="32"/>
          <w:szCs w:val="32"/>
          <w:highlight w:val="none"/>
          <w:lang w:val="en-US" w:eastAsia="zh-CN" w:bidi="ar-SA"/>
        </w:rPr>
        <w:t>一般公共服务支出190.8万元，占70.4%；社会保障和就业支出47.65万元，占17.6%；卫生健康支出14.48万元，占5.3%；住房保障支出18.09万元，占6.7%。</w:t>
      </w:r>
    </w:p>
    <w:p>
      <w:pPr>
        <w:pStyle w:val="10"/>
        <w:rPr>
          <w:rFonts w:hint="eastAsia"/>
          <w:lang w:val="en-US" w:eastAsia="zh-CN"/>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rPr>
          <w:rFonts w:eastAsia="仿宋_GB2312" w:cs="仿宋_GB2312"/>
          <w:b/>
          <w:bCs/>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（三）一般公共预算财政拨款支出决算具体情况</w:t>
      </w:r>
    </w:p>
    <w:p>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271.02万元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一般公共服务（类）政府办公厅（室）及相关机构事务（款）行政运行（项）:支出决算为186.8万元，完成预算100%，决算数等于预算数。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2.一般公共服务（类）政府办公厅（室）及相关机构事务（款）其他政府办公厅（室）及相关机构事务（项）: 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3.社会保障和就业（类）行政事业单位养老支出（款）行政单位离退休（项）:支出决算为</w:t>
      </w:r>
      <w:r>
        <w:rPr>
          <w:rFonts w:hint="eastAsia" w:eastAsia="仿宋_GB2312" w:cs="仿宋_GB2312"/>
          <w:color w:val="auto"/>
          <w:kern w:val="2"/>
          <w:sz w:val="32"/>
          <w:szCs w:val="32"/>
          <w:highlight w:val="none"/>
          <w:lang w:val="en-US" w:eastAsia="zh-CN" w:bidi="ar-SA"/>
        </w:rPr>
        <w:t>24.85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社会保障和就业（类）行政事业单位养老支出（款）机关事业单位基本养老保险缴费支出（项）:支出决算为</w:t>
      </w:r>
      <w:r>
        <w:rPr>
          <w:rFonts w:hint="eastAsia" w:ascii="Times New Roman" w:hAnsi="Times New Roman" w:eastAsia="仿宋_GB2312" w:cs="仿宋_GB2312"/>
          <w:color w:val="auto"/>
          <w:kern w:val="2"/>
          <w:sz w:val="32"/>
          <w:szCs w:val="32"/>
          <w:highlight w:val="none"/>
          <w:lang w:val="en-US" w:eastAsia="zh-CN" w:bidi="ar-SA"/>
        </w:rPr>
        <w:t>22.76</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w:t>
      </w:r>
      <w:r>
        <w:rPr>
          <w:rFonts w:hint="default" w:ascii="Times New Roman" w:hAnsi="Times New Roman" w:eastAsia="仿宋_GB2312" w:cs="仿宋_GB2312"/>
          <w:color w:val="auto"/>
          <w:kern w:val="2"/>
          <w:sz w:val="32"/>
          <w:szCs w:val="32"/>
          <w:highlight w:val="none"/>
          <w:lang w:val="en-US" w:eastAsia="zh-CN" w:bidi="ar-SA"/>
        </w:rPr>
        <w:t>会保障和就业（类）</w:t>
      </w:r>
      <w:r>
        <w:rPr>
          <w:rFonts w:hint="eastAsia" w:ascii="Times New Roman" w:hAnsi="Times New Roman" w:eastAsia="仿宋_GB2312" w:cs="仿宋_GB2312"/>
          <w:color w:val="auto"/>
          <w:kern w:val="2"/>
          <w:sz w:val="32"/>
          <w:szCs w:val="32"/>
          <w:highlight w:val="none"/>
          <w:lang w:val="en-US" w:eastAsia="zh-CN" w:bidi="ar-SA"/>
        </w:rPr>
        <w:t>社会福利</w:t>
      </w:r>
      <w:r>
        <w:rPr>
          <w:rFonts w:hint="default" w:ascii="Times New Roman" w:hAnsi="Times New Roman"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儿童福利</w:t>
      </w:r>
      <w:r>
        <w:rPr>
          <w:rFonts w:hint="default" w:ascii="Times New Roman" w:hAnsi="Times New Roman" w:eastAsia="仿宋_GB2312" w:cs="仿宋_GB2312"/>
          <w:color w:val="auto"/>
          <w:kern w:val="2"/>
          <w:sz w:val="32"/>
          <w:szCs w:val="32"/>
          <w:highlight w:val="none"/>
          <w:lang w:val="en-US" w:eastAsia="zh-CN" w:bidi="ar-SA"/>
        </w:rPr>
        <w:t>（项）:支出决算为</w:t>
      </w:r>
      <w:r>
        <w:rPr>
          <w:rFonts w:hint="eastAsia" w:ascii="Times New Roman" w:hAnsi="Times New Roman" w:eastAsia="仿宋_GB2312" w:cs="仿宋_GB2312"/>
          <w:color w:val="auto"/>
          <w:kern w:val="2"/>
          <w:sz w:val="32"/>
          <w:szCs w:val="32"/>
          <w:highlight w:val="none"/>
          <w:lang w:val="en-US" w:eastAsia="zh-CN" w:bidi="ar-SA"/>
        </w:rPr>
        <w:t>0.05</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6.卫生健康（类）行政事业单位医疗（款）行政单位医疗（项）:支出决算为</w:t>
      </w:r>
      <w:r>
        <w:rPr>
          <w:rFonts w:hint="eastAsia" w:ascii="Times New Roman" w:hAnsi="Times New Roman" w:eastAsia="仿宋_GB2312" w:cs="仿宋_GB2312"/>
          <w:color w:val="auto"/>
          <w:kern w:val="2"/>
          <w:sz w:val="32"/>
          <w:szCs w:val="32"/>
          <w:highlight w:val="none"/>
          <w:lang w:val="en-US" w:eastAsia="zh-CN" w:bidi="ar-SA"/>
        </w:rPr>
        <w:t>11.77</w:t>
      </w:r>
      <w:r>
        <w:rPr>
          <w:rFonts w:hint="default" w:ascii="Times New Roman" w:hAnsi="Times New Roman" w:eastAsia="仿宋_GB2312" w:cs="仿宋_GB2312"/>
          <w:color w:val="auto"/>
          <w:kern w:val="2"/>
          <w:sz w:val="32"/>
          <w:szCs w:val="32"/>
          <w:highlight w:val="none"/>
          <w:lang w:val="en-US" w:eastAsia="zh-CN" w:bidi="ar-SA"/>
        </w:rPr>
        <w:t>万元，完成预算100%，决算数等于预算数。</w:t>
      </w:r>
    </w:p>
    <w:p>
      <w:pPr>
        <w:pStyle w:val="1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7.卫生健康（类）行政事业单位医疗（款）公务员医疗补助（项）:支出决算为1.24万元，完成预算100%，决算数等于预算数。</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卫生健康（类）行政事业单位医疗（款）其他行政事业单位医疗（项）:支出决算为1.47万元，完成预算100%，决算数等于预算数。</w:t>
      </w:r>
    </w:p>
    <w:p>
      <w:pPr>
        <w:pStyle w:val="1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9.住房保障（类）住房改革支出（款）住房公积金（项）：支出决算为18.09万元，完成预算100%，决算数等于预算数。</w:t>
      </w:r>
    </w:p>
    <w:p>
      <w:pPr>
        <w:spacing w:line="600" w:lineRule="exact"/>
        <w:rPr>
          <w:rFonts w:eastAsia="仿宋_GB2312" w:cs="仿宋_GB2312"/>
          <w:sz w:val="32"/>
          <w:szCs w:val="32"/>
        </w:rPr>
      </w:pPr>
    </w:p>
    <w:p>
      <w:pPr>
        <w:tabs>
          <w:tab w:val="right" w:pos="8306"/>
        </w:tabs>
        <w:spacing w:line="600" w:lineRule="exact"/>
        <w:ind w:firstLine="640"/>
        <w:outlineLvl w:val="1"/>
        <w:rPr>
          <w:rStyle w:val="29"/>
          <w:rFonts w:ascii="Times New Roman" w:hAnsi="Times New Roman"/>
        </w:rPr>
      </w:pPr>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266.98</w:t>
      </w:r>
      <w:r>
        <w:rPr>
          <w:rFonts w:hint="eastAsia" w:eastAsia="仿宋_GB2312" w:cs="仿宋_GB2312"/>
          <w:sz w:val="32"/>
          <w:szCs w:val="32"/>
        </w:rPr>
        <w:t>万元，其中：</w:t>
      </w:r>
    </w:p>
    <w:p>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人员经费</w:t>
      </w:r>
      <w:r>
        <w:rPr>
          <w:rFonts w:hint="eastAsia" w:eastAsia="仿宋_GB2312" w:cs="仿宋_GB2312"/>
          <w:sz w:val="32"/>
          <w:szCs w:val="32"/>
          <w:lang w:val="en-US" w:eastAsia="zh-CN"/>
        </w:rPr>
        <w:t>245.48</w:t>
      </w:r>
      <w:r>
        <w:rPr>
          <w:rFonts w:hint="eastAsia" w:eastAsia="仿宋_GB2312" w:cs="仿宋_GB2312"/>
          <w:sz w:val="32"/>
          <w:szCs w:val="32"/>
        </w:rPr>
        <w:t>万元，主要包括：</w:t>
      </w:r>
      <w:r>
        <w:rPr>
          <w:rFonts w:hint="eastAsia" w:ascii="Times New Roman" w:hAnsi="Times New Roman" w:eastAsia="仿宋_GB2312" w:cs="仿宋_GB2312"/>
          <w:color w:val="auto"/>
          <w:kern w:val="2"/>
          <w:sz w:val="32"/>
          <w:szCs w:val="32"/>
          <w:highlight w:val="none"/>
          <w:lang w:val="en-US" w:eastAsia="zh-CN" w:bidi="ar-SA"/>
        </w:rPr>
        <w:t>基本工资62.91万元、津贴补贴42.32万元、奖金58.05万元、机关事业单位基本养老保险缴费22.76万元、职工基本医疗保险缴费11.77万元、公务员医疗补助缴费2.71万元、</w:t>
      </w:r>
      <w:r>
        <w:rPr>
          <w:rFonts w:hint="eastAsia" w:eastAsia="仿宋_GB2312"/>
          <w:sz w:val="32"/>
          <w:szCs w:val="32"/>
        </w:rPr>
        <w:t>其他社会保障缴费</w:t>
      </w:r>
      <w:r>
        <w:rPr>
          <w:rFonts w:hint="eastAsia" w:eastAsia="仿宋_GB2312"/>
          <w:sz w:val="32"/>
          <w:szCs w:val="32"/>
          <w:lang w:val="en-US" w:eastAsia="zh-CN"/>
        </w:rPr>
        <w:t>0.36</w:t>
      </w:r>
      <w:r>
        <w:rPr>
          <w:rFonts w:hint="eastAsia" w:eastAsia="仿宋_GB2312"/>
          <w:sz w:val="32"/>
          <w:szCs w:val="32"/>
        </w:rPr>
        <w:t>万元、住房公积金</w:t>
      </w:r>
      <w:r>
        <w:rPr>
          <w:rFonts w:hint="eastAsia" w:eastAsia="仿宋_GB2312"/>
          <w:sz w:val="32"/>
          <w:szCs w:val="32"/>
          <w:lang w:val="en-US" w:eastAsia="zh-CN"/>
        </w:rPr>
        <w:t>18.09</w:t>
      </w:r>
      <w:r>
        <w:rPr>
          <w:rFonts w:hint="eastAsia" w:eastAsia="仿宋_GB2312"/>
          <w:sz w:val="32"/>
          <w:szCs w:val="32"/>
        </w:rPr>
        <w:t>万元</w:t>
      </w:r>
      <w:r>
        <w:rPr>
          <w:rFonts w:hint="eastAsia" w:eastAsia="仿宋_GB2312"/>
          <w:sz w:val="32"/>
          <w:szCs w:val="32"/>
          <w:lang w:eastAsia="zh-CN"/>
        </w:rPr>
        <w:t>、其他工资福利支出</w:t>
      </w:r>
      <w:r>
        <w:rPr>
          <w:rFonts w:hint="eastAsia" w:eastAsia="仿宋_GB2312"/>
          <w:sz w:val="32"/>
          <w:szCs w:val="32"/>
          <w:lang w:val="en-US" w:eastAsia="zh-CN"/>
        </w:rPr>
        <w:t>2.3万元、</w:t>
      </w:r>
      <w:r>
        <w:rPr>
          <w:rFonts w:hint="eastAsia" w:eastAsia="仿宋_GB2312" w:cs="仿宋_GB2312"/>
          <w:sz w:val="32"/>
          <w:szCs w:val="32"/>
        </w:rPr>
        <w:t>其他对个人和家庭的补助支出</w:t>
      </w:r>
      <w:r>
        <w:rPr>
          <w:rFonts w:hint="eastAsia" w:eastAsia="仿宋_GB2312" w:cs="仿宋_GB2312"/>
          <w:sz w:val="32"/>
          <w:szCs w:val="32"/>
          <w:lang w:val="en-US" w:eastAsia="zh-CN"/>
        </w:rPr>
        <w:t>24.19万元。</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21.5</w:t>
      </w:r>
      <w:r>
        <w:rPr>
          <w:rFonts w:hint="eastAsia" w:eastAsia="仿宋_GB2312" w:cs="仿宋_GB2312"/>
          <w:sz w:val="32"/>
          <w:szCs w:val="32"/>
        </w:rPr>
        <w:t>万元，主要包括：</w:t>
      </w:r>
      <w:r>
        <w:rPr>
          <w:rFonts w:hint="eastAsia" w:ascii="Times New Roman" w:hAnsi="Times New Roman" w:eastAsia="仿宋_GB2312" w:cs="仿宋_GB2312"/>
          <w:color w:val="auto"/>
          <w:kern w:val="2"/>
          <w:sz w:val="32"/>
          <w:szCs w:val="32"/>
          <w:highlight w:val="none"/>
          <w:lang w:val="en-US" w:eastAsia="zh-CN" w:bidi="ar-SA"/>
        </w:rPr>
        <w:t>办公费1.85万元、水费0.15万元、邮电费3.24万元、差旅费1.32万元、劳务费0.18万元、工会经费2.32万元、其他交通费10.38万元、其他商品和服务支出2.06万元。</w:t>
      </w:r>
    </w:p>
    <w:p>
      <w:pPr>
        <w:spacing w:line="600" w:lineRule="exact"/>
        <w:rPr>
          <w:rFonts w:eastAsia="仿宋_GB2312" w:cs="仿宋_GB2312"/>
          <w:sz w:val="32"/>
          <w:szCs w:val="32"/>
        </w:rPr>
      </w:pPr>
    </w:p>
    <w:p>
      <w:pPr>
        <w:spacing w:line="600" w:lineRule="exact"/>
        <w:ind w:firstLine="640"/>
        <w:outlineLvl w:val="1"/>
        <w:rPr>
          <w:rStyle w:val="29"/>
          <w:rFonts w:ascii="Times New Roman" w:hAnsi="Times New Roman" w:eastAsia="黑体"/>
          <w:b w:val="0"/>
        </w:rPr>
      </w:pPr>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（一）财政拨款“三公”经费支出决算总体情况说明</w:t>
      </w:r>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%，较上年度减少</w:t>
      </w:r>
      <w:r>
        <w:rPr>
          <w:rFonts w:hint="eastAsia" w:eastAsia="仿宋_GB2312" w:cs="仿宋_GB2312"/>
          <w:sz w:val="32"/>
          <w:szCs w:val="32"/>
          <w:lang w:val="en-US" w:eastAsia="zh-CN"/>
        </w:rPr>
        <w:t>0.23</w:t>
      </w:r>
      <w:r>
        <w:rPr>
          <w:rFonts w:hint="eastAsia" w:eastAsia="仿宋_GB2312" w:cs="仿宋_GB2312"/>
          <w:sz w:val="32"/>
          <w:szCs w:val="32"/>
        </w:rPr>
        <w:t>万元，下降</w:t>
      </w:r>
      <w:r>
        <w:rPr>
          <w:rFonts w:hint="eastAsia" w:eastAsia="仿宋_GB2312" w:cs="仿宋_GB2312"/>
          <w:sz w:val="32"/>
          <w:szCs w:val="32"/>
          <w:lang w:val="en-US" w:eastAsia="zh-CN"/>
        </w:rPr>
        <w:t>100</w:t>
      </w:r>
      <w:r>
        <w:rPr>
          <w:rFonts w:hint="eastAsia" w:eastAsia="仿宋_GB2312" w:cs="仿宋_GB2312"/>
          <w:sz w:val="32"/>
          <w:szCs w:val="32"/>
        </w:rPr>
        <w:t>%。决算数小于预算数的主要原因是</w:t>
      </w:r>
      <w:r>
        <w:rPr>
          <w:rFonts w:hint="eastAsia" w:eastAsia="仿宋_GB2312" w:cs="仿宋_GB2312"/>
          <w:sz w:val="32"/>
          <w:szCs w:val="32"/>
          <w:lang w:eastAsia="zh-CN"/>
        </w:rPr>
        <w:t>本年度未发生公务接待。</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（二）财政拨款“三公”经费支出决算具体情况说明</w:t>
      </w:r>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spacing w:line="600" w:lineRule="exact"/>
        <w:ind w:firstLine="640"/>
        <w:rPr>
          <w:rFonts w:ascii="仿宋_GB2312" w:eastAsia="仿宋_GB2312"/>
          <w:b/>
          <w:color w:val="auto"/>
          <w:sz w:val="32"/>
          <w:szCs w:val="32"/>
          <w:highlight w:val="none"/>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与上年度持平</w:t>
      </w:r>
      <w:r>
        <w:rPr>
          <w:rFonts w:hint="eastAsia" w:eastAsia="仿宋_GB2312" w:cs="仿宋_GB2312"/>
          <w:sz w:val="32"/>
          <w:szCs w:val="32"/>
        </w:rPr>
        <w:t>。主要原因是</w:t>
      </w:r>
      <w:r>
        <w:rPr>
          <w:rFonts w:hint="eastAsia" w:ascii="仿宋_GB2312" w:eastAsia="仿宋_GB2312"/>
          <w:color w:val="auto"/>
          <w:sz w:val="32"/>
          <w:szCs w:val="32"/>
          <w:highlight w:val="none"/>
          <w:lang w:eastAsia="zh-CN"/>
        </w:rPr>
        <w:t>无因公</w:t>
      </w:r>
      <w:r>
        <w:rPr>
          <w:rFonts w:hint="eastAsia" w:ascii="仿宋_GB2312" w:eastAsia="仿宋_GB2312"/>
          <w:color w:val="auto"/>
          <w:sz w:val="32"/>
          <w:szCs w:val="32"/>
          <w:highlight w:val="none"/>
        </w:rPr>
        <w:t>出国（境）</w:t>
      </w:r>
      <w:r>
        <w:rPr>
          <w:rFonts w:hint="eastAsia" w:ascii="仿宋_GB2312" w:eastAsia="仿宋_GB2312"/>
          <w:color w:val="auto"/>
          <w:sz w:val="32"/>
          <w:szCs w:val="32"/>
          <w:highlight w:val="none"/>
          <w:lang w:eastAsia="zh-CN"/>
        </w:rPr>
        <w:t>情况</w:t>
      </w:r>
      <w:r>
        <w:rPr>
          <w:rFonts w:hint="eastAsia" w:ascii="仿宋_GB2312" w:eastAsia="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eastAsia="zh-CN"/>
        </w:rPr>
        <w:t>与上年度持平</w:t>
      </w:r>
      <w:r>
        <w:rPr>
          <w:rFonts w:hint="eastAsia" w:eastAsia="仿宋_GB2312" w:cs="仿宋_GB2312"/>
          <w:sz w:val="32"/>
          <w:szCs w:val="32"/>
        </w:rPr>
        <w:t>。主要原因是</w:t>
      </w:r>
      <w:r>
        <w:rPr>
          <w:rFonts w:hint="eastAsia" w:ascii="仿宋_GB2312" w:eastAsia="仿宋_GB2312"/>
          <w:color w:val="auto"/>
          <w:sz w:val="32"/>
          <w:szCs w:val="32"/>
          <w:highlight w:val="none"/>
          <w:lang w:eastAsia="zh-CN"/>
        </w:rPr>
        <w:t>单位无公务用车</w:t>
      </w:r>
      <w:r>
        <w:rPr>
          <w:rFonts w:hint="eastAsia" w:ascii="仿宋_GB2312" w:eastAsia="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0.23</w:t>
      </w:r>
      <w:r>
        <w:rPr>
          <w:rFonts w:hint="eastAsia" w:eastAsia="仿宋_GB2312" w:cs="仿宋_GB2312"/>
          <w:sz w:val="32"/>
          <w:szCs w:val="32"/>
        </w:rPr>
        <w:t>万元，下降</w:t>
      </w:r>
      <w:r>
        <w:rPr>
          <w:rFonts w:hint="eastAsia" w:eastAsia="仿宋_GB2312" w:cs="仿宋_GB2312"/>
          <w:sz w:val="32"/>
          <w:szCs w:val="32"/>
          <w:lang w:val="en-US" w:eastAsia="zh-CN"/>
        </w:rPr>
        <w:t>100</w:t>
      </w:r>
      <w:r>
        <w:rPr>
          <w:rFonts w:hint="eastAsia" w:eastAsia="仿宋_GB2312" w:cs="仿宋_GB2312"/>
          <w:sz w:val="32"/>
          <w:szCs w:val="32"/>
        </w:rPr>
        <w:t>%。主要原因是</w:t>
      </w:r>
      <w:r>
        <w:rPr>
          <w:rFonts w:hint="eastAsia" w:eastAsia="仿宋_GB2312" w:cs="仿宋_GB2312"/>
          <w:sz w:val="32"/>
          <w:szCs w:val="32"/>
          <w:lang w:eastAsia="zh-CN"/>
        </w:rPr>
        <w:t>本年度未发生公务接待。</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万元。国内公务接</w:t>
      </w:r>
      <w:r>
        <w:rPr>
          <w:rFonts w:hint="eastAsia" w:eastAsia="仿宋_GB2312" w:cs="仿宋_GB2312"/>
          <w:sz w:val="32"/>
          <w:szCs w:val="32"/>
          <w:lang w:val="en-US" w:eastAsia="zh-CN"/>
        </w:rPr>
        <w:t>0</w:t>
      </w:r>
      <w:r>
        <w:rPr>
          <w:rFonts w:hint="eastAsia" w:eastAsia="仿宋_GB2312" w:cs="仿宋_GB2312"/>
          <w:sz w:val="32"/>
          <w:szCs w:val="32"/>
        </w:rPr>
        <w:t>批次，人次（不包括陪同人员），共计支出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p>
    <w:p>
      <w:pPr>
        <w:spacing w:line="600" w:lineRule="exact"/>
        <w:ind w:firstLine="640"/>
        <w:rPr>
          <w:rFonts w:hint="eastAsia" w:eastAsia="仿宋_GB2312" w:cs="仿宋_GB2312"/>
          <w:b/>
          <w:bCs/>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color w:val="auto"/>
          <w:kern w:val="2"/>
          <w:sz w:val="32"/>
          <w:szCs w:val="32"/>
          <w:highlight w:val="none"/>
          <w:lang w:val="en-US" w:eastAsia="zh-CN" w:bidi="ar-SA"/>
        </w:rPr>
        <w:t>持平</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九、国有资本经营预算支出决算情况说明</w:t>
      </w:r>
    </w:p>
    <w:p>
      <w:pPr>
        <w:spacing w:line="600" w:lineRule="exact"/>
        <w:ind w:firstLine="640"/>
        <w:rPr>
          <w:rFonts w:hint="eastAsia" w:eastAsia="仿宋_GB2312" w:cs="仿宋_GB2312"/>
          <w:b/>
          <w:bCs/>
          <w:sz w:val="32"/>
          <w:szCs w:val="32"/>
          <w:lang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color w:val="auto"/>
          <w:kern w:val="2"/>
          <w:sz w:val="32"/>
          <w:szCs w:val="32"/>
          <w:highlight w:val="none"/>
          <w:lang w:val="en-US" w:eastAsia="zh-CN" w:bidi="ar-SA"/>
        </w:rPr>
        <w:t>持平</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（一）机关运行经费支出情况</w:t>
      </w:r>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市地方志编纂中心</w:t>
      </w:r>
      <w:r>
        <w:rPr>
          <w:rFonts w:hint="eastAsia" w:eastAsia="仿宋_GB2312" w:cs="仿宋_GB2312"/>
          <w:sz w:val="32"/>
          <w:szCs w:val="32"/>
        </w:rPr>
        <w:t>机关运行经费支出</w:t>
      </w:r>
      <w:r>
        <w:rPr>
          <w:rFonts w:hint="eastAsia" w:eastAsia="仿宋_GB2312" w:cs="仿宋_GB2312"/>
          <w:sz w:val="32"/>
          <w:szCs w:val="32"/>
          <w:lang w:val="en-US" w:eastAsia="zh-CN"/>
        </w:rPr>
        <w:t>21.5</w:t>
      </w:r>
      <w:r>
        <w:rPr>
          <w:rFonts w:hint="eastAsia" w:eastAsia="仿宋_GB2312" w:cs="仿宋_GB2312"/>
          <w:sz w:val="32"/>
          <w:szCs w:val="32"/>
        </w:rPr>
        <w:t>万元，比上年度减少</w:t>
      </w:r>
      <w:r>
        <w:rPr>
          <w:rFonts w:hint="eastAsia" w:eastAsia="仿宋_GB2312" w:cs="仿宋_GB2312"/>
          <w:sz w:val="32"/>
          <w:szCs w:val="32"/>
          <w:lang w:val="en-US" w:eastAsia="zh-CN"/>
        </w:rPr>
        <w:t>2.24</w:t>
      </w:r>
      <w:r>
        <w:rPr>
          <w:rFonts w:hint="eastAsia" w:eastAsia="仿宋_GB2312" w:cs="仿宋_GB2312"/>
          <w:sz w:val="32"/>
          <w:szCs w:val="32"/>
        </w:rPr>
        <w:t>万元，下降</w:t>
      </w:r>
      <w:r>
        <w:rPr>
          <w:rFonts w:hint="eastAsia" w:eastAsia="仿宋_GB2312" w:cs="仿宋_GB2312"/>
          <w:sz w:val="32"/>
          <w:szCs w:val="32"/>
          <w:lang w:val="en-US" w:eastAsia="zh-CN"/>
        </w:rPr>
        <w:t>9.4</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ascii="仿宋_GB2312" w:eastAsia="仿宋_GB2312"/>
          <w:color w:val="auto"/>
          <w:sz w:val="32"/>
          <w:szCs w:val="32"/>
          <w:highlight w:val="none"/>
          <w:lang w:eastAsia="zh-CN"/>
        </w:rPr>
        <w:t>单位差旅费、办公费比上年度减少。</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（二）政府采购支出情况</w:t>
      </w:r>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市地方志编纂中心</w:t>
      </w:r>
      <w:r>
        <w:rPr>
          <w:rFonts w:hint="eastAsia" w:eastAsia="仿宋_GB2312" w:cs="仿宋_GB2312"/>
          <w:sz w:val="32"/>
          <w:szCs w:val="32"/>
        </w:rPr>
        <w:t>政府采购支出总额</w:t>
      </w:r>
      <w:r>
        <w:rPr>
          <w:rFonts w:hint="eastAsia" w:eastAsia="仿宋_GB2312" w:cs="仿宋_GB2312"/>
          <w:sz w:val="32"/>
          <w:szCs w:val="32"/>
          <w:lang w:val="en-US" w:eastAsia="zh-CN"/>
        </w:rPr>
        <w:t>82</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82</w:t>
      </w:r>
      <w:r>
        <w:rPr>
          <w:rFonts w:hint="eastAsia" w:eastAsia="仿宋_GB2312" w:cs="仿宋_GB2312"/>
          <w:sz w:val="32"/>
          <w:szCs w:val="32"/>
        </w:rPr>
        <w:t>万元。</w:t>
      </w: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（三）国有资产占有使用情况</w:t>
      </w:r>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市地方志编纂中心</w:t>
      </w:r>
      <w:r>
        <w:rPr>
          <w:rFonts w:hint="eastAsia" w:eastAsia="仿宋_GB2312" w:cs="仿宋_GB2312"/>
          <w:sz w:val="32"/>
          <w:szCs w:val="32"/>
        </w:rPr>
        <w:t>共有车辆</w:t>
      </w:r>
      <w:r>
        <w:rPr>
          <w:rFonts w:hint="eastAsia" w:eastAsia="仿宋_GB2312" w:cs="仿宋_GB2312"/>
          <w:sz w:val="32"/>
          <w:szCs w:val="32"/>
          <w:lang w:val="en-US" w:eastAsia="zh-CN"/>
        </w:rPr>
        <w:t>0</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eastAsia="仿宋_GB2312" w:cs="仿宋_GB2312"/>
          <w:sz w:val="32"/>
          <w:szCs w:val="32"/>
        </w:rPr>
        <w:t>根据预算绩效管理要求，</w:t>
      </w:r>
      <w:r>
        <w:rPr>
          <w:rFonts w:hint="eastAsia" w:eastAsia="仿宋_GB2312" w:cs="仿宋_GB2312"/>
          <w:color w:val="auto"/>
          <w:kern w:val="2"/>
          <w:sz w:val="32"/>
          <w:szCs w:val="32"/>
          <w:highlight w:val="none"/>
          <w:lang w:val="en-US" w:eastAsia="zh-CN" w:bidi="ar-SA"/>
        </w:rPr>
        <w:t>市地方志编纂中心</w:t>
      </w:r>
      <w:r>
        <w:rPr>
          <w:rFonts w:hint="eastAsia" w:eastAsia="仿宋_GB2312" w:cs="仿宋_GB2312"/>
          <w:sz w:val="32"/>
          <w:szCs w:val="32"/>
        </w:rPr>
        <w:t>在2025年度，对</w:t>
      </w:r>
      <w:r>
        <w:rPr>
          <w:rFonts w:hint="eastAsia" w:eastAsia="仿宋_GB2312" w:cs="仿宋_GB2312"/>
          <w:sz w:val="32"/>
          <w:szCs w:val="32"/>
          <w:lang w:val="en-US" w:eastAsia="zh-CN"/>
        </w:rPr>
        <w:t>3</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3</w:t>
      </w:r>
      <w:r>
        <w:rPr>
          <w:rFonts w:hint="eastAsia" w:eastAsia="仿宋_GB2312" w:cs="仿宋_GB2312"/>
          <w:sz w:val="32"/>
          <w:szCs w:val="32"/>
        </w:rPr>
        <w:t>个项目开展绩效监控</w:t>
      </w:r>
      <w:r>
        <w:rPr>
          <w:rFonts w:hint="eastAsia" w:ascii="仿宋_GB2312" w:hAnsi="Times New Roman" w:eastAsia="仿宋_GB2312" w:cs="Times New Roman"/>
          <w:color w:val="auto"/>
          <w:sz w:val="32"/>
          <w:szCs w:val="32"/>
          <w:highlight w:val="none"/>
          <w:lang w:eastAsia="zh-CN"/>
        </w:rPr>
        <w:t>，组织对</w:t>
      </w:r>
      <w:r>
        <w:rPr>
          <w:rFonts w:hint="eastAsia" w:ascii="仿宋_GB2312" w:hAnsi="Times New Roman" w:eastAsia="仿宋_GB2312" w:cs="Times New Roman"/>
          <w:color w:val="auto"/>
          <w:sz w:val="32"/>
          <w:szCs w:val="32"/>
          <w:highlight w:val="none"/>
          <w:lang w:val="en-US" w:eastAsia="zh-CN"/>
        </w:rPr>
        <w:t>3个项目开展绩效自评，绩效自评表详见附件。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sz w:val="32"/>
          <w:szCs w:val="32"/>
        </w:rPr>
      </w:pPr>
    </w:p>
    <w:p>
      <w:pPr>
        <w:pStyle w:val="10"/>
      </w:pPr>
    </w:p>
    <w:p>
      <w:pPr>
        <w:spacing w:line="600" w:lineRule="exact"/>
        <w:ind w:firstLine="640"/>
        <w:rPr>
          <w:rFonts w:eastAsia="仿宋_GB2312" w:cs="仿宋_GB2312"/>
          <w:sz w:val="32"/>
          <w:szCs w:val="32"/>
        </w:rPr>
      </w:pPr>
    </w:p>
    <w:p>
      <w:pPr>
        <w:spacing w:line="600" w:lineRule="exact"/>
        <w:jc w:val="center"/>
        <w:outlineLvl w:val="0"/>
        <w:rPr>
          <w:rFonts w:eastAsia="黑体"/>
          <w:sz w:val="44"/>
          <w:szCs w:val="44"/>
        </w:rPr>
      </w:pPr>
      <w:r>
        <w:rPr>
          <w:rFonts w:hint="eastAsia" w:eastAsia="黑体"/>
          <w:sz w:val="44"/>
          <w:szCs w:val="44"/>
        </w:rPr>
        <w:t>第三部分  名词解释</w:t>
      </w:r>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w:t>
      </w:r>
      <w:r>
        <w:rPr>
          <w:rFonts w:hint="eastAsia" w:eastAsia="仿宋_GB2312" w:cs="仿宋_GB2312"/>
          <w:sz w:val="32"/>
          <w:szCs w:val="32"/>
          <w:lang w:eastAsia="zh-CN"/>
        </w:rPr>
        <w:t>单位</w:t>
      </w:r>
      <w:r>
        <w:rPr>
          <w:rFonts w:hint="eastAsia" w:eastAsia="仿宋_GB2312" w:cs="仿宋_GB2312"/>
          <w:sz w:val="32"/>
          <w:szCs w:val="32"/>
        </w:rPr>
        <w:t>取得的财政预算资金。</w:t>
      </w:r>
    </w:p>
    <w:p>
      <w:pPr>
        <w:spacing w:line="600" w:lineRule="exact"/>
        <w:ind w:firstLine="640"/>
        <w:rPr>
          <w:rFonts w:hint="eastAsia" w:eastAsia="仿宋_GB2312" w:cs="仿宋_GB2312"/>
          <w:sz w:val="32"/>
          <w:szCs w:val="32"/>
        </w:rPr>
      </w:pPr>
      <w:r>
        <w:rPr>
          <w:rFonts w:hint="eastAsia" w:eastAsia="仿宋_GB2312" w:cs="仿宋_GB2312"/>
          <w:sz w:val="32"/>
          <w:szCs w:val="32"/>
        </w:rPr>
        <w:t>2.事业收入：指事业单位开展专业业务活动及辅助活动取得的收入。</w:t>
      </w:r>
    </w:p>
    <w:p>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pPr>
        <w:spacing w:line="600" w:lineRule="exact"/>
        <w:ind w:firstLine="640"/>
        <w:rPr>
          <w:rFonts w:hint="eastAsia"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pPr>
        <w:spacing w:line="600" w:lineRule="exact"/>
        <w:ind w:firstLine="640"/>
        <w:rPr>
          <w:rFonts w:hint="eastAsia" w:eastAsia="仿宋_GB2312" w:cs="仿宋_GB2312"/>
          <w:sz w:val="32"/>
          <w:szCs w:val="32"/>
        </w:rPr>
      </w:pPr>
      <w:r>
        <w:rPr>
          <w:rFonts w:hint="eastAsia" w:eastAsia="仿宋_GB2312" w:cs="仿宋_GB2312"/>
          <w:sz w:val="32"/>
          <w:szCs w:val="32"/>
        </w:rPr>
        <w:t>9.一般公共服务（类）政府办公厅（室）及相关机构事务（款</w:t>
      </w:r>
      <w:r>
        <w:rPr>
          <w:rFonts w:hint="eastAsia" w:eastAsia="仿宋_GB2312" w:cs="仿宋_GB2312"/>
          <w:sz w:val="32"/>
          <w:szCs w:val="32"/>
          <w:lang w:eastAsia="zh-CN"/>
        </w:rPr>
        <w:t>）</w:t>
      </w:r>
      <w:r>
        <w:rPr>
          <w:rFonts w:hint="eastAsia" w:eastAsia="仿宋_GB2312" w:cs="仿宋_GB2312"/>
          <w:sz w:val="32"/>
          <w:szCs w:val="32"/>
        </w:rPr>
        <w:t>行政运行（项）</w:t>
      </w:r>
      <w:r>
        <w:rPr>
          <w:rFonts w:hint="eastAsia" w:eastAsia="仿宋_GB2312" w:cs="仿宋_GB2312"/>
          <w:sz w:val="32"/>
          <w:szCs w:val="32"/>
          <w:lang w:eastAsia="zh-CN"/>
        </w:rPr>
        <w:t>：</w:t>
      </w:r>
      <w:r>
        <w:rPr>
          <w:rFonts w:hint="eastAsia" w:eastAsia="仿宋_GB2312" w:cs="仿宋_GB2312"/>
          <w:sz w:val="32"/>
          <w:szCs w:val="32"/>
        </w:rPr>
        <w:t>指</w:t>
      </w:r>
      <w:r>
        <w:rPr>
          <w:rFonts w:hint="eastAsia" w:eastAsia="仿宋_GB2312" w:cs="仿宋_GB2312"/>
          <w:sz w:val="32"/>
          <w:szCs w:val="32"/>
          <w:lang w:eastAsia="zh-CN"/>
        </w:rPr>
        <w:t>行政单位（包括实行公务员管理的事业单位）的基本支出</w:t>
      </w:r>
      <w:r>
        <w:rPr>
          <w:rFonts w:hint="eastAsia" w:eastAsia="仿宋_GB2312" w:cs="仿宋_GB2312"/>
          <w:sz w:val="32"/>
          <w:szCs w:val="32"/>
        </w:rPr>
        <w:t>。</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10</w:t>
      </w:r>
      <w:r>
        <w:rPr>
          <w:rFonts w:hint="eastAsia" w:eastAsia="仿宋_GB2312" w:cs="仿宋_GB2312"/>
          <w:sz w:val="32"/>
          <w:szCs w:val="32"/>
        </w:rPr>
        <w:t>.一般公共服务（类）政府办公厅（室）及相关机构事务（款）</w:t>
      </w:r>
      <w:r>
        <w:rPr>
          <w:rFonts w:hint="eastAsia" w:eastAsia="仿宋_GB2312" w:cs="仿宋_GB2312"/>
          <w:sz w:val="32"/>
          <w:szCs w:val="32"/>
          <w:lang w:eastAsia="zh-CN"/>
        </w:rPr>
        <w:t>其他政府办公厅（室）及相关机构事务</w:t>
      </w:r>
      <w:r>
        <w:rPr>
          <w:rFonts w:hint="eastAsia" w:eastAsia="仿宋_GB2312" w:cs="仿宋_GB2312"/>
          <w:sz w:val="32"/>
          <w:szCs w:val="32"/>
        </w:rPr>
        <w:t>（项）: 指</w:t>
      </w:r>
      <w:r>
        <w:rPr>
          <w:rFonts w:hint="eastAsia" w:eastAsia="仿宋_GB2312" w:cs="仿宋_GB2312"/>
          <w:sz w:val="32"/>
          <w:szCs w:val="32"/>
          <w:lang w:eastAsia="zh-CN"/>
        </w:rPr>
        <w:t>其他政府办公厅（室）及相关机构事务支出。</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11.</w:t>
      </w:r>
      <w:r>
        <w:rPr>
          <w:rFonts w:hint="eastAsia" w:eastAsia="仿宋_GB2312" w:cs="仿宋_GB2312"/>
          <w:sz w:val="32"/>
          <w:szCs w:val="32"/>
        </w:rPr>
        <w:t>社会保障和就业（类）</w:t>
      </w:r>
      <w:r>
        <w:rPr>
          <w:rFonts w:hint="eastAsia" w:eastAsia="仿宋_GB2312" w:cs="仿宋_GB2312"/>
          <w:sz w:val="32"/>
          <w:szCs w:val="32"/>
          <w:lang w:eastAsia="zh-CN"/>
        </w:rPr>
        <w:t>人力资源和社会保障管理事务</w:t>
      </w:r>
      <w:r>
        <w:rPr>
          <w:rFonts w:hint="eastAsia" w:eastAsia="仿宋_GB2312" w:cs="仿宋_GB2312"/>
          <w:sz w:val="32"/>
          <w:szCs w:val="32"/>
        </w:rPr>
        <w:t>（款）</w:t>
      </w:r>
      <w:r>
        <w:rPr>
          <w:rFonts w:hint="eastAsia" w:eastAsia="仿宋_GB2312" w:cs="仿宋_GB2312"/>
          <w:sz w:val="32"/>
          <w:szCs w:val="32"/>
          <w:lang w:eastAsia="zh-CN"/>
        </w:rPr>
        <w:t>其他人力资源和社会保障管理事务</w:t>
      </w:r>
      <w:r>
        <w:rPr>
          <w:rFonts w:hint="eastAsia" w:eastAsia="仿宋_GB2312" w:cs="仿宋_GB2312"/>
          <w:sz w:val="32"/>
          <w:szCs w:val="32"/>
        </w:rPr>
        <w:t>（项）:指</w:t>
      </w:r>
      <w:r>
        <w:rPr>
          <w:rFonts w:hint="eastAsia" w:eastAsia="仿宋_GB2312" w:cs="仿宋_GB2312"/>
          <w:sz w:val="32"/>
          <w:szCs w:val="32"/>
          <w:lang w:eastAsia="zh-CN"/>
        </w:rPr>
        <w:t>其他用于人力资源和社会保障管理事务方面的支出。</w:t>
      </w:r>
    </w:p>
    <w:p>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.社会保障和就业（类）行政事业单位养老支出（款）行政单位离退休（项）:</w:t>
      </w:r>
      <w:r>
        <w:rPr>
          <w:rFonts w:hint="eastAsia" w:eastAsia="仿宋_GB2312" w:cs="仿宋_GB2312"/>
          <w:sz w:val="32"/>
          <w:szCs w:val="32"/>
          <w:lang w:eastAsia="zh-CN"/>
        </w:rPr>
        <w:t>指行政单位（包括实行公务员管理的事业单位）开支的离退休经费。</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13</w:t>
      </w:r>
      <w:r>
        <w:rPr>
          <w:rFonts w:hint="eastAsia" w:eastAsia="仿宋_GB2312" w:cs="仿宋_GB2312"/>
          <w:sz w:val="32"/>
          <w:szCs w:val="32"/>
        </w:rPr>
        <w:t>.社会保障和就业（类）行政事业单位养老支出（款）机关事业单位基本养老保险缴费支出（项）:指</w:t>
      </w:r>
      <w:r>
        <w:rPr>
          <w:rFonts w:hint="eastAsia" w:eastAsia="仿宋_GB2312" w:cs="仿宋_GB2312"/>
          <w:sz w:val="32"/>
          <w:szCs w:val="32"/>
          <w:lang w:eastAsia="zh-CN"/>
        </w:rPr>
        <w:t>机关事业单位实施养老保险制度由单位缴纳的基本养老保险费支出。</w:t>
      </w:r>
    </w:p>
    <w:p>
      <w:pPr>
        <w:spacing w:line="600" w:lineRule="exact"/>
        <w:ind w:firstLine="640"/>
        <w:rPr>
          <w:rFonts w:hint="default" w:eastAsia="仿宋_GB2312" w:cs="仿宋_GB2312"/>
          <w:sz w:val="32"/>
          <w:szCs w:val="32"/>
          <w:lang w:val="en-US"/>
        </w:rPr>
      </w:pPr>
      <w:r>
        <w:rPr>
          <w:rFonts w:hint="eastAsia" w:eastAsia="仿宋_GB2312" w:cs="仿宋_GB2312"/>
          <w:sz w:val="32"/>
          <w:szCs w:val="32"/>
          <w:lang w:val="en-US" w:eastAsia="zh-CN"/>
        </w:rPr>
        <w:t>14.</w:t>
      </w:r>
      <w:r>
        <w:rPr>
          <w:rFonts w:hint="eastAsia" w:eastAsia="仿宋_GB2312" w:cs="仿宋_GB2312"/>
          <w:sz w:val="32"/>
          <w:szCs w:val="32"/>
        </w:rPr>
        <w:t>社会保障和就业（类）</w:t>
      </w:r>
      <w:r>
        <w:rPr>
          <w:rFonts w:hint="eastAsia" w:eastAsia="仿宋_GB2312" w:cs="仿宋_GB2312"/>
          <w:sz w:val="32"/>
          <w:szCs w:val="32"/>
          <w:lang w:val="en-US" w:eastAsia="zh-CN"/>
        </w:rPr>
        <w:t>社会福利</w:t>
      </w:r>
      <w:r>
        <w:rPr>
          <w:rFonts w:hint="eastAsia" w:eastAsia="仿宋_GB2312" w:cs="仿宋_GB2312"/>
          <w:sz w:val="32"/>
          <w:szCs w:val="32"/>
        </w:rPr>
        <w:t>（款）</w:t>
      </w:r>
      <w:r>
        <w:rPr>
          <w:rFonts w:hint="eastAsia" w:eastAsia="仿宋_GB2312" w:cs="仿宋_GB2312"/>
          <w:sz w:val="32"/>
          <w:szCs w:val="32"/>
          <w:lang w:eastAsia="zh-CN"/>
        </w:rPr>
        <w:t>儿童福利</w:t>
      </w:r>
      <w:r>
        <w:rPr>
          <w:rFonts w:hint="eastAsia" w:eastAsia="仿宋_GB2312" w:cs="仿宋_GB2312"/>
          <w:sz w:val="32"/>
          <w:szCs w:val="32"/>
        </w:rPr>
        <w:t>（项）</w:t>
      </w:r>
      <w:r>
        <w:rPr>
          <w:rFonts w:hint="eastAsia" w:eastAsia="仿宋_GB2312" w:cs="仿宋_GB2312"/>
          <w:sz w:val="32"/>
          <w:szCs w:val="32"/>
          <w:lang w:eastAsia="zh-CN"/>
        </w:rPr>
        <w:t>：</w:t>
      </w:r>
      <w:r>
        <w:rPr>
          <w:rFonts w:hint="eastAsia" w:eastAsia="仿宋_GB2312" w:cs="仿宋_GB2312"/>
          <w:sz w:val="32"/>
          <w:szCs w:val="32"/>
          <w:lang w:val="en-US" w:eastAsia="zh-CN"/>
        </w:rPr>
        <w:t>指对儿童提供福利服务方面的支出。</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15</w:t>
      </w:r>
      <w:r>
        <w:rPr>
          <w:rFonts w:hint="eastAsia" w:eastAsia="仿宋_GB2312" w:cs="仿宋_GB2312"/>
          <w:sz w:val="32"/>
          <w:szCs w:val="32"/>
        </w:rPr>
        <w:t>.</w:t>
      </w:r>
      <w:r>
        <w:rPr>
          <w:rFonts w:hint="eastAsia" w:eastAsia="仿宋_GB2312" w:cs="仿宋_GB2312"/>
          <w:sz w:val="32"/>
          <w:szCs w:val="32"/>
          <w:lang w:eastAsia="zh-CN"/>
        </w:rPr>
        <w:t>卫生健康</w:t>
      </w:r>
      <w:r>
        <w:rPr>
          <w:rFonts w:hint="eastAsia" w:eastAsia="仿宋_GB2312" w:cs="仿宋_GB2312"/>
          <w:sz w:val="32"/>
          <w:szCs w:val="32"/>
        </w:rPr>
        <w:t>（类）</w:t>
      </w:r>
      <w:r>
        <w:rPr>
          <w:rFonts w:hint="eastAsia" w:eastAsia="仿宋_GB2312" w:cs="仿宋_GB2312"/>
          <w:sz w:val="32"/>
          <w:szCs w:val="32"/>
          <w:lang w:eastAsia="zh-CN"/>
        </w:rPr>
        <w:t>行政事业单位医疗</w:t>
      </w:r>
      <w:r>
        <w:rPr>
          <w:rFonts w:hint="eastAsia" w:eastAsia="仿宋_GB2312" w:cs="仿宋_GB2312"/>
          <w:sz w:val="32"/>
          <w:szCs w:val="32"/>
        </w:rPr>
        <w:t>（款）行政</w:t>
      </w:r>
      <w:r>
        <w:rPr>
          <w:rFonts w:hint="eastAsia" w:eastAsia="仿宋_GB2312" w:cs="仿宋_GB2312"/>
          <w:sz w:val="32"/>
          <w:szCs w:val="32"/>
          <w:lang w:eastAsia="zh-CN"/>
        </w:rPr>
        <w:t>单位医疗</w:t>
      </w:r>
      <w:r>
        <w:rPr>
          <w:rFonts w:hint="eastAsia" w:eastAsia="仿宋_GB2312" w:cs="仿宋_GB2312"/>
          <w:sz w:val="32"/>
          <w:szCs w:val="32"/>
        </w:rPr>
        <w:t>（项）:</w:t>
      </w:r>
      <w:r>
        <w:rPr>
          <w:rFonts w:hint="eastAsia" w:eastAsia="仿宋_GB2312" w:cs="仿宋_GB2312"/>
          <w:sz w:val="32"/>
          <w:szCs w:val="32"/>
          <w:lang w:eastAsia="zh-CN"/>
        </w:rPr>
        <w:t>指财政部门安排的行政单位（包括实行公务员管理的事业单位）基本医疗保险缴费经费，未参加医疗保险的行政单位的公费医疗经费，按国家规定享受离休人员、红军老战士待遇人员的医疗经费。</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16</w:t>
      </w:r>
      <w:r>
        <w:rPr>
          <w:rFonts w:hint="eastAsia" w:eastAsia="仿宋_GB2312" w:cs="仿宋_GB2312"/>
          <w:sz w:val="32"/>
          <w:szCs w:val="32"/>
        </w:rPr>
        <w:t>.</w:t>
      </w:r>
      <w:r>
        <w:rPr>
          <w:rFonts w:hint="eastAsia" w:eastAsia="仿宋_GB2312" w:cs="仿宋_GB2312"/>
          <w:sz w:val="32"/>
          <w:szCs w:val="32"/>
          <w:lang w:eastAsia="zh-CN"/>
        </w:rPr>
        <w:t>卫生健康</w:t>
      </w:r>
      <w:r>
        <w:rPr>
          <w:rFonts w:hint="eastAsia" w:eastAsia="仿宋_GB2312" w:cs="仿宋_GB2312"/>
          <w:sz w:val="32"/>
          <w:szCs w:val="32"/>
        </w:rPr>
        <w:t>（类）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公务员医疗补助</w:t>
      </w:r>
      <w:r>
        <w:rPr>
          <w:rFonts w:hint="eastAsia" w:eastAsia="仿宋_GB2312" w:cs="仿宋_GB2312"/>
          <w:sz w:val="32"/>
          <w:szCs w:val="32"/>
        </w:rPr>
        <w:t>（项）:</w:t>
      </w:r>
      <w:r>
        <w:rPr>
          <w:rFonts w:hint="eastAsia" w:eastAsia="仿宋_GB2312" w:cs="仿宋_GB2312"/>
          <w:sz w:val="32"/>
          <w:szCs w:val="32"/>
          <w:lang w:eastAsia="zh-CN"/>
        </w:rPr>
        <w:t>指财政部门安排的公务员医疗补助经费。</w:t>
      </w:r>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17</w:t>
      </w:r>
      <w:r>
        <w:rPr>
          <w:rFonts w:hint="eastAsia" w:eastAsia="仿宋_GB2312" w:cs="仿宋_GB2312"/>
          <w:sz w:val="32"/>
          <w:szCs w:val="32"/>
        </w:rPr>
        <w:t>.</w:t>
      </w:r>
      <w:r>
        <w:rPr>
          <w:rFonts w:hint="eastAsia" w:eastAsia="仿宋_GB2312" w:cs="仿宋_GB2312"/>
          <w:sz w:val="32"/>
          <w:szCs w:val="32"/>
          <w:lang w:eastAsia="zh-CN"/>
        </w:rPr>
        <w:t>卫生健康</w:t>
      </w:r>
      <w:r>
        <w:rPr>
          <w:rFonts w:hint="eastAsia" w:eastAsia="仿宋_GB2312" w:cs="仿宋_GB2312"/>
          <w:sz w:val="32"/>
          <w:szCs w:val="32"/>
        </w:rPr>
        <w:t>（类）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其他行政事业单位医疗</w:t>
      </w:r>
      <w:r>
        <w:rPr>
          <w:rFonts w:hint="eastAsia" w:eastAsia="仿宋_GB2312" w:cs="仿宋_GB2312"/>
          <w:sz w:val="32"/>
          <w:szCs w:val="32"/>
        </w:rPr>
        <w:t>（项）:</w:t>
      </w:r>
      <w:r>
        <w:rPr>
          <w:rFonts w:hint="eastAsia" w:eastAsia="仿宋_GB2312" w:cs="仿宋_GB2312"/>
          <w:sz w:val="32"/>
          <w:szCs w:val="32"/>
          <w:lang w:eastAsia="zh-CN"/>
        </w:rPr>
        <w:t>指其他用于行政事业单位医疗方面的</w:t>
      </w:r>
      <w:r>
        <w:rPr>
          <w:rFonts w:hint="eastAsia" w:eastAsia="仿宋_GB2312" w:cs="仿宋_GB2312"/>
          <w:sz w:val="32"/>
          <w:szCs w:val="32"/>
          <w:lang w:val="en-US" w:eastAsia="zh-CN"/>
        </w:rPr>
        <w:t>支出。</w:t>
      </w:r>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18</w:t>
      </w:r>
      <w:r>
        <w:rPr>
          <w:rFonts w:hint="eastAsia" w:eastAsia="仿宋_GB2312" w:cs="仿宋_GB2312"/>
          <w:sz w:val="32"/>
          <w:szCs w:val="32"/>
        </w:rPr>
        <w:t>.</w:t>
      </w:r>
      <w:r>
        <w:rPr>
          <w:rFonts w:hint="eastAsia" w:eastAsia="仿宋_GB2312" w:cs="仿宋_GB2312"/>
          <w:sz w:val="32"/>
          <w:szCs w:val="32"/>
          <w:lang w:eastAsia="zh-CN"/>
        </w:rPr>
        <w:t>卫生健康</w:t>
      </w:r>
      <w:r>
        <w:rPr>
          <w:rFonts w:hint="eastAsia" w:eastAsia="仿宋_GB2312" w:cs="仿宋_GB2312"/>
          <w:sz w:val="32"/>
          <w:szCs w:val="32"/>
        </w:rPr>
        <w:t>（类）</w:t>
      </w:r>
      <w:r>
        <w:rPr>
          <w:rFonts w:hint="eastAsia" w:eastAsia="仿宋_GB2312" w:cs="仿宋_GB2312"/>
          <w:sz w:val="32"/>
          <w:szCs w:val="32"/>
          <w:lang w:eastAsia="zh-CN"/>
        </w:rPr>
        <w:t>其他卫生健康支出</w:t>
      </w:r>
      <w:r>
        <w:rPr>
          <w:rFonts w:hint="eastAsia" w:eastAsia="仿宋_GB2312" w:cs="仿宋_GB2312"/>
          <w:sz w:val="32"/>
          <w:szCs w:val="32"/>
        </w:rPr>
        <w:t>（款）</w:t>
      </w:r>
      <w:r>
        <w:rPr>
          <w:rFonts w:hint="eastAsia" w:eastAsia="仿宋_GB2312" w:cs="仿宋_GB2312"/>
          <w:sz w:val="32"/>
          <w:szCs w:val="32"/>
          <w:lang w:eastAsia="zh-CN"/>
        </w:rPr>
        <w:t>其他卫生健康支出</w:t>
      </w:r>
      <w:r>
        <w:rPr>
          <w:rFonts w:hint="eastAsia" w:eastAsia="仿宋_GB2312" w:cs="仿宋_GB2312"/>
          <w:sz w:val="32"/>
          <w:szCs w:val="32"/>
        </w:rPr>
        <w:t>（项）:</w:t>
      </w:r>
      <w:r>
        <w:rPr>
          <w:rFonts w:hint="eastAsia" w:eastAsia="仿宋_GB2312" w:cs="仿宋_GB2312"/>
          <w:sz w:val="32"/>
          <w:szCs w:val="32"/>
          <w:lang w:eastAsia="zh-CN"/>
        </w:rPr>
        <w:t>指其他用于卫生健康方面的</w:t>
      </w:r>
      <w:r>
        <w:rPr>
          <w:rFonts w:hint="eastAsia" w:eastAsia="仿宋_GB2312" w:cs="仿宋_GB2312"/>
          <w:sz w:val="32"/>
          <w:szCs w:val="32"/>
          <w:lang w:val="en-US" w:eastAsia="zh-CN"/>
        </w:rPr>
        <w:t>支出。</w:t>
      </w:r>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19</w:t>
      </w:r>
      <w:r>
        <w:rPr>
          <w:rFonts w:hint="eastAsia" w:eastAsia="仿宋_GB2312" w:cs="仿宋_GB2312"/>
          <w:sz w:val="32"/>
          <w:szCs w:val="32"/>
        </w:rPr>
        <w:t>.住房保障（类）住房改革支出（款）住房公积金（项）：指</w:t>
      </w:r>
      <w:r>
        <w:rPr>
          <w:rFonts w:hint="eastAsia" w:eastAsia="仿宋_GB2312" w:cs="仿宋_GB2312"/>
          <w:sz w:val="32"/>
          <w:szCs w:val="32"/>
          <w:lang w:eastAsia="zh-CN"/>
        </w:rPr>
        <w:t>行政事业单位按人力资源和社会保障部、财政部规定的基本工资和津贴补贴以及规定比例为职工缴纳的住房公积金</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20</w:t>
      </w:r>
      <w:r>
        <w:rPr>
          <w:rFonts w:hint="eastAsia" w:eastAsia="仿宋_GB2312" w:cs="仿宋_GB2312"/>
          <w:sz w:val="32"/>
          <w:szCs w:val="32"/>
        </w:rPr>
        <w:t>.基本支出：指为保障机构正常运转、完成日常工作任务而发生的人员支出和公用支出。</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21</w:t>
      </w:r>
      <w:r>
        <w:rPr>
          <w:rFonts w:hint="eastAsia" w:eastAsia="仿宋_GB2312" w:cs="仿宋_GB2312"/>
          <w:sz w:val="32"/>
          <w:szCs w:val="32"/>
        </w:rPr>
        <w:t xml:space="preserve">.项目支出：指在基本支出之外为完成特定行政任务和事业发展目标所发生的支出。 </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22</w:t>
      </w:r>
      <w:r>
        <w:rPr>
          <w:rFonts w:hint="eastAsia" w:eastAsia="仿宋_GB2312" w:cs="仿宋_GB2312"/>
          <w:sz w:val="32"/>
          <w:szCs w:val="32"/>
        </w:rPr>
        <w:t>.经营支出：指事业单位在专业业务活动及其辅助活动之外开展非独立核算经营活动发生的支出。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23</w:t>
      </w:r>
      <w:r>
        <w:rPr>
          <w:rFonts w:hint="eastAsia" w:eastAsia="仿宋_GB2312" w:cs="仿宋_GB2312"/>
          <w:sz w:val="32"/>
          <w:szCs w:val="32"/>
        </w:rPr>
        <w:t>.“三公”经费：指</w:t>
      </w:r>
      <w:r>
        <w:rPr>
          <w:rFonts w:hint="eastAsia" w:eastAsia="仿宋_GB2312" w:cs="仿宋_GB2312"/>
          <w:sz w:val="32"/>
          <w:szCs w:val="32"/>
          <w:lang w:eastAsia="zh-CN"/>
        </w:rPr>
        <w:t>单位</w:t>
      </w:r>
      <w:r>
        <w:rPr>
          <w:rFonts w:hint="eastAsia" w:eastAsia="仿宋_GB2312" w:cs="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24</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eastAsia="黑体"/>
          <w:b w:val="0"/>
        </w:rPr>
      </w:pPr>
      <w:r>
        <w:rPr>
          <w:rFonts w:hint="eastAsia" w:eastAsia="仿宋_GB2312" w:cs="仿宋_GB2312"/>
          <w:sz w:val="32"/>
          <w:szCs w:val="32"/>
        </w:rPr>
        <w:br w:type="page"/>
      </w:r>
      <w:r>
        <w:rPr>
          <w:rFonts w:hint="eastAsia" w:eastAsia="黑体"/>
          <w:sz w:val="44"/>
          <w:szCs w:val="44"/>
        </w:rPr>
        <w:t>第四部分  附件</w:t>
      </w:r>
    </w:p>
    <w:p>
      <w:pPr>
        <w:widowControl/>
        <w:numPr>
          <w:ilvl w:val="0"/>
          <w:numId w:val="0"/>
        </w:numPr>
        <w:ind w:firstLine="640" w:firstLineChars="200"/>
        <w:jc w:val="both"/>
        <w:rPr>
          <w:rFonts w:hint="eastAsia" w:ascii="Times New Roman" w:eastAsia="仿宋_GB2312"/>
          <w:sz w:val="32"/>
        </w:rPr>
      </w:pPr>
      <w:r>
        <w:rPr>
          <w:rFonts w:hint="eastAsia" w:ascii="Times New Roman" w:eastAsia="仿宋_GB2312"/>
          <w:sz w:val="32"/>
          <w:lang w:val="zh-CN"/>
        </w:rPr>
        <w:t>附表：</w:t>
      </w:r>
      <w:r>
        <w:rPr>
          <w:rFonts w:hint="eastAsia" w:eastAsia="仿宋_GB2312"/>
          <w:sz w:val="32"/>
          <w:lang w:val="en-US" w:eastAsia="zh-CN"/>
        </w:rPr>
        <w:t>单位</w:t>
      </w:r>
      <w:r>
        <w:rPr>
          <w:rFonts w:hint="eastAsia" w:ascii="Times New Roman" w:eastAsia="仿宋_GB2312"/>
          <w:sz w:val="32"/>
        </w:rPr>
        <w:t>预算项目支出绩效自评表（202</w:t>
      </w:r>
      <w:r>
        <w:rPr>
          <w:rFonts w:hint="eastAsia" w:ascii="Times New Roman" w:eastAsia="仿宋_GB2312"/>
          <w:sz w:val="32"/>
          <w:lang w:val="en-US" w:eastAsia="zh-CN"/>
        </w:rPr>
        <w:t>5</w:t>
      </w:r>
      <w:r>
        <w:rPr>
          <w:rFonts w:hint="eastAsia" w:ascii="Times New Roman" w:eastAsia="仿宋_GB2312"/>
          <w:sz w:val="32"/>
        </w:rPr>
        <w:t>年度）见附件3</w:t>
      </w:r>
    </w:p>
    <w:p>
      <w:pPr>
        <w:rPr>
          <w:lang w:val="zh-CN"/>
        </w:rPr>
      </w:pPr>
    </w:p>
    <w:p>
      <w:pPr>
        <w:spacing w:line="572" w:lineRule="exact"/>
        <w:jc w:val="left"/>
        <w:outlineLvl w:val="0"/>
        <w:rPr>
          <w:rFonts w:eastAsia="黑体" w:cs="黑体"/>
          <w:color w:val="FF0000"/>
          <w:sz w:val="32"/>
          <w:szCs w:val="32"/>
        </w:rPr>
      </w:pPr>
    </w:p>
    <w:p>
      <w:pPr>
        <w:pStyle w:val="13"/>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二、收入决算表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三、支出决算表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四、财政拨款收入支出决算总表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五、财政拨款支出决算明细表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八、一般公共预算财政拨款基本支出决算表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十一、国有资本经营预算财政拨款收入支出决算表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十二、国有资本经营预算财政拨款支出决算表</w:t>
      </w: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十三、财政拨款“三公”经费支出决算表</w:t>
      </w:r>
    </w:p>
    <w:p/>
    <w:p/>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国标宋体-超大字符集扩"/>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1BBC3"/>
    <w:multiLevelType w:val="singleLevel"/>
    <w:tmpl w:val="C0D1BB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A9B"/>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080EEF"/>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EC27A"/>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77C14"/>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D7B8C1"/>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0915;&#31639;&#20844;&#24320;\&#28304;&#25968;&#25454;&#2227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0915;&#31639;&#20844;&#24320;\&#28304;&#25968;&#25454;&#2227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0915;&#31639;&#20844;&#24320;\&#28304;&#25968;&#25454;&#2227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0915;&#31639;&#20844;&#24320;\&#28304;&#25968;&#25454;&#2227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5&#20915;&#31639;&#20844;&#24320;\&#28304;&#25968;&#25454;&#2227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0915;&#31639;&#20844;&#24320;\&#28304;&#25968;&#25454;&#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[源数据图.xlsx]柱状图!$A$2</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[源数据图.xlsx]柱状图!$B$1</c:f>
              <c:strCache>
                <c:ptCount val="1"/>
                <c:pt idx="0">
                  <c:v>收、支决算总计
</c:v>
                </c:pt>
              </c:strCache>
            </c:strRef>
          </c:cat>
          <c:val>
            <c:numRef>
              <c:f>[源数据图.xlsx]柱状图!$B$2</c:f>
              <c:numCache>
                <c:formatCode>General</c:formatCode>
                <c:ptCount val="1"/>
                <c:pt idx="0">
                  <c:v>288.23</c:v>
                </c:pt>
              </c:numCache>
            </c:numRef>
          </c:val>
        </c:ser>
        <c:ser>
          <c:idx val="1"/>
          <c:order val="1"/>
          <c:tx>
            <c:strRef>
              <c:f>[源数据图.xlsx]柱状图!$A$3</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[源数据图.xlsx]柱状图!$B$1</c:f>
              <c:strCache>
                <c:ptCount val="1"/>
                <c:pt idx="0">
                  <c:v>收、支决算总计
</c:v>
                </c:pt>
              </c:strCache>
            </c:strRef>
          </c:cat>
          <c:val>
            <c:numRef>
              <c:f>[源数据图.xlsx]柱状图!$B$3</c:f>
              <c:numCache>
                <c:formatCode>General</c:formatCode>
                <c:ptCount val="1"/>
                <c:pt idx="0">
                  <c:v>271.02</c:v>
                </c:pt>
              </c:numCache>
            </c:numRef>
          </c:val>
        </c:ser>
        <c:dLbls>
          <c:showLegendKey val="false"/>
          <c:showVal val="true"/>
          <c:showCatName val="false"/>
          <c:showSerName val="false"/>
          <c:showPercent val="false"/>
          <c:showBubbleSize val="false"/>
        </c:dLbls>
        <c:gapWidth val="219"/>
        <c:overlap val="-27"/>
        <c:axId val="177136905"/>
        <c:axId val="468196477"/>
      </c:barChart>
      <c:catAx>
        <c:axId val="177136905"/>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68196477"/>
        <c:crosses val="autoZero"/>
        <c:auto val="true"/>
        <c:lblAlgn val="ctr"/>
        <c:lblOffset val="100"/>
        <c:noMultiLvlLbl val="false"/>
      </c:catAx>
      <c:valAx>
        <c:axId val="468196477"/>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7713690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本年收入</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solidFill>
                <a:schemeClr val="accent2">
                  <a:lumMod val="60000"/>
                </a:schemeClr>
              </a:solidFill>
              <a:ln w="19050">
                <a:solidFill>
                  <a:schemeClr val="lt1"/>
                </a:solidFill>
              </a:ln>
              <a:effectLst/>
            </c:spPr>
          </c:dPt>
          <c:dLbls>
            <c:delete val="true"/>
          </c:dLbls>
          <c:cat>
            <c:strRef>
              <c:f>[源数据图.xlsx]饼4!$A$1:$A$8</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[源数据图.xlsx]饼4!$B$1:$B$8</c:f>
              <c:numCache>
                <c:formatCode>General</c:formatCode>
                <c:ptCount val="8"/>
                <c:pt idx="0">
                  <c:v>271.02</c:v>
                </c:pt>
                <c:pt idx="1">
                  <c:v>0</c:v>
                </c:pt>
                <c:pt idx="2">
                  <c:v>0</c:v>
                </c:pt>
                <c:pt idx="3">
                  <c:v>0</c:v>
                </c:pt>
                <c:pt idx="4">
                  <c:v>0</c:v>
                </c:pt>
                <c:pt idx="5">
                  <c:v>0</c:v>
                </c:pt>
                <c:pt idx="6">
                  <c:v>0</c:v>
                </c:pt>
                <c:pt idx="7">
                  <c:v>0</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本年支出</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[源数据图.xlsx]饼2!$A$2:$A$3</c:f>
              <c:strCache>
                <c:ptCount val="2"/>
                <c:pt idx="0">
                  <c:v>基本支出</c:v>
                </c:pt>
                <c:pt idx="1">
                  <c:v>项目支出</c:v>
                </c:pt>
              </c:strCache>
            </c:strRef>
          </c:cat>
          <c:val>
            <c:numRef>
              <c:f>[源数据图.xlsx]饼2!$B$2:$B$3</c:f>
              <c:numCache>
                <c:formatCode>General</c:formatCode>
                <c:ptCount val="2"/>
                <c:pt idx="0">
                  <c:v>266.98</c:v>
                </c:pt>
                <c:pt idx="1">
                  <c:v>4.04</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[源数据图.xlsx]柱状图!$A$2</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[源数据图.xlsx]柱状图!$B$1</c:f>
              <c:strCache>
                <c:ptCount val="1"/>
                <c:pt idx="0">
                  <c:v>财政拨款收、支决算总计
</c:v>
                </c:pt>
              </c:strCache>
            </c:strRef>
          </c:cat>
          <c:val>
            <c:numRef>
              <c:f>[源数据图.xlsx]柱状图!$B$2</c:f>
              <c:numCache>
                <c:formatCode>General</c:formatCode>
                <c:ptCount val="1"/>
                <c:pt idx="0">
                  <c:v>288.23</c:v>
                </c:pt>
              </c:numCache>
            </c:numRef>
          </c:val>
        </c:ser>
        <c:ser>
          <c:idx val="1"/>
          <c:order val="1"/>
          <c:tx>
            <c:strRef>
              <c:f>[源数据图.xlsx]柱状图!$A$3</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[源数据图.xlsx]柱状图!$B$1</c:f>
              <c:strCache>
                <c:ptCount val="1"/>
                <c:pt idx="0">
                  <c:v>财政拨款收、支决算总计
</c:v>
                </c:pt>
              </c:strCache>
            </c:strRef>
          </c:cat>
          <c:val>
            <c:numRef>
              <c:f>[源数据图.xlsx]柱状图!$B$3</c:f>
              <c:numCache>
                <c:formatCode>General</c:formatCode>
                <c:ptCount val="1"/>
                <c:pt idx="0">
                  <c:v>271.02</c:v>
                </c:pt>
              </c:numCache>
            </c:numRef>
          </c:val>
        </c:ser>
        <c:dLbls>
          <c:showLegendKey val="false"/>
          <c:showVal val="true"/>
          <c:showCatName val="false"/>
          <c:showSerName val="false"/>
          <c:showPercent val="false"/>
          <c:showBubbleSize val="false"/>
        </c:dLbls>
        <c:gapWidth val="219"/>
        <c:overlap val="-27"/>
        <c:axId val="177136905"/>
        <c:axId val="468196477"/>
      </c:barChart>
      <c:catAx>
        <c:axId val="177136905"/>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68196477"/>
        <c:crosses val="autoZero"/>
        <c:auto val="true"/>
        <c:lblAlgn val="ctr"/>
        <c:lblOffset val="100"/>
        <c:noMultiLvlLbl val="false"/>
      </c:catAx>
      <c:valAx>
        <c:axId val="468196477"/>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7713690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916111111111111"/>
          <c:y val="0.0509259259259259"/>
          <c:w val="0.87575"/>
          <c:h val="0.732268518518518"/>
        </c:manualLayout>
      </c:layout>
      <c:barChart>
        <c:barDir val="col"/>
        <c:grouping val="clustered"/>
        <c:varyColors val="false"/>
        <c:ser>
          <c:idx val="0"/>
          <c:order val="0"/>
          <c:tx>
            <c:strRef>
              <c:f>[源数据图.xlsx]柱状图!$B$24</c:f>
              <c:strCache>
                <c:ptCount val="1"/>
                <c:pt idx="0">
                  <c:v>一般公共预算财政拨款支出</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[源数据图.xlsx]柱状图!$A$25:$A$26</c:f>
              <c:strCache>
                <c:ptCount val="2"/>
                <c:pt idx="0">
                  <c:v>2024年</c:v>
                </c:pt>
                <c:pt idx="1">
                  <c:v>2025年</c:v>
                </c:pt>
              </c:strCache>
            </c:strRef>
          </c:cat>
          <c:val>
            <c:numRef>
              <c:f>[源数据图.xlsx]柱状图!$B$25:$B$26</c:f>
              <c:numCache>
                <c:formatCode>General</c:formatCode>
                <c:ptCount val="2"/>
                <c:pt idx="0">
                  <c:v>288.23</c:v>
                </c:pt>
                <c:pt idx="1">
                  <c:v>271.02</c:v>
                </c:pt>
              </c:numCache>
            </c:numRef>
          </c:val>
        </c:ser>
        <c:dLbls>
          <c:showLegendKey val="false"/>
          <c:showVal val="true"/>
          <c:showCatName val="false"/>
          <c:showSerName val="false"/>
          <c:showPercent val="false"/>
          <c:showBubbleSize val="false"/>
        </c:dLbls>
        <c:gapWidth val="75"/>
        <c:overlap val="-25"/>
        <c:axId val="60429384"/>
        <c:axId val="188455895"/>
      </c:barChart>
      <c:catAx>
        <c:axId val="60429384"/>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88455895"/>
        <c:crosses val="autoZero"/>
        <c:auto val="true"/>
        <c:lblAlgn val="ctr"/>
        <c:lblOffset val="100"/>
        <c:noMultiLvlLbl val="false"/>
      </c:catAx>
      <c:valAx>
        <c:axId val="188455895"/>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0429384"/>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[源数据图.xlsx]饼状图1!$A$2:$A$5</c:f>
              <c:strCache>
                <c:ptCount val="4"/>
                <c:pt idx="0">
                  <c:v>一般公共服务支出</c:v>
                </c:pt>
                <c:pt idx="1">
                  <c:v>社会保障和就业支出</c:v>
                </c:pt>
                <c:pt idx="2">
                  <c:v>卫生健康支出</c:v>
                </c:pt>
                <c:pt idx="3">
                  <c:v>住房保障支出</c:v>
                </c:pt>
              </c:strCache>
            </c:strRef>
          </c:cat>
          <c:val>
            <c:numRef>
              <c:f>[源数据图.xlsx]饼状图1!$B$2:$B$5</c:f>
              <c:numCache>
                <c:formatCode>0.0%</c:formatCode>
                <c:ptCount val="4"/>
                <c:pt idx="0">
                  <c:v>0.704</c:v>
                </c:pt>
                <c:pt idx="1">
                  <c:v>0.176</c:v>
                </c:pt>
                <c:pt idx="2">
                  <c:v>0.053</c:v>
                </c:pt>
                <c:pt idx="3">
                  <c:v>0.067</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4976</Words>
  <Characters>5398</Characters>
  <Lines>63</Lines>
  <Paragraphs>17</Paragraphs>
  <TotalTime>21</TotalTime>
  <ScaleCrop>false</ScaleCrop>
  <LinksUpToDate>false</LinksUpToDate>
  <CharactersWithSpaces>5456</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靜待婲閞</cp:lastModifiedBy>
  <cp:lastPrinted>2026-08-27T16:27:00Z</cp:lastPrinted>
  <dcterms:modified xsi:type="dcterms:W3CDTF">2026-09-15T08:43:28Z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3BF536824C220DA3E40E8B68BA118B1C_42</vt:lpwstr>
  </property>
  <property fmtid="{D5CDD505-2E9C-101B-9397-08002B2CF9AE}" pid="4" name="KSOTemplateDocerSaveRecord">
    <vt:lpwstr>eyJoZGlkIjoiMThhZTIxMTgxMTgxZjEzYjFkMzE1MTlkMzQ0ODIyNmQiLCJ1c2VySWQiOiIzMjU4NjA4NDQifQ==</vt:lpwstr>
  </property>
</Properties>
</file>