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EC19">
      <w:pPr>
        <w:rPr>
          <w:rFonts w:ascii="Times New Roman" w:hAnsi="Times New Roman"/>
        </w:rPr>
      </w:pPr>
      <w:bookmarkStart w:id="0" w:name="_Toc15396597"/>
      <w:bookmarkStart w:id="1" w:name="_Toc15396475"/>
      <w:bookmarkStart w:id="2" w:name="_Toc15377425"/>
      <w:bookmarkStart w:id="3" w:name="_Toc15377193"/>
      <w:bookmarkStart w:id="4" w:name="_Toc15378441"/>
      <w:bookmarkStart w:id="5" w:name="_Toc15306267"/>
    </w:p>
    <w:p w14:paraId="11592194">
      <w:pPr>
        <w:pStyle w:val="8"/>
        <w:spacing w:before="93"/>
        <w:rPr>
          <w:rFonts w:hint="eastAsia" w:ascii="Times New Roman" w:eastAsia="方正小标宋简体"/>
          <w:kern w:val="2"/>
          <w:sz w:val="72"/>
          <w:szCs w:val="72"/>
        </w:rPr>
      </w:pPr>
    </w:p>
    <w:p w14:paraId="4CE53005">
      <w:pPr>
        <w:pStyle w:val="8"/>
        <w:spacing w:before="93"/>
        <w:rPr>
          <w:rFonts w:ascii="Times New Roman" w:eastAsia="方正小标宋简体"/>
          <w:kern w:val="2"/>
          <w:sz w:val="72"/>
          <w:szCs w:val="72"/>
        </w:rPr>
      </w:pPr>
    </w:p>
    <w:p w14:paraId="123B73F7">
      <w:pPr>
        <w:pStyle w:val="8"/>
        <w:spacing w:before="93"/>
        <w:rPr>
          <w:rFonts w:hint="eastAsia" w:ascii="Times New Roman" w:eastAsia="方正小标宋简体"/>
          <w:kern w:val="2"/>
          <w:sz w:val="72"/>
          <w:szCs w:val="72"/>
        </w:rPr>
      </w:pPr>
    </w:p>
    <w:p w14:paraId="1D78C8D1">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2025年度市级部门（单位）决算</w:t>
      </w:r>
    </w:p>
    <w:p w14:paraId="76A76A16">
      <w:pPr>
        <w:pStyle w:val="8"/>
        <w:spacing w:before="93"/>
        <w:jc w:val="center"/>
        <w:rPr>
          <w:rFonts w:hint="eastAsia" w:ascii="Times New Roman" w:hAns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方正小标宋简体"/>
          <w:kern w:val="2"/>
          <w:sz w:val="44"/>
          <w:szCs w:val="44"/>
        </w:rPr>
        <w:t>公开编制说明</w:t>
      </w:r>
    </w:p>
    <w:p w14:paraId="1EAE789F">
      <w:pPr>
        <w:pStyle w:val="8"/>
        <w:jc w:val="both"/>
        <w:rPr>
          <w:rFonts w:hint="eastAsia" w:ascii="Times New Roman" w:hAnsi="Times New Roman" w:eastAsia="方正小标宋简体" w:cs="Times New Roman"/>
          <w:color w:val="auto"/>
          <w:kern w:val="2"/>
          <w:sz w:val="44"/>
          <w:szCs w:val="44"/>
          <w:highlight w:val="none"/>
          <w:lang w:val="en-US" w:eastAsia="zh-CN" w:bidi="ar-SA"/>
        </w:rPr>
      </w:pPr>
    </w:p>
    <w:p w14:paraId="2C3A75A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3324AA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3ED0C8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EABD926">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96598"/>
      <w:bookmarkStart w:id="9" w:name="_Toc15396476"/>
      <w:bookmarkStart w:id="10" w:name="_Toc15377426"/>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bookmarkEnd w:id="5"/>
    <w:p w14:paraId="29AF3B0F">
      <w:pPr>
        <w:pStyle w:val="8"/>
        <w:jc w:val="center"/>
        <w:rPr>
          <w:rFonts w:hint="eastAsia" w:ascii="Times New Roman" w:eastAsia="方正小标宋简体" w:cs="Times New Roman"/>
          <w:color w:val="auto"/>
          <w:kern w:val="2"/>
          <w:sz w:val="44"/>
          <w:szCs w:val="44"/>
          <w:highlight w:val="none"/>
          <w:lang w:val="en-US" w:eastAsia="zh-CN" w:bidi="ar-SA"/>
        </w:rPr>
      </w:pPr>
      <w:bookmarkStart w:id="11" w:name="_Toc15306268"/>
      <w:r>
        <w:rPr>
          <w:rFonts w:hint="eastAsia" w:ascii="Times New Roman" w:eastAsia="方正小标宋简体" w:cs="Times New Roman"/>
          <w:color w:val="auto"/>
          <w:kern w:val="2"/>
          <w:sz w:val="44"/>
          <w:szCs w:val="44"/>
          <w:highlight w:val="none"/>
          <w:lang w:val="en-US" w:eastAsia="zh-CN" w:bidi="ar-SA"/>
        </w:rPr>
        <w:t>攀枝花市红十字会</w:t>
      </w:r>
    </w:p>
    <w:p w14:paraId="5C815772">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0B391899">
      <w:pPr>
        <w:widowControl/>
        <w:jc w:val="center"/>
        <w:rPr>
          <w:rFonts w:hint="eastAsia" w:ascii="Times New Roman" w:hAnsi="Times New Roman" w:eastAsia="黑体"/>
          <w:color w:val="auto"/>
          <w:sz w:val="48"/>
          <w:szCs w:val="48"/>
          <w:highlight w:val="none"/>
        </w:rPr>
        <w:sectPr>
          <w:pgSz w:w="11906" w:h="16838"/>
          <w:pgMar w:top="1440" w:right="1800" w:bottom="1440" w:left="1800" w:header="851" w:footer="992" w:gutter="0"/>
          <w:pgNumType w:fmt="numberInDash" w:start="1"/>
          <w:cols w:space="425" w:num="1"/>
          <w:docGrid w:type="lines" w:linePitch="312" w:charSpace="0"/>
        </w:sectPr>
      </w:pPr>
    </w:p>
    <w:p w14:paraId="1E044D3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EB14142">
      <w:pPr>
        <w:widowControl/>
        <w:jc w:val="center"/>
        <w:rPr>
          <w:rFonts w:ascii="Times New Roman" w:hAnsi="Times New Roman" w:eastAsia="黑体" w:cstheme="minorBidi"/>
          <w:color w:val="auto"/>
          <w:sz w:val="28"/>
          <w:szCs w:val="28"/>
          <w:highlight w:val="none"/>
        </w:rPr>
      </w:pPr>
    </w:p>
    <w:p w14:paraId="533B1AE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日</w:t>
      </w:r>
    </w:p>
    <w:p w14:paraId="28C32151">
      <w:pPr>
        <w:rPr>
          <w:rFonts w:ascii="Times New Roman" w:hAnsi="Times New Roman"/>
          <w:color w:val="auto"/>
          <w:highlight w:val="none"/>
        </w:rPr>
      </w:pPr>
    </w:p>
    <w:p w14:paraId="6BA01D0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14:paraId="133FC9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主要</w:t>
      </w:r>
      <w:r>
        <w:rPr>
          <w:rFonts w:hint="eastAsia" w:ascii="Times New Roman" w:hAnsi="Times New Roman" w:eastAsia="仿宋_GB2312" w:cs="仿宋_GB2312"/>
          <w:color w:val="auto"/>
          <w:sz w:val="32"/>
          <w:szCs w:val="32"/>
          <w:highlight w:val="none"/>
          <w:lang w:eastAsia="zh-CN"/>
        </w:rPr>
        <w:t>职责</w:t>
      </w:r>
      <w:r>
        <w:rPr>
          <w:rFonts w:hint="eastAsia" w:eastAsia="仿宋_GB2312" w:cs="仿宋_GB2312"/>
          <w:color w:val="auto"/>
          <w:sz w:val="32"/>
          <w:szCs w:val="32"/>
          <w:highlight w:val="none"/>
          <w:lang w:val="en-US" w:eastAsia="zh-CN"/>
        </w:rPr>
        <w:t>.....................................................................1</w:t>
      </w:r>
      <w:bookmarkStart w:id="64" w:name="_GoBack"/>
      <w:bookmarkEnd w:id="64"/>
    </w:p>
    <w:p w14:paraId="6BFB41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14:paraId="0E85C79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14:paraId="187807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.....................................3</w:t>
      </w:r>
    </w:p>
    <w:p w14:paraId="30A31D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14:paraId="1B35AB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14:paraId="7D8EC2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199040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0C86E4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3B6CFB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584B2E9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.........................9</w:t>
      </w:r>
    </w:p>
    <w:p w14:paraId="1D03ACF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75B6CE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38FB1F6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.................................................................12</w:t>
      </w:r>
    </w:p>
    <w:p w14:paraId="5B9CEBC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.........................................................................15</w:t>
      </w:r>
    </w:p>
    <w:p w14:paraId="1378092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1844D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...................................................16</w:t>
      </w:r>
    </w:p>
    <w:p w14:paraId="6840F7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...............................................................16</w:t>
      </w:r>
    </w:p>
    <w:p w14:paraId="67CD4E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...............................................................16</w:t>
      </w:r>
    </w:p>
    <w:p w14:paraId="31ED36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3D6D7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...................................16</w:t>
      </w:r>
    </w:p>
    <w:p w14:paraId="17B6A8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.......................................16</w:t>
      </w:r>
    </w:p>
    <w:p w14:paraId="2DEDF2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.......................16</w:t>
      </w:r>
    </w:p>
    <w:p w14:paraId="2A5F6B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...............16</w:t>
      </w:r>
    </w:p>
    <w:p w14:paraId="22D05C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.......16</w:t>
      </w:r>
    </w:p>
    <w:p w14:paraId="2747D5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...............16</w:t>
      </w:r>
    </w:p>
    <w:p w14:paraId="1B31D5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...........16</w:t>
      </w:r>
    </w:p>
    <w:p w14:paraId="3D8CA9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...16</w:t>
      </w:r>
    </w:p>
    <w:p w14:paraId="3A1FDF3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...........16</w:t>
      </w:r>
    </w:p>
    <w:p w14:paraId="033D03E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...................16</w:t>
      </w:r>
    </w:p>
    <w:p w14:paraId="1AD5D5CB">
      <w:pPr>
        <w:pStyle w:val="5"/>
        <w:jc w:val="center"/>
        <w:rPr>
          <w:rFonts w:hint="eastAsia" w:ascii="Times New Roman" w:hAnsi="Times New Roman" w:eastAsia="方正小标宋简体" w:cs="方正小标宋简体"/>
          <w:b w:val="0"/>
          <w:color w:val="auto"/>
          <w:highlight w:val="none"/>
        </w:rPr>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pPr>
      <w:bookmarkStart w:id="12" w:name="_Toc15396599"/>
      <w:bookmarkStart w:id="13" w:name="_Toc15377196"/>
    </w:p>
    <w:p w14:paraId="65E9FD10">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14:paraId="33225134">
      <w:pPr>
        <w:pStyle w:val="6"/>
        <w:numPr>
          <w:ilvl w:val="0"/>
          <w:numId w:val="1"/>
        </w:numPr>
        <w:ind w:left="420" w:leftChars="0" w:firstLine="224" w:firstLineChars="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主要职责</w:t>
      </w:r>
    </w:p>
    <w:p w14:paraId="3E0F573C">
      <w:pPr>
        <w:spacing w:line="520" w:lineRule="exact"/>
        <w:ind w:firstLine="640" w:firstLineChars="20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rPr>
        <w:t>贯彻落实《中华人民共和国红十字会法》及我省有关法规，执行《中国红十字会章程》，制定并实施攀枝花市红十字事业发展规划。</w:t>
      </w:r>
    </w:p>
    <w:p w14:paraId="505A23E8">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eastAsia="仿宋_GB2312"/>
          <w:sz w:val="32"/>
          <w:szCs w:val="32"/>
        </w:rPr>
        <w:t>开展救援救灾的相关工作，建立红十字应急救援体系，在自然灾害、事故灾难、公共卫生事件等突发事件中，向伤病人员和其他受害者提供紧急救援和人道援助。</w:t>
      </w:r>
    </w:p>
    <w:p w14:paraId="3C8AE821">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sz w:val="32"/>
          <w:szCs w:val="32"/>
        </w:rPr>
        <w:t>开展应急救护培训，普及应急救护、防灾避险和卫生健康知识，组织红十字志愿者参与现场救护。</w:t>
      </w:r>
    </w:p>
    <w:p w14:paraId="135F7A85">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eastAsia="仿宋_GB2312"/>
          <w:sz w:val="32"/>
          <w:szCs w:val="32"/>
        </w:rPr>
        <w:t>参与、推动无偿献血、遗体和人体器官（组织）捐献工作，参与开展造血干细胞捐献的相关工作中。</w:t>
      </w:r>
    </w:p>
    <w:p w14:paraId="62D7491B">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sz w:val="32"/>
          <w:szCs w:val="32"/>
        </w:rPr>
        <w:t>开展人道领域内的社会公益活动，参与基层社会治理，对特殊困难对象进行人道救助。参与或兴办医疗、康复、养老等与红十字会宗旨相符的社会公益事业。</w:t>
      </w:r>
    </w:p>
    <w:p w14:paraId="17AAADB6">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_GB2312" w:eastAsia="仿宋_GB2312"/>
          <w:sz w:val="32"/>
          <w:szCs w:val="32"/>
        </w:rPr>
        <w:t>依法开展募捐活动。依法依规接受和处理分配捐赠款物。</w:t>
      </w:r>
    </w:p>
    <w:p w14:paraId="28007B94">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ascii="仿宋_GB2312" w:eastAsia="仿宋_GB2312"/>
          <w:sz w:val="32"/>
          <w:szCs w:val="32"/>
        </w:rPr>
        <w:t>组织开展红十字志愿服务，开展有益于青少年身心健康、弘扬人道主义精神的红十字青少年活动。</w:t>
      </w:r>
    </w:p>
    <w:p w14:paraId="3A585B5A">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ascii="仿宋_GB2312" w:eastAsia="仿宋_GB2312"/>
          <w:sz w:val="32"/>
          <w:szCs w:val="32"/>
        </w:rPr>
        <w:t>在四川省红十字会指导下，参与国（境）外红十字组织的友好合作与交流，参加国际人道主义救助工作。</w:t>
      </w:r>
    </w:p>
    <w:p w14:paraId="77C2F21E">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指导下级红十字会加强自身建设、组织建设和开展各项工作。</w:t>
      </w:r>
    </w:p>
    <w:p w14:paraId="50D0EDAD">
      <w:pPr>
        <w:spacing w:line="520" w:lineRule="exact"/>
        <w:ind w:firstLine="644"/>
        <w:rPr>
          <w:rFonts w:hint="eastAsia" w:ascii="仿宋_GB2312" w:eastAsia="仿宋_GB2312"/>
          <w:bCs/>
          <w:sz w:val="32"/>
          <w:szCs w:val="32"/>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sz w:val="32"/>
          <w:szCs w:val="32"/>
        </w:rPr>
        <w:t>完成市委、市政府和省红十字会交办、委托的其他任务。</w:t>
      </w:r>
    </w:p>
    <w:p w14:paraId="1D0F6790">
      <w:pPr>
        <w:numPr>
          <w:ilvl w:val="0"/>
          <w:numId w:val="0"/>
        </w:numPr>
        <w:rPr>
          <w:rFonts w:hint="eastAsia"/>
          <w:lang w:eastAsia="zh-CN"/>
        </w:rPr>
      </w:pPr>
    </w:p>
    <w:p w14:paraId="67C2BB50">
      <w:pPr>
        <w:pStyle w:val="6"/>
        <w:ind w:firstLine="640" w:firstLineChars="200"/>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594343F9">
      <w:pPr>
        <w:ind w:firstLine="640" w:firstLineChars="200"/>
        <w:rPr>
          <w:rFonts w:hint="eastAsia" w:ascii="Times New Roman" w:hAnsi="Times New Roman" w:eastAsia="仿宋_GB2312" w:cs="仿宋_GB2312"/>
          <w:color w:val="auto"/>
          <w:sz w:val="32"/>
          <w:szCs w:val="32"/>
          <w:highlight w:val="none"/>
        </w:rPr>
      </w:pPr>
      <w:r>
        <w:rPr>
          <w:rFonts w:hint="eastAsia" w:ascii="仿宋_GB2312" w:eastAsia="仿宋_GB2312"/>
          <w:sz w:val="32"/>
          <w:szCs w:val="32"/>
        </w:rPr>
        <w:t>攀枝花市红十字会是独立核算机构，属参照公务员管理的群团组织</w:t>
      </w:r>
      <w:r>
        <w:rPr>
          <w:rFonts w:hint="eastAsia" w:ascii="仿宋_GB2312" w:eastAsia="仿宋_GB2312"/>
          <w:sz w:val="32"/>
          <w:szCs w:val="32"/>
          <w:lang w:eastAsia="zh-CN"/>
        </w:rPr>
        <w:t>，下属事业单位</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lang w:val="en-US" w:eastAsia="zh-CN"/>
        </w:rPr>
        <w:t>个即攀枝花市红十字会事业发展中心（未独立核算）</w:t>
      </w:r>
      <w:r>
        <w:rPr>
          <w:rFonts w:hint="eastAsia" w:ascii="Times New Roman" w:hAnsi="Times New Roman" w:eastAsia="仿宋_GB2312" w:cs="仿宋_GB2312"/>
          <w:color w:val="auto"/>
          <w:sz w:val="32"/>
          <w:szCs w:val="32"/>
          <w:highlight w:val="none"/>
        </w:rPr>
        <w:t>。</w:t>
      </w:r>
    </w:p>
    <w:p w14:paraId="4F5156A9">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仿宋_GB2312" w:eastAsia="仿宋_GB2312"/>
          <w:sz w:val="32"/>
          <w:szCs w:val="32"/>
        </w:rPr>
        <w:t>纳入</w:t>
      </w: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cs="仿宋_GB2312"/>
          <w:color w:val="auto"/>
          <w:kern w:val="2"/>
          <w:sz w:val="32"/>
          <w:szCs w:val="32"/>
          <w:highlight w:val="none"/>
          <w:lang w:val="en-US" w:eastAsia="zh-CN" w:bidi="ar-SA"/>
        </w:rPr>
        <w:t>5</w:t>
      </w:r>
      <w:r>
        <w:rPr>
          <w:rFonts w:hint="eastAsia" w:ascii="仿宋_GB2312" w:eastAsia="仿宋_GB2312"/>
          <w:sz w:val="32"/>
          <w:szCs w:val="32"/>
        </w:rPr>
        <w:t>年度部门决算编制范围的独立核算单</w:t>
      </w:r>
      <w:r>
        <w:rPr>
          <w:rFonts w:hint="eastAsia" w:ascii="Times New Roman" w:hAnsi="Times New Roman" w:eastAsia="仿宋_GB2312" w:cs="仿宋_GB2312"/>
          <w:color w:val="auto"/>
          <w:kern w:val="2"/>
          <w:sz w:val="32"/>
          <w:szCs w:val="32"/>
          <w:highlight w:val="none"/>
          <w:lang w:val="en-US" w:eastAsia="zh-CN" w:bidi="ar-SA"/>
        </w:rPr>
        <w:t>位1</w:t>
      </w:r>
      <w:r>
        <w:rPr>
          <w:rFonts w:hint="eastAsia" w:ascii="仿宋_GB2312" w:eastAsia="仿宋_GB2312"/>
          <w:sz w:val="32"/>
          <w:szCs w:val="32"/>
        </w:rPr>
        <w:t>个，其中独立报送单户表的单位</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rPr>
        <w:t>个，较上年无增减。</w:t>
      </w:r>
    </w:p>
    <w:p w14:paraId="60C69D40">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14:paraId="2BD4E15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9A8A0E5">
      <w:pPr>
        <w:pStyle w:val="5"/>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6"/>
      <w:bookmarkEnd w:id="17"/>
    </w:p>
    <w:p w14:paraId="0D85D3E1">
      <w:pPr>
        <w:rPr>
          <w:rFonts w:ascii="Times New Roman" w:hAnsi="Times New Roman"/>
          <w:color w:val="auto"/>
          <w:highlight w:val="none"/>
        </w:rPr>
      </w:pPr>
    </w:p>
    <w:p w14:paraId="54B45B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7C5A255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222.97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78.61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7AF4A316">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r>
        <w:drawing>
          <wp:inline distT="0" distB="0" distL="114300" distR="114300">
            <wp:extent cx="2748280" cy="1652270"/>
            <wp:effectExtent l="4445" t="4445" r="9525" b="1968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FA3563A">
      <w:pPr>
        <w:pStyle w:val="2"/>
        <w:rPr>
          <w:rFonts w:hint="eastAsia"/>
        </w:rPr>
      </w:pPr>
    </w:p>
    <w:p w14:paraId="3023DFD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3C751FF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eastAsia="zh-CN"/>
        </w:rPr>
        <w:t>年度本年收入合计</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sz w:val="32"/>
          <w:szCs w:val="32"/>
        </w:rPr>
        <w:t>万元，其中：一般公共预算财政拨款收入</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w:t>
      </w:r>
      <w:r>
        <w:rPr>
          <w:rFonts w:hint="eastAsia" w:eastAsia="仿宋_GB2312" w:cs="仿宋_GB2312"/>
          <w:color w:val="auto"/>
          <w:sz w:val="32"/>
          <w:szCs w:val="32"/>
          <w:highlight w:val="none"/>
          <w:lang w:val="en-US" w:eastAsia="zh-CN"/>
        </w:rPr>
        <w:t>占100%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4CA87EF7">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8DA6916">
      <w:pPr>
        <w:jc w:val="center"/>
        <w:rPr>
          <w:rFonts w:hint="eastAsia"/>
          <w:lang w:eastAsia="zh-CN"/>
        </w:rPr>
      </w:pPr>
      <w:r>
        <w:rPr>
          <w:rFonts w:hint="eastAsia"/>
          <w:lang w:eastAsia="zh-CN"/>
        </w:rPr>
        <w:drawing>
          <wp:inline distT="0" distB="0" distL="114300" distR="114300">
            <wp:extent cx="2554605" cy="1602740"/>
            <wp:effectExtent l="4445" t="4445" r="12700" b="1206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5083F12">
      <w:pPr>
        <w:pStyle w:val="2"/>
        <w:rPr>
          <w:rFonts w:hint="eastAsia"/>
          <w:lang w:eastAsia="zh-CN"/>
        </w:rPr>
      </w:pPr>
    </w:p>
    <w:p w14:paraId="0D35D4A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652984B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eastAsia="zh-CN"/>
        </w:rPr>
        <w:t>年度本年支出合计</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0万元，占0%；上缴上级支出0万元，占0%；经营支出0万元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7532B45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5F35772">
      <w:pPr>
        <w:pStyle w:val="2"/>
        <w:jc w:val="center"/>
        <w:rPr>
          <w:rFonts w:hint="eastAsia"/>
          <w:lang w:eastAsia="zh-CN"/>
        </w:rPr>
      </w:pPr>
      <w:r>
        <w:rPr>
          <w:rFonts w:hint="eastAsia"/>
          <w:lang w:eastAsia="zh-CN"/>
        </w:rPr>
        <w:drawing>
          <wp:inline distT="0" distB="0" distL="114300" distR="114300">
            <wp:extent cx="2554605" cy="1602740"/>
            <wp:effectExtent l="4445" t="4445" r="12700" b="1206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516A18">
      <w:pPr>
        <w:pStyle w:val="3"/>
        <w:rPr>
          <w:rFonts w:hint="eastAsia"/>
          <w:lang w:eastAsia="zh-CN"/>
        </w:rPr>
      </w:pPr>
    </w:p>
    <w:p w14:paraId="2D6467B0">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2CEE20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222.97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78.61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00DDB8E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A2174D">
      <w:pPr>
        <w:pStyle w:val="2"/>
        <w:jc w:val="center"/>
        <w:rPr>
          <w:rFonts w:hint="eastAsia" w:ascii="Times New Roman" w:hAnsi="Times New Roman" w:eastAsia="黑体"/>
          <w:color w:val="auto"/>
          <w:sz w:val="32"/>
          <w:szCs w:val="32"/>
          <w:highlight w:val="none"/>
        </w:rPr>
      </w:pPr>
      <w:r>
        <w:drawing>
          <wp:inline distT="0" distB="0" distL="114300" distR="114300">
            <wp:extent cx="2748280" cy="1652270"/>
            <wp:effectExtent l="4445" t="4445" r="9525" b="19685"/>
            <wp:docPr id="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26" w:name="_Toc15377209"/>
      <w:bookmarkStart w:id="27" w:name="_Toc15396607"/>
    </w:p>
    <w:p w14:paraId="32660B81">
      <w:pPr>
        <w:spacing w:line="600" w:lineRule="exact"/>
        <w:ind w:firstLine="640" w:firstLineChars="200"/>
        <w:outlineLvl w:val="1"/>
        <w:rPr>
          <w:rFonts w:hint="eastAsia" w:ascii="Times New Roman" w:hAnsi="Times New Roman" w:eastAsia="黑体"/>
          <w:color w:val="auto"/>
          <w:sz w:val="32"/>
          <w:szCs w:val="32"/>
          <w:highlight w:val="none"/>
        </w:rPr>
      </w:pPr>
    </w:p>
    <w:p w14:paraId="3BAC6D5A">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42F089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D3CF1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78.61</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0F5F4E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C307D17">
      <w:pPr>
        <w:pStyle w:val="3"/>
        <w:ind w:left="0" w:leftChars="0" w:firstLine="0" w:firstLineChars="0"/>
        <w:jc w:val="center"/>
        <w:rPr>
          <w:rFonts w:hint="eastAsia"/>
          <w:lang w:val="en-US" w:eastAsia="zh-CN"/>
        </w:rPr>
      </w:pPr>
      <w:r>
        <w:drawing>
          <wp:inline distT="0" distB="0" distL="114300" distR="114300">
            <wp:extent cx="2748280" cy="1652270"/>
            <wp:effectExtent l="4445" t="4445" r="9525" b="1968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06B3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02D078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：社会保障和就业</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193.4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D37FC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5B7C842">
      <w:pPr>
        <w:pStyle w:val="2"/>
        <w:rPr>
          <w:rFonts w:hint="eastAsia"/>
          <w:lang w:val="en-US" w:eastAsia="zh-CN"/>
        </w:rPr>
      </w:pPr>
    </w:p>
    <w:p w14:paraId="392EB272">
      <w:pPr>
        <w:pStyle w:val="2"/>
        <w:jc w:val="center"/>
        <w:rPr>
          <w:rFonts w:hint="eastAsia"/>
          <w:lang w:val="en-US" w:eastAsia="zh-CN"/>
        </w:rPr>
      </w:pPr>
      <w:r>
        <w:drawing>
          <wp:inline distT="0" distB="0" distL="114300" distR="114300">
            <wp:extent cx="3613150" cy="1869440"/>
            <wp:effectExtent l="4445" t="4445" r="20955" b="1206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62FB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1A54EF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222.97万元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p w14:paraId="0C15CF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487C2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126.11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C75EC1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B225EE">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其他红十字事业支出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03A97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36502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1485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13DD4A">
      <w:pPr>
        <w:tabs>
          <w:tab w:val="right" w:pos="8306"/>
        </w:tabs>
        <w:spacing w:line="600" w:lineRule="exact"/>
        <w:ind w:firstLine="64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bookmarkStart w:id="31" w:name="_Toc15396608"/>
      <w:bookmarkStart w:id="32" w:name="_Toc15377214"/>
    </w:p>
    <w:p w14:paraId="6D7E2AA3">
      <w:pPr>
        <w:pStyle w:val="2"/>
        <w:rPr>
          <w:rFonts w:hint="eastAsia"/>
          <w:lang w:val="en-US" w:eastAsia="zh-CN"/>
        </w:rPr>
      </w:pPr>
    </w:p>
    <w:p w14:paraId="6826C1D6">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1"/>
      <w:bookmarkEnd w:id="32"/>
      <w:r>
        <w:rPr>
          <w:rStyle w:val="30"/>
          <w:rFonts w:ascii="Times New Roman" w:hAnsi="Times New Roman" w:eastAsia="黑体"/>
          <w:b w:val="0"/>
          <w:color w:val="auto"/>
          <w:highlight w:val="none"/>
        </w:rPr>
        <w:tab/>
      </w:r>
    </w:p>
    <w:p w14:paraId="320147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0EA8F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198.48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eastAsia="仿宋"/>
          <w:sz w:val="32"/>
          <w:szCs w:val="32"/>
        </w:rPr>
        <w:t>基本工资、津贴补贴、奖金、机关事业单位基本养老保险缴费、职工基本医疗保险、公务员医疗补助缴费、其他社会保障缴费、住房公积金</w:t>
      </w:r>
      <w:r>
        <w:rPr>
          <w:rFonts w:hint="eastAsia" w:ascii="仿宋" w:eastAsia="仿宋"/>
          <w:sz w:val="32"/>
          <w:szCs w:val="32"/>
          <w:lang w:eastAsia="zh-CN"/>
        </w:rPr>
        <w:t>、其他工资福利支出、基础性绩效工资、奖励性绩效工资</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21.48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元，主要包括：办公费、水费、电费、邮电费、物业管理费、差旅费、工会经费、福利费、公务用车运行维护费、其他交通费、其他商品和服务支出。</w:t>
      </w:r>
    </w:p>
    <w:p w14:paraId="44274FC0">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经费</w:t>
      </w:r>
      <w:r>
        <w:rPr>
          <w:rFonts w:hint="eastAsia" w:eastAsia="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，为</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w:t>
      </w:r>
    </w:p>
    <w:p w14:paraId="7398E140">
      <w:pPr>
        <w:pStyle w:val="2"/>
        <w:rPr>
          <w:rFonts w:hint="eastAsia"/>
          <w:lang w:val="en-US" w:eastAsia="zh-CN"/>
        </w:rPr>
      </w:pPr>
    </w:p>
    <w:p w14:paraId="5D2357D9">
      <w:pPr>
        <w:spacing w:line="600" w:lineRule="exact"/>
        <w:ind w:firstLine="640"/>
        <w:outlineLvl w:val="1"/>
        <w:rPr>
          <w:rStyle w:val="30"/>
          <w:rFonts w:ascii="Times New Roman" w:hAnsi="Times New Roman" w:eastAsia="黑体"/>
          <w:b w:val="0"/>
          <w:color w:val="auto"/>
          <w:highlight w:val="none"/>
        </w:rPr>
      </w:pPr>
      <w:bookmarkStart w:id="33" w:name="_Toc15377215"/>
      <w:bookmarkStart w:id="34"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3"/>
      <w:bookmarkEnd w:id="34"/>
    </w:p>
    <w:p w14:paraId="1FB13B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5"/>
    </w:p>
    <w:p w14:paraId="2F2FEA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0.66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增加0.01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增长2.3</w:t>
      </w:r>
      <w:r>
        <w:rPr>
          <w:rFonts w:hint="eastAsia" w:ascii="Times New Roman" w:hAnsi="Times New Roman" w:eastAsia="仿宋_GB2312" w:cs="仿宋_GB2312"/>
          <w:color w:val="auto"/>
          <w:kern w:val="2"/>
          <w:sz w:val="32"/>
          <w:szCs w:val="32"/>
          <w:highlight w:val="none"/>
          <w:lang w:val="en-US" w:eastAsia="zh-CN" w:bidi="ar-SA"/>
        </w:rPr>
        <w:t>%。</w:t>
      </w:r>
    </w:p>
    <w:p w14:paraId="62D3D30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6"/>
    </w:p>
    <w:p w14:paraId="2E18AF0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年度“三公”经费财政拨款支出决算中，因公出国（境）费支出决算</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0.66</w:t>
      </w:r>
      <w:r>
        <w:rPr>
          <w:rFonts w:hint="eastAsia" w:ascii="仿宋_GB2312" w:hAnsi="仿宋_GB2312"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。具体情况如下：</w:t>
      </w:r>
    </w:p>
    <w:p w14:paraId="5728E2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24D569E">
      <w:pPr>
        <w:pStyle w:val="2"/>
        <w:rPr>
          <w:rFonts w:hint="eastAsia"/>
          <w:lang w:val="en-US" w:eastAsia="zh-CN"/>
        </w:rPr>
      </w:pPr>
    </w:p>
    <w:p w14:paraId="531D3C9B">
      <w:pPr>
        <w:pStyle w:val="3"/>
        <w:ind w:left="0" w:leftChars="0" w:firstLine="0" w:firstLineChars="0"/>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380740" cy="1765300"/>
            <wp:effectExtent l="4445" t="4445" r="5715" b="2095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6215E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0万元</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Times New Roman" w:hAnsi="Times New Roman" w:eastAsia="仿宋_GB2312" w:cs="仿宋_GB2312"/>
          <w:color w:val="auto"/>
          <w:kern w:val="2"/>
          <w:sz w:val="32"/>
          <w:szCs w:val="32"/>
          <w:highlight w:val="none"/>
          <w:lang w:val="en-US" w:eastAsia="zh-CN" w:bidi="ar-SA"/>
        </w:rPr>
        <w:t>0次，出国（境）0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较2024年持平。</w:t>
      </w:r>
    </w:p>
    <w:p w14:paraId="71E1B2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0.66</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增加0.11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sz w:val="32"/>
          <w:szCs w:val="32"/>
          <w:lang w:eastAsia="zh-CN"/>
        </w:rPr>
        <w:t>加强县区红十字会、基层组织等项目及经费使用情况调研，公务车油费充值增加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w:t>
      </w:r>
      <w:r>
        <w:rPr>
          <w:rFonts w:hint="eastAsia" w:ascii="仿宋_GB2312" w:hAnsi="仿宋" w:eastAsia="仿宋_GB2312"/>
          <w:sz w:val="32"/>
          <w:szCs w:val="32"/>
          <w:lang w:val="en-US" w:eastAsia="zh-CN"/>
        </w:rPr>
        <w:t>元</w:t>
      </w:r>
      <w:r>
        <w:rPr>
          <w:rFonts w:hint="eastAsia" w:ascii="仿宋_GB2312" w:eastAsia="仿宋_GB2312"/>
          <w:sz w:val="32"/>
          <w:szCs w:val="32"/>
          <w:lang w:eastAsia="zh-CN"/>
        </w:rPr>
        <w:t>。</w:t>
      </w:r>
    </w:p>
    <w:p w14:paraId="41ED08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。全年按规定更新购置</w:t>
      </w:r>
      <w:r>
        <w:rPr>
          <w:rFonts w:hint="eastAsia" w:eastAsia="仿宋_GB2312" w:cs="仿宋_GB2312"/>
          <w:color w:val="auto"/>
          <w:kern w:val="2"/>
          <w:sz w:val="32"/>
          <w:szCs w:val="32"/>
          <w:highlight w:val="none"/>
          <w:lang w:val="en-US" w:eastAsia="zh-CN" w:bidi="ar-SA"/>
        </w:rPr>
        <w:t>公务用车0辆。截至2025年12月31日，单位共有公务用</w:t>
      </w:r>
      <w:r>
        <w:rPr>
          <w:rFonts w:hint="eastAsia" w:ascii="Times New Roman" w:hAnsi="Times New Roman" w:eastAsia="仿宋_GB2312" w:cs="仿宋_GB2312"/>
          <w:color w:val="auto"/>
          <w:kern w:val="2"/>
          <w:sz w:val="32"/>
          <w:szCs w:val="32"/>
          <w:highlight w:val="none"/>
          <w:lang w:val="en-US" w:eastAsia="zh-CN" w:bidi="ar-SA"/>
        </w:rPr>
        <w:t>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2FD1F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0.66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开展日常工作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A11B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0万元</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2025年未产生工作调研接待</w:t>
      </w:r>
      <w:r>
        <w:rPr>
          <w:rFonts w:hint="eastAsia" w:ascii="Times New Roman" w:hAnsi="Times New Roman" w:eastAsia="仿宋_GB2312" w:cs="仿宋_GB2312"/>
          <w:color w:val="auto"/>
          <w:kern w:val="2"/>
          <w:sz w:val="32"/>
          <w:szCs w:val="32"/>
          <w:highlight w:val="none"/>
          <w:lang w:val="en-US" w:eastAsia="zh-CN" w:bidi="ar-SA"/>
        </w:rPr>
        <w:t>。其中：</w:t>
      </w:r>
    </w:p>
    <w:p w14:paraId="1768E0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7218"/>
      <w:bookmarkStart w:id="38" w:name="_Toc15396610"/>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p>
    <w:p w14:paraId="414F5086">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color w:val="auto"/>
          <w:kern w:val="2"/>
          <w:sz w:val="32"/>
          <w:szCs w:val="32"/>
          <w:highlight w:val="none"/>
          <w:lang w:val="en-US" w:eastAsia="zh-CN" w:bidi="ar-SA"/>
        </w:rPr>
        <w:t>0万元</w:t>
      </w:r>
      <w:r>
        <w:rPr>
          <w:rFonts w:hint="eastAsia" w:eastAsia="仿宋_GB2312" w:cs="仿宋_GB2312"/>
          <w:sz w:val="32"/>
          <w:szCs w:val="32"/>
        </w:rPr>
        <w:t>。外事接待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0万元</w:t>
      </w:r>
      <w:r>
        <w:rPr>
          <w:rFonts w:hint="eastAsia" w:eastAsia="仿宋_GB2312" w:cs="仿宋_GB2312"/>
          <w:sz w:val="32"/>
          <w:szCs w:val="32"/>
        </w:rPr>
        <w:t>。</w:t>
      </w:r>
    </w:p>
    <w:p w14:paraId="53E6A643">
      <w:pPr>
        <w:pStyle w:val="2"/>
        <w:rPr>
          <w:rFonts w:hint="eastAsia"/>
          <w:lang w:val="en-US" w:eastAsia="zh-CN"/>
        </w:rPr>
      </w:pPr>
    </w:p>
    <w:p w14:paraId="37CC3265">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7"/>
      <w:bookmarkEnd w:id="38"/>
    </w:p>
    <w:p w14:paraId="7AF1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5D53A990">
      <w:pPr>
        <w:pStyle w:val="2"/>
        <w:rPr>
          <w:rFonts w:hint="eastAsia"/>
          <w:lang w:val="en-US" w:eastAsia="zh-CN"/>
        </w:rPr>
      </w:pPr>
    </w:p>
    <w:p w14:paraId="11013A4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9" w:name="_Toc15396611"/>
      <w:bookmarkStart w:id="40"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9"/>
      <w:bookmarkEnd w:id="40"/>
    </w:p>
    <w:p w14:paraId="026D556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p>
    <w:p w14:paraId="36A645EA">
      <w:pPr>
        <w:pStyle w:val="2"/>
        <w:rPr>
          <w:rFonts w:hint="eastAsia"/>
          <w:lang w:val="en-US" w:eastAsia="zh-CN"/>
        </w:rPr>
      </w:pPr>
    </w:p>
    <w:p w14:paraId="2473AF8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1" w:name="_Toc15377221"/>
      <w:bookmarkStart w:id="42"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1"/>
      <w:bookmarkEnd w:id="42"/>
    </w:p>
    <w:p w14:paraId="57DFED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14:paraId="2A6D25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21.48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2024年办公室搬迁，含搬迁经费。</w:t>
      </w:r>
    </w:p>
    <w:p w14:paraId="0E4604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14:paraId="2CD8C1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0.61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、政府采购服务支出</w:t>
      </w:r>
      <w:r>
        <w:rPr>
          <w:rFonts w:hint="eastAsia" w:eastAsia="仿宋_GB2312" w:cs="仿宋_GB2312"/>
          <w:color w:val="auto"/>
          <w:kern w:val="2"/>
          <w:sz w:val="32"/>
          <w:szCs w:val="32"/>
          <w:highlight w:val="none"/>
          <w:lang w:val="en-US" w:eastAsia="zh-CN" w:bidi="ar-SA"/>
        </w:rPr>
        <w:t>0.61万元</w:t>
      </w:r>
      <w:r>
        <w:rPr>
          <w:rFonts w:hint="eastAsia" w:ascii="仿宋_GB2312" w:hAnsi="仿宋_GB2312" w:eastAsia="仿宋_GB2312" w:cs="仿宋_GB2312"/>
          <w:color w:val="auto"/>
          <w:kern w:val="2"/>
          <w:sz w:val="32"/>
          <w:szCs w:val="32"/>
          <w:highlight w:val="none"/>
          <w:lang w:val="en-US" w:eastAsia="zh-CN" w:bidi="ar-SA"/>
        </w:rPr>
        <w:t>。主要用于采购公务车保险。授予中小企业合同金额</w:t>
      </w:r>
      <w:r>
        <w:rPr>
          <w:rFonts w:hint="eastAsia" w:eastAsia="仿宋_GB2312" w:cs="仿宋_GB2312"/>
          <w:color w:val="auto"/>
          <w:kern w:val="2"/>
          <w:sz w:val="32"/>
          <w:szCs w:val="32"/>
          <w:highlight w:val="none"/>
          <w:lang w:val="en-US" w:eastAsia="zh-CN" w:bidi="ar-SA"/>
        </w:rPr>
        <w:t>0.51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83.3%</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0.51万元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eastAsia="仿宋_GB2312" w:cs="仿宋_GB2312"/>
          <w:color w:val="auto"/>
          <w:kern w:val="2"/>
          <w:sz w:val="32"/>
          <w:szCs w:val="32"/>
          <w:highlight w:val="none"/>
          <w:lang w:val="en-US" w:eastAsia="zh-CN" w:bidi="ar-SA"/>
        </w:rPr>
        <w:t>83.3%</w:t>
      </w:r>
      <w:r>
        <w:rPr>
          <w:rFonts w:hint="eastAsia" w:ascii="仿宋_GB2312" w:hAnsi="仿宋_GB2312" w:eastAsia="仿宋_GB2312" w:cs="仿宋_GB2312"/>
          <w:color w:val="auto"/>
          <w:kern w:val="2"/>
          <w:sz w:val="32"/>
          <w:szCs w:val="32"/>
          <w:highlight w:val="none"/>
          <w:lang w:val="en-US" w:eastAsia="zh-CN" w:bidi="ar-SA"/>
        </w:rPr>
        <w:t>。</w:t>
      </w:r>
    </w:p>
    <w:p w14:paraId="490AF40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14:paraId="28B8E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2025年12月31日</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辆、主要负责人用车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辆，其他用车主要是用于开展日常工作。单价</w:t>
      </w:r>
      <w:r>
        <w:rPr>
          <w:rFonts w:hint="eastAsia" w:eastAsia="仿宋_GB2312" w:cs="仿宋_GB2312"/>
          <w:color w:val="auto"/>
          <w:kern w:val="2"/>
          <w:sz w:val="32"/>
          <w:szCs w:val="32"/>
          <w:highlight w:val="none"/>
          <w:lang w:val="en-US" w:eastAsia="zh-CN" w:bidi="ar-SA"/>
        </w:rPr>
        <w:t>100万元</w:t>
      </w:r>
      <w:r>
        <w:rPr>
          <w:rFonts w:hint="eastAsia" w:ascii="仿宋_GB2312" w:hAnsi="仿宋_GB2312" w:eastAsia="仿宋_GB2312" w:cs="仿宋_GB2312"/>
          <w:color w:val="auto"/>
          <w:kern w:val="2"/>
          <w:sz w:val="32"/>
          <w:szCs w:val="32"/>
          <w:highlight w:val="none"/>
          <w:lang w:val="en-US" w:eastAsia="zh-CN" w:bidi="ar-SA"/>
        </w:rPr>
        <w:t>（含）以上设备（不含车辆）</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C6EBE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CB50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住房公积金（行政）、应急救护知识普及</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47</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47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F61A5F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ascii="仿宋_GB2312" w:eastAsia="仿宋_GB2312" w:cs="仿宋_GB2312"/>
          <w:sz w:val="32"/>
          <w:szCs w:val="32"/>
          <w:lang w:bidi="ar-SA"/>
        </w:rPr>
        <w:t>攀枝花市红十字会</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部门整体（含部门预算项目）绩效自评报告，其中，</w:t>
      </w:r>
      <w:r>
        <w:rPr>
          <w:rFonts w:hint="eastAsia" w:ascii="仿宋_GB2312" w:eastAsia="仿宋_GB2312" w:cs="仿宋_GB2312"/>
          <w:sz w:val="32"/>
          <w:szCs w:val="32"/>
          <w:lang w:bidi="ar-SA"/>
        </w:rPr>
        <w:t>攀枝花市红十字会</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eastAsia"/>
          <w:sz w:val="32"/>
          <w:szCs w:val="32"/>
          <w:lang w:val="en-US" w:eastAsia="zh-CN"/>
        </w:rPr>
        <w:t>2025</w:t>
      </w:r>
      <w:r>
        <w:rPr>
          <w:rFonts w:eastAsia="仿宋_GB2312"/>
          <w:sz w:val="32"/>
          <w:szCs w:val="32"/>
        </w:rPr>
        <w:t>年，市红十字会围绕部门预算和年度重点工作任务安排预算资金，预算管理科学性逐步提升、预算执行率</w:t>
      </w:r>
      <w:r>
        <w:rPr>
          <w:rFonts w:hint="eastAsia"/>
          <w:sz w:val="32"/>
          <w:szCs w:val="32"/>
          <w:lang w:val="en-US" w:eastAsia="zh-CN"/>
        </w:rPr>
        <w:t>100</w:t>
      </w:r>
      <w:r>
        <w:rPr>
          <w:rFonts w:eastAsia="仿宋_GB2312"/>
          <w:sz w:val="32"/>
          <w:szCs w:val="32"/>
        </w:rPr>
        <w:t>%，</w:t>
      </w:r>
      <w:r>
        <w:rPr>
          <w:rFonts w:hint="eastAsia" w:ascii="方正仿宋_GBK" w:eastAsia="方正仿宋_GBK"/>
          <w:sz w:val="32"/>
          <w:szCs w:val="32"/>
        </w:rPr>
        <w:t>“三公”</w:t>
      </w:r>
      <w:r>
        <w:rPr>
          <w:rFonts w:eastAsia="仿宋_GB2312"/>
          <w:sz w:val="32"/>
          <w:szCs w:val="32"/>
        </w:rPr>
        <w:t>经费控制有效，信息公开内容完整、及时规范，完成绩效管理工作；绝大部分绩效目标达到年初设定目标值。但存在预算绩效指标设置不够规范，基本运行绩效有提升空间</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应急救护知识普及培训</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培训持证救护员3176名，普及急救知识培训20533人次，按质按量超额完成项目目标计划，各项指标均已完成</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73F3F41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2A4DC2A4">
      <w:pPr>
        <w:pStyle w:val="2"/>
        <w:rPr>
          <w:rFonts w:hint="eastAsia" w:ascii="Times New Roman" w:hAnsi="Times New Roman" w:eastAsia="仿宋_GB2312" w:cs="仿宋_GB2312"/>
          <w:b/>
          <w:bCs/>
          <w:color w:val="auto"/>
          <w:kern w:val="2"/>
          <w:sz w:val="32"/>
          <w:szCs w:val="32"/>
          <w:highlight w:val="none"/>
          <w:lang w:val="en-US" w:eastAsia="zh-CN" w:bidi="ar-SA"/>
        </w:rPr>
      </w:pPr>
    </w:p>
    <w:p w14:paraId="7D83DDE0">
      <w:pPr>
        <w:pStyle w:val="3"/>
        <w:rPr>
          <w:rFonts w:hint="eastAsia" w:ascii="Times New Roman" w:hAnsi="Times New Roman" w:eastAsia="仿宋_GB2312" w:cs="仿宋_GB2312"/>
          <w:b/>
          <w:bCs/>
          <w:color w:val="auto"/>
          <w:kern w:val="2"/>
          <w:sz w:val="32"/>
          <w:szCs w:val="32"/>
          <w:highlight w:val="none"/>
          <w:lang w:val="en-US" w:eastAsia="zh-CN" w:bidi="ar-SA"/>
        </w:rPr>
      </w:pPr>
    </w:p>
    <w:p w14:paraId="7DCAD08A">
      <w:pPr>
        <w:pStyle w:val="3"/>
        <w:rPr>
          <w:rFonts w:hint="eastAsia" w:ascii="Times New Roman" w:hAnsi="Times New Roman" w:eastAsia="仿宋_GB2312" w:cs="仿宋_GB2312"/>
          <w:b/>
          <w:bCs/>
          <w:color w:val="auto"/>
          <w:kern w:val="2"/>
          <w:sz w:val="32"/>
          <w:szCs w:val="32"/>
          <w:highlight w:val="none"/>
          <w:lang w:val="en-US" w:eastAsia="zh-CN" w:bidi="ar-SA"/>
        </w:rPr>
      </w:pPr>
    </w:p>
    <w:p w14:paraId="7B35EB56">
      <w:pPr>
        <w:pStyle w:val="3"/>
        <w:rPr>
          <w:rFonts w:hint="eastAsia" w:ascii="Times New Roman" w:hAnsi="Times New Roman" w:eastAsia="仿宋_GB2312" w:cs="仿宋_GB2312"/>
          <w:b/>
          <w:bCs/>
          <w:color w:val="auto"/>
          <w:kern w:val="2"/>
          <w:sz w:val="32"/>
          <w:szCs w:val="32"/>
          <w:highlight w:val="none"/>
          <w:lang w:val="en-US" w:eastAsia="zh-CN" w:bidi="ar-SA"/>
        </w:rPr>
      </w:pPr>
    </w:p>
    <w:p w14:paraId="70A68E48">
      <w:pPr>
        <w:pStyle w:val="3"/>
        <w:rPr>
          <w:rFonts w:hint="eastAsia" w:ascii="Times New Roman" w:hAnsi="Times New Roman" w:eastAsia="仿宋_GB2312" w:cs="仿宋_GB2312"/>
          <w:b/>
          <w:bCs/>
          <w:color w:val="auto"/>
          <w:kern w:val="2"/>
          <w:sz w:val="32"/>
          <w:szCs w:val="32"/>
          <w:highlight w:val="none"/>
          <w:lang w:val="en-US" w:eastAsia="zh-CN" w:bidi="ar-SA"/>
        </w:rPr>
      </w:pPr>
    </w:p>
    <w:p w14:paraId="46988F00">
      <w:pPr>
        <w:pStyle w:val="3"/>
        <w:rPr>
          <w:rFonts w:hint="eastAsia" w:ascii="Times New Roman" w:hAnsi="Times New Roman" w:eastAsia="仿宋_GB2312" w:cs="仿宋_GB2312"/>
          <w:b/>
          <w:bCs/>
          <w:color w:val="auto"/>
          <w:kern w:val="2"/>
          <w:sz w:val="32"/>
          <w:szCs w:val="32"/>
          <w:highlight w:val="none"/>
          <w:lang w:val="en-US" w:eastAsia="zh-CN" w:bidi="ar-SA"/>
        </w:rPr>
      </w:pPr>
    </w:p>
    <w:p w14:paraId="55066605">
      <w:pPr>
        <w:pStyle w:val="3"/>
        <w:rPr>
          <w:rFonts w:hint="eastAsia" w:ascii="Times New Roman" w:hAnsi="Times New Roman" w:eastAsia="仿宋_GB2312" w:cs="仿宋_GB2312"/>
          <w:b/>
          <w:bCs/>
          <w:color w:val="auto"/>
          <w:kern w:val="2"/>
          <w:sz w:val="32"/>
          <w:szCs w:val="32"/>
          <w:highlight w:val="none"/>
          <w:lang w:val="en-US" w:eastAsia="zh-CN" w:bidi="ar-SA"/>
        </w:rPr>
      </w:pPr>
    </w:p>
    <w:p w14:paraId="5BA0FD5F">
      <w:pPr>
        <w:pStyle w:val="3"/>
        <w:rPr>
          <w:rFonts w:hint="eastAsia" w:ascii="Times New Roman" w:hAnsi="Times New Roman" w:eastAsia="仿宋_GB2312" w:cs="仿宋_GB2312"/>
          <w:b/>
          <w:bCs/>
          <w:color w:val="auto"/>
          <w:kern w:val="2"/>
          <w:sz w:val="32"/>
          <w:szCs w:val="32"/>
          <w:highlight w:val="none"/>
          <w:lang w:val="en-US" w:eastAsia="zh-CN" w:bidi="ar-SA"/>
        </w:rPr>
      </w:pPr>
    </w:p>
    <w:p w14:paraId="407265E2">
      <w:pPr>
        <w:pStyle w:val="3"/>
        <w:rPr>
          <w:rFonts w:hint="eastAsia" w:ascii="Times New Roman" w:hAnsi="Times New Roman" w:eastAsia="仿宋_GB2312" w:cs="仿宋_GB2312"/>
          <w:b/>
          <w:bCs/>
          <w:color w:val="auto"/>
          <w:kern w:val="2"/>
          <w:sz w:val="32"/>
          <w:szCs w:val="32"/>
          <w:highlight w:val="none"/>
          <w:lang w:val="en-US" w:eastAsia="zh-CN" w:bidi="ar-SA"/>
        </w:rPr>
      </w:pPr>
    </w:p>
    <w:p w14:paraId="3E52DB6B">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0E5596D1">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6" w:name="_Toc15377225"/>
      <w:bookmarkStart w:id="47"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14:paraId="5C8053CC">
      <w:pPr>
        <w:spacing w:line="600" w:lineRule="exact"/>
        <w:jc w:val="left"/>
        <w:rPr>
          <w:rFonts w:ascii="Times New Roman" w:hAnsi="Times New Roman"/>
          <w:b/>
          <w:color w:val="auto"/>
          <w:sz w:val="44"/>
          <w:szCs w:val="44"/>
          <w:highlight w:val="none"/>
        </w:rPr>
      </w:pPr>
    </w:p>
    <w:p w14:paraId="2140B6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1082D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03BA65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4AFB29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65EF87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61369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61D1E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27261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3E261DE">
      <w:pPr>
        <w:spacing w:line="600" w:lineRule="exact"/>
        <w:ind w:firstLine="640"/>
        <w:rPr>
          <w:rFonts w:hint="eastAsia" w:ascii="仿宋_GB2312" w:eastAsia="仿宋_GB2312"/>
          <w:sz w:val="32"/>
          <w:szCs w:val="32"/>
          <w:lang w:eastAsia="zh-CN"/>
        </w:rPr>
      </w:pPr>
      <w:r>
        <w:rPr>
          <w:rFonts w:hint="eastAsia" w:eastAsia="仿宋_GB2312" w:cs="仿宋_GB2312"/>
          <w:color w:val="auto"/>
          <w:kern w:val="2"/>
          <w:sz w:val="32"/>
          <w:szCs w:val="32"/>
          <w:highlight w:val="none"/>
          <w:lang w:val="en-US" w:eastAsia="zh-CN" w:bidi="ar-SA"/>
        </w:rPr>
        <w:t>9.</w:t>
      </w:r>
      <w:r>
        <w:rPr>
          <w:rFonts w:hint="eastAsia" w:ascii="仿宋_GB2312" w:eastAsia="仿宋_GB2312"/>
          <w:sz w:val="32"/>
          <w:szCs w:val="32"/>
        </w:rPr>
        <w:t>社会保障和就业（类）</w:t>
      </w:r>
      <w:r>
        <w:rPr>
          <w:rFonts w:hint="eastAsia" w:ascii="仿宋_GB2312" w:eastAsia="仿宋_GB2312"/>
          <w:sz w:val="32"/>
          <w:szCs w:val="32"/>
          <w:lang w:eastAsia="zh-CN"/>
        </w:rPr>
        <w:t>行政事业单位养老支出</w:t>
      </w:r>
      <w:r>
        <w:rPr>
          <w:rFonts w:hint="eastAsia" w:ascii="仿宋_GB2312" w:eastAsia="仿宋_GB2312"/>
          <w:sz w:val="32"/>
          <w:szCs w:val="32"/>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仿宋_GB2312" w:eastAsia="仿宋_GB2312"/>
          <w:sz w:val="32"/>
          <w:szCs w:val="32"/>
        </w:rPr>
        <w:t>（项）</w:t>
      </w:r>
      <w:r>
        <w:rPr>
          <w:rFonts w:hint="eastAsia" w:ascii="仿宋_GB2312" w:eastAsia="仿宋_GB2312"/>
          <w:sz w:val="32"/>
          <w:szCs w:val="32"/>
          <w:lang w:eastAsia="zh-CN"/>
        </w:rPr>
        <w:t>：反映机关事业单位实施养老保险制度由单位缴纳的基本养老保险费支出。</w:t>
      </w:r>
    </w:p>
    <w:p w14:paraId="56F2D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仿宋_GB2312" w:eastAsia="仿宋_GB2312"/>
          <w:sz w:val="32"/>
          <w:szCs w:val="32"/>
          <w:lang w:val="en-US" w:eastAsia="zh-CN"/>
        </w:rPr>
        <w:t>.</w:t>
      </w:r>
      <w:r>
        <w:rPr>
          <w:rFonts w:hint="eastAsia" w:ascii="仿宋_GB2312" w:eastAsia="仿宋_GB2312"/>
          <w:sz w:val="32"/>
          <w:szCs w:val="32"/>
        </w:rPr>
        <w:t>社会保障和就业（类）红十字事业（款）行政运行（项）</w:t>
      </w:r>
      <w:r>
        <w:rPr>
          <w:rFonts w:hint="eastAsia" w:ascii="仿宋_GB2312" w:eastAsia="仿宋_GB2312"/>
          <w:sz w:val="32"/>
          <w:szCs w:val="32"/>
          <w:lang w:eastAsia="zh-CN"/>
        </w:rPr>
        <w:t>：</w:t>
      </w:r>
      <w:r>
        <w:rPr>
          <w:rFonts w:hint="eastAsia" w:ascii="仿宋_GB2312" w:eastAsia="仿宋_GB2312"/>
          <w:sz w:val="32"/>
          <w:szCs w:val="32"/>
        </w:rPr>
        <w:t>反映行政单位（包括实行公务员管理的事业单位）的基本支出</w:t>
      </w:r>
      <w:r>
        <w:rPr>
          <w:rFonts w:hint="eastAsia" w:eastAsia="仿宋_GB2312" w:cs="仿宋_GB2312"/>
          <w:color w:val="auto"/>
          <w:kern w:val="2"/>
          <w:sz w:val="32"/>
          <w:szCs w:val="32"/>
          <w:highlight w:val="none"/>
          <w:lang w:val="en-US" w:eastAsia="zh-CN" w:bidi="ar-SA"/>
        </w:rPr>
        <w:t>。</w:t>
      </w:r>
    </w:p>
    <w:p w14:paraId="2574F91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：反映事业单位的基本支出，不包括行政单位</w:t>
      </w:r>
      <w:r>
        <w:rPr>
          <w:rFonts w:hint="eastAsia" w:ascii="仿宋_GB2312" w:eastAsia="仿宋_GB2312"/>
          <w:sz w:val="32"/>
          <w:szCs w:val="32"/>
        </w:rPr>
        <w:t>（包括实行公务员管理的事业单位）</w:t>
      </w:r>
      <w:r>
        <w:rPr>
          <w:rFonts w:hint="eastAsia" w:ascii="仿宋_GB2312" w:eastAsia="仿宋_GB2312"/>
          <w:sz w:val="32"/>
          <w:szCs w:val="32"/>
          <w:lang w:eastAsia="zh-CN"/>
        </w:rPr>
        <w:t>后勤服务中心、医务室等附属事业单位</w:t>
      </w:r>
      <w:r>
        <w:rPr>
          <w:rFonts w:hint="eastAsia" w:eastAsia="仿宋_GB2312" w:cs="仿宋_GB2312"/>
          <w:color w:val="auto"/>
          <w:kern w:val="2"/>
          <w:sz w:val="32"/>
          <w:szCs w:val="32"/>
          <w:highlight w:val="none"/>
          <w:lang w:val="en-US" w:eastAsia="zh-CN" w:bidi="ar-SA"/>
        </w:rPr>
        <w:t>。</w:t>
      </w:r>
    </w:p>
    <w:p w14:paraId="49727F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其他红十字事业支出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：反映除上述项目以外其他用于红十字事业方面的支出。</w:t>
      </w:r>
    </w:p>
    <w:p w14:paraId="64135A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：反映财政部门安排的行政单位</w:t>
      </w:r>
      <w:r>
        <w:rPr>
          <w:rFonts w:hint="eastAsia" w:ascii="仿宋_GB2312" w:eastAsia="仿宋_GB2312"/>
          <w:sz w:val="32"/>
          <w:szCs w:val="32"/>
        </w:rPr>
        <w:t>（包括实行公务员管理的事业单位</w:t>
      </w:r>
      <w:r>
        <w:rPr>
          <w:rFonts w:hint="eastAsia" w:ascii="仿宋_GB2312" w:eastAsia="仿宋_GB2312"/>
          <w:sz w:val="32"/>
          <w:szCs w:val="32"/>
          <w:lang w:eastAsia="zh-CN"/>
        </w:rPr>
        <w:t>，下同</w:t>
      </w:r>
      <w:r>
        <w:rPr>
          <w:rFonts w:hint="eastAsia" w:ascii="仿宋_GB2312" w:eastAsia="仿宋_GB2312"/>
          <w:sz w:val="32"/>
          <w:szCs w:val="32"/>
        </w:rPr>
        <w:t>）</w:t>
      </w:r>
      <w:r>
        <w:rPr>
          <w:rFonts w:hint="eastAsia" w:ascii="仿宋_GB2312" w:eastAsia="仿宋_GB2312"/>
          <w:sz w:val="32"/>
          <w:szCs w:val="32"/>
          <w:lang w:eastAsia="zh-CN"/>
        </w:rPr>
        <w:t>基本医疗保险缴费经费，未参加医疗保险的行政单位的公费医疗经费，按国家规定享受离休人员、红军老战士待遇人员的医疗经费</w:t>
      </w:r>
      <w:r>
        <w:rPr>
          <w:rFonts w:hint="eastAsia" w:eastAsia="仿宋_GB2312" w:cs="仿宋_GB2312"/>
          <w:color w:val="auto"/>
          <w:kern w:val="2"/>
          <w:sz w:val="32"/>
          <w:szCs w:val="32"/>
          <w:highlight w:val="none"/>
          <w:lang w:val="en-US" w:eastAsia="zh-CN" w:bidi="ar-SA"/>
        </w:rPr>
        <w:t>。</w:t>
      </w:r>
    </w:p>
    <w:p w14:paraId="2F0AD3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439FED31">
      <w:pPr>
        <w:spacing w:line="600" w:lineRule="exact"/>
        <w:ind w:firstLine="640"/>
        <w:rPr>
          <w:rFonts w:hint="eastAsia" w:ascii="仿宋_GB2312" w:eastAsia="仿宋_GB2312"/>
          <w:sz w:val="32"/>
          <w:szCs w:val="32"/>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：反映财政部门安排的公务员医疗补助经费。</w:t>
      </w:r>
    </w:p>
    <w:p w14:paraId="2FD920B6">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住房保障支出（类）住房改革支出（款）住房公积金（项）：反映行政事业单位按人力资源和社会保障部、财政部规定的基本工资和津贴补贴以及规定比例为职工缴纳的住房公积金。</w:t>
      </w:r>
    </w:p>
    <w:p w14:paraId="64B774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46F70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F6F1B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4FBB1B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396E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C76C05">
      <w:pPr>
        <w:spacing w:line="600" w:lineRule="exact"/>
        <w:jc w:val="center"/>
        <w:rPr>
          <w:rStyle w:val="29"/>
          <w:rFonts w:hint="eastAsia" w:ascii="Times New Roman" w:hAnsi="Times New Roman" w:eastAsia="黑体"/>
          <w:b w:val="0"/>
          <w:color w:val="auto"/>
          <w:highlight w:val="none"/>
          <w:lang w:eastAsia="zh-CN"/>
        </w:rPr>
      </w:pPr>
      <w:bookmarkStart w:id="4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14:paraId="51F75EE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B643C01">
      <w:pPr>
        <w:keepNext w:val="0"/>
        <w:keepLines w:val="0"/>
        <w:pageBreakBefore w:val="0"/>
        <w:widowControl w:val="0"/>
        <w:kinsoku/>
        <w:wordWrap/>
        <w:overflowPunct/>
        <w:topLinePunct w:val="0"/>
        <w:autoSpaceDE/>
        <w:autoSpaceDN/>
        <w:bidi w:val="0"/>
        <w:spacing w:line="578" w:lineRule="exact"/>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Times New Roman"/>
          <w:kern w:val="2"/>
          <w:sz w:val="32"/>
          <w:szCs w:val="32"/>
          <w:u w:val="none"/>
          <w:lang w:val="en-US" w:eastAsia="zh-CN" w:bidi="ar"/>
        </w:rPr>
        <w:t>部门预算项目支出绩效自评表（202</w:t>
      </w:r>
      <w:r>
        <w:rPr>
          <w:rFonts w:hint="eastAsia"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en-US" w:eastAsia="zh-CN" w:bidi="ar"/>
        </w:rPr>
        <w:t>年度）</w:t>
      </w:r>
      <w:r>
        <w:rPr>
          <w:rFonts w:hint="eastAsia" w:ascii="Times New Roman" w:eastAsia="仿宋_GB2312" w:cs="Times New Roman"/>
          <w:kern w:val="2"/>
          <w:sz w:val="32"/>
          <w:szCs w:val="32"/>
          <w:u w:val="none"/>
          <w:lang w:val="en-US" w:eastAsia="zh-CN" w:bidi="ar"/>
        </w:rPr>
        <w:t>见附件</w:t>
      </w:r>
      <w:r>
        <w:rPr>
          <w:rFonts w:hint="eastAsia" w:eastAsia="仿宋_GB2312" w:cs="Times New Roman"/>
          <w:kern w:val="2"/>
          <w:sz w:val="32"/>
          <w:szCs w:val="32"/>
          <w:u w:val="none"/>
          <w:lang w:val="en-US" w:eastAsia="zh-CN" w:bidi="ar"/>
        </w:rPr>
        <w:t>2</w:t>
      </w:r>
    </w:p>
    <w:p w14:paraId="2EB1C839">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bookmarkStart w:id="50" w:name="_Toc15396618"/>
    </w:p>
    <w:p w14:paraId="644896EC">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5FEAED55">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59C2C071">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5CFBF409">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7CA7B44A">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5CCEAB2A">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35E0E277">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152135CE">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09B260C5">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15DC94A8">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0689E084">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6FB0D70B">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6F490577">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0C6595E0">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086B4B5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202B7DBD">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0C4BB3CD">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64061CAE">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7E282F6B">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4C73EEE9">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p>
    <w:p w14:paraId="4D6F76D8">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8"/>
      <w:bookmarkEnd w:id="50"/>
      <w:bookmarkStart w:id="51" w:name="_Toc15396619"/>
    </w:p>
    <w:p w14:paraId="098C9F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137A8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14:paraId="21D9CC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14:paraId="5B480F3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14:paraId="6AE916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14:paraId="27D6204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14:paraId="4D79AD4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14:paraId="50BB8B9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14:paraId="59A111F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八、一般公共预算财政拨款基本支出决算表</w:t>
      </w:r>
      <w:bookmarkEnd w:id="58"/>
    </w:p>
    <w:p w14:paraId="164D28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14:paraId="6142C59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14:paraId="5C09FBD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F5072E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14:paraId="43B4302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14:paraId="05D798DB">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BDE01">
    <w:pPr>
      <w:pStyle w:val="11"/>
      <w:jc w:val="center"/>
    </w:pPr>
  </w:p>
  <w:p w14:paraId="50C9906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4B9C9">
    <w:pPr>
      <w:pStyle w:val="11"/>
      <w:jc w:val="center"/>
    </w:pPr>
  </w:p>
  <w:p w14:paraId="285ADAC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45547">
    <w:pPr>
      <w:pStyle w:val="11"/>
      <w:jc w:val="center"/>
    </w:pPr>
  </w:p>
  <w:p w14:paraId="6D22040A">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08162">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7052">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65E24">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E965E24">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09263BF5">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F46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B7D4D">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6BB7D4D">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C314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0A51FE"/>
    <w:multiLevelType w:val="singleLevel"/>
    <w:tmpl w:val="5E0A51FE"/>
    <w:lvl w:ilvl="0" w:tentative="0">
      <w:start w:val="1"/>
      <w:numFmt w:val="chineseCounting"/>
      <w:suff w:val="nothing"/>
      <w:lvlText w:val="%1、"/>
      <w:lvlJc w:val="left"/>
      <w:pPr>
        <w:ind w:left="420" w:firstLine="22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6F3181D"/>
    <w:rsid w:val="07996F6E"/>
    <w:rsid w:val="07B77B93"/>
    <w:rsid w:val="07DFD8BA"/>
    <w:rsid w:val="08A603D1"/>
    <w:rsid w:val="09867E8F"/>
    <w:rsid w:val="0A2032A3"/>
    <w:rsid w:val="0CA8290A"/>
    <w:rsid w:val="0D35B1ED"/>
    <w:rsid w:val="0E254B6B"/>
    <w:rsid w:val="0F5651D3"/>
    <w:rsid w:val="0F98263C"/>
    <w:rsid w:val="101860EC"/>
    <w:rsid w:val="101F47CC"/>
    <w:rsid w:val="10C055FF"/>
    <w:rsid w:val="1138185B"/>
    <w:rsid w:val="11694EBD"/>
    <w:rsid w:val="11772AA4"/>
    <w:rsid w:val="118107EC"/>
    <w:rsid w:val="12E24EE2"/>
    <w:rsid w:val="13D50BC4"/>
    <w:rsid w:val="14A71A64"/>
    <w:rsid w:val="14B17F78"/>
    <w:rsid w:val="165E0673"/>
    <w:rsid w:val="16B831D5"/>
    <w:rsid w:val="16BB723D"/>
    <w:rsid w:val="17E50567"/>
    <w:rsid w:val="186504BB"/>
    <w:rsid w:val="196B3C81"/>
    <w:rsid w:val="19A445FC"/>
    <w:rsid w:val="1BE8440E"/>
    <w:rsid w:val="1D155CEE"/>
    <w:rsid w:val="1D1638FE"/>
    <w:rsid w:val="1E312DEB"/>
    <w:rsid w:val="1E740ACF"/>
    <w:rsid w:val="1FF35744"/>
    <w:rsid w:val="1FF6BC77"/>
    <w:rsid w:val="217202A9"/>
    <w:rsid w:val="2186353C"/>
    <w:rsid w:val="235D7379"/>
    <w:rsid w:val="23860B96"/>
    <w:rsid w:val="240371BF"/>
    <w:rsid w:val="244F3473"/>
    <w:rsid w:val="24C97D99"/>
    <w:rsid w:val="25A718F0"/>
    <w:rsid w:val="25BB59F6"/>
    <w:rsid w:val="260F557C"/>
    <w:rsid w:val="267B1655"/>
    <w:rsid w:val="26970054"/>
    <w:rsid w:val="281408E2"/>
    <w:rsid w:val="2946306F"/>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52172C"/>
    <w:rsid w:val="36AA5135"/>
    <w:rsid w:val="36BE0DA7"/>
    <w:rsid w:val="376B6AA6"/>
    <w:rsid w:val="376D39B2"/>
    <w:rsid w:val="37E16F03"/>
    <w:rsid w:val="37F53A3B"/>
    <w:rsid w:val="389B6C89"/>
    <w:rsid w:val="38D469F0"/>
    <w:rsid w:val="39627CCD"/>
    <w:rsid w:val="397BAF1F"/>
    <w:rsid w:val="3A706705"/>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0105DD9"/>
    <w:rsid w:val="41550F05"/>
    <w:rsid w:val="419A1254"/>
    <w:rsid w:val="43CE72EA"/>
    <w:rsid w:val="44E268DA"/>
    <w:rsid w:val="450D13D7"/>
    <w:rsid w:val="45506656"/>
    <w:rsid w:val="45975C5F"/>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4D1429C"/>
    <w:rsid w:val="55170BA8"/>
    <w:rsid w:val="553218C9"/>
    <w:rsid w:val="567E1AA5"/>
    <w:rsid w:val="56E47B74"/>
    <w:rsid w:val="57175D52"/>
    <w:rsid w:val="572604A2"/>
    <w:rsid w:val="57BD3DD4"/>
    <w:rsid w:val="5AF92295"/>
    <w:rsid w:val="5B250254"/>
    <w:rsid w:val="5B4B204F"/>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422410"/>
    <w:rsid w:val="65E66580"/>
    <w:rsid w:val="65FC7586"/>
    <w:rsid w:val="664B1D71"/>
    <w:rsid w:val="664B4E8E"/>
    <w:rsid w:val="67277B67"/>
    <w:rsid w:val="67403538"/>
    <w:rsid w:val="67AA3209"/>
    <w:rsid w:val="698D0931"/>
    <w:rsid w:val="6A7FE5F3"/>
    <w:rsid w:val="6B053271"/>
    <w:rsid w:val="6BDD78B3"/>
    <w:rsid w:val="6C48341D"/>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8D5E4A"/>
    <w:rsid w:val="73AB61DA"/>
    <w:rsid w:val="73AD73D5"/>
    <w:rsid w:val="73B6EB34"/>
    <w:rsid w:val="73FA497D"/>
    <w:rsid w:val="74190C93"/>
    <w:rsid w:val="744731E5"/>
    <w:rsid w:val="74BBD01D"/>
    <w:rsid w:val="74ED5379"/>
    <w:rsid w:val="75DEEEC2"/>
    <w:rsid w:val="75E32345"/>
    <w:rsid w:val="76100A2E"/>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D55C65"/>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index 9"/>
    <w:next w:val="1"/>
    <w:qFormat/>
    <w:uiPriority w:val="0"/>
    <w:pPr>
      <w:widowControl w:val="0"/>
      <w:tabs>
        <w:tab w:val="left" w:pos="2"/>
      </w:tabs>
      <w:ind w:firstLine="629"/>
      <w:jc w:val="both"/>
    </w:pPr>
    <w:rPr>
      <w:rFonts w:ascii="Calibri" w:hAnsi="Calibri" w:eastAsia="宋体" w:cs="Times New Roman"/>
      <w:kern w:val="2"/>
      <w:sz w:val="21"/>
      <w:szCs w:val="24"/>
      <w:lang w:val="en-US" w:eastAsia="zh-CN" w:bidi="ar-SA"/>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elete val="1"/>
          </c:dLbls>
          <c:cat>
            <c:strRef>
              <c:extLst>
                <c:ext xmlns:c15="http://schemas.microsoft.com/office/drawing/2012/chart" uri="{02D57815-91ED-43cb-92C2-25804820EDAC}">
                  <c15:fullRef>
                    <c15:sqref>Sheet1!$A$2:$A$5</c15:sqref>
                  </c15:fullRef>
                  <c15:levelRef>
                    <c15:sqref>Sheet1!$A$2</c15:sqref>
                  </c15:levelRef>
                </c:ext>
              </c:extLst>
              <c:f>Sheet1!$A$2</c:f>
              <c:strCache>
                <c:ptCount val="1"/>
                <c:pt idx="0">
                  <c:v>一般公共预算财政拨款</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6781009197117"/>
          <c:y val="0.466323296354992"/>
          <c:w val="0.320904797414865"/>
          <c:h val="0.13906497622820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62c980-1427-4586-a87f-d75cc20d2e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c:f>
              <c:strCache>
                <c:ptCount val="1"/>
                <c:pt idx="0">
                  <c:v>基本支出</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6781009197117"/>
          <c:y val="0.466323296354992"/>
          <c:w val="0.320904797414865"/>
          <c:h val="0.13906497622820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316a70-a1c4-4ddd-9874-1a16cb97f9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[工作簿1]Sheet1!$H$6:$H$8</c:f>
              <c:strCache>
                <c:ptCount val="3"/>
                <c:pt idx="0">
                  <c:v>社会保障和就业支出</c:v>
                </c:pt>
                <c:pt idx="1">
                  <c:v>卫生健康支出</c:v>
                </c:pt>
                <c:pt idx="2">
                  <c:v>住房保障支出</c:v>
                </c:pt>
              </c:strCache>
            </c:strRef>
          </c:cat>
          <c:val>
            <c:numRef>
              <c:f>[工作簿1]Sheet1!$I$6:$I$8</c:f>
              <c:numCache>
                <c:formatCode>0.00%</c:formatCode>
                <c:ptCount val="3"/>
                <c:pt idx="0">
                  <c:v>0.867</c:v>
                </c:pt>
                <c:pt idx="1">
                  <c:v>0.055</c:v>
                </c:pt>
                <c:pt idx="2">
                  <c:v>0.077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dc2443-4d60-4098-989f-4518f72d51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[工作簿1]Sheet1!$H$6:$H$8</c:f>
              <c:strCache>
                <c:ptCount val="3"/>
                <c:pt idx="0">
                  <c:v>因公出国（境）费</c:v>
                </c:pt>
                <c:pt idx="1">
                  <c:v>公务用车购置及运行维护费</c:v>
                </c:pt>
                <c:pt idx="2">
                  <c:v>公务接待费</c:v>
                </c:pt>
              </c:strCache>
            </c:strRef>
          </c:cat>
          <c:val>
            <c:numRef>
              <c:f>[工作簿1]Sheet1!$I$6:$I$8</c:f>
              <c:numCache>
                <c:formatCode>0.00%</c:formatCode>
                <c:ptCount val="3"/>
                <c:pt idx="0">
                  <c:v>0</c:v>
                </c:pt>
                <c:pt idx="1">
                  <c:v>1</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9c18d8-8785-468c-9d87-56014bb488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5843</Words>
  <Characters>7262</Characters>
  <Lines>61</Lines>
  <Paragraphs>17</Paragraphs>
  <TotalTime>2</TotalTime>
  <ScaleCrop>false</ScaleCrop>
  <LinksUpToDate>false</LinksUpToDate>
  <CharactersWithSpaces>7284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秦韵月</cp:lastModifiedBy>
  <cp:lastPrinted>2025-08-06T17:34:00Z</cp:lastPrinted>
  <dcterms:modified xsi:type="dcterms:W3CDTF">2026-09-08T10:07:14Z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04787F2533EB45DC91BCDE4AB213247F</vt:lpwstr>
  </property>
  <property fmtid="{D5CDD505-2E9C-101B-9397-08002B2CF9AE}" pid="4" name="KSOTemplateDocerSaveRecord">
    <vt:lpwstr>eyJoZGlkIjoiZWU4OWUwYzEyY2UzOGJmZjNmZWM5ZDI0OTY1ZmEwNmYiLCJ1c2VySWQiOiIxNTk4Mzc5NjQ1In0=</vt:lpwstr>
  </property>
</Properties>
</file>