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11BF7">
      <w:pPr>
        <w:spacing w:line="256" w:lineRule="auto"/>
        <w:rPr>
          <w:rFonts w:ascii="Arial"/>
          <w:sz w:val="21"/>
        </w:rPr>
      </w:pPr>
    </w:p>
    <w:p w14:paraId="39042FFE">
      <w:pPr>
        <w:spacing w:line="256" w:lineRule="auto"/>
        <w:rPr>
          <w:rFonts w:ascii="Arial"/>
          <w:sz w:val="21"/>
        </w:rPr>
      </w:pPr>
    </w:p>
    <w:p w14:paraId="20423700">
      <w:pPr>
        <w:spacing w:line="256" w:lineRule="auto"/>
        <w:rPr>
          <w:rFonts w:ascii="Arial"/>
          <w:sz w:val="21"/>
        </w:rPr>
      </w:pPr>
    </w:p>
    <w:p w14:paraId="7E5EA795">
      <w:pPr>
        <w:spacing w:line="256" w:lineRule="auto"/>
        <w:rPr>
          <w:rFonts w:ascii="Arial"/>
          <w:sz w:val="21"/>
        </w:rPr>
      </w:pPr>
    </w:p>
    <w:p w14:paraId="79FC69DF">
      <w:pPr>
        <w:spacing w:line="256" w:lineRule="auto"/>
        <w:rPr>
          <w:rFonts w:ascii="Arial"/>
          <w:sz w:val="21"/>
        </w:rPr>
      </w:pPr>
    </w:p>
    <w:p w14:paraId="092C6DD9">
      <w:pPr>
        <w:spacing w:line="256" w:lineRule="auto"/>
        <w:rPr>
          <w:rFonts w:ascii="Arial"/>
          <w:sz w:val="21"/>
        </w:rPr>
      </w:pPr>
    </w:p>
    <w:p w14:paraId="384F71DF">
      <w:pPr>
        <w:spacing w:line="256" w:lineRule="auto"/>
        <w:rPr>
          <w:rFonts w:ascii="Arial"/>
          <w:sz w:val="21"/>
        </w:rPr>
      </w:pPr>
    </w:p>
    <w:p w14:paraId="081DBDA7">
      <w:pPr>
        <w:spacing w:line="256" w:lineRule="auto"/>
        <w:rPr>
          <w:rFonts w:ascii="Arial"/>
          <w:sz w:val="21"/>
        </w:rPr>
      </w:pPr>
    </w:p>
    <w:p w14:paraId="729F3400">
      <w:pPr>
        <w:spacing w:line="256" w:lineRule="auto"/>
        <w:rPr>
          <w:rFonts w:ascii="Arial"/>
          <w:sz w:val="21"/>
        </w:rPr>
      </w:pPr>
    </w:p>
    <w:p w14:paraId="1B59EA4E">
      <w:pPr>
        <w:spacing w:line="256" w:lineRule="auto"/>
        <w:rPr>
          <w:rFonts w:ascii="Arial"/>
          <w:sz w:val="21"/>
        </w:rPr>
      </w:pPr>
    </w:p>
    <w:p w14:paraId="7F7A469A">
      <w:pPr>
        <w:spacing w:line="256" w:lineRule="auto"/>
        <w:rPr>
          <w:rFonts w:ascii="Arial"/>
          <w:sz w:val="21"/>
        </w:rPr>
      </w:pPr>
    </w:p>
    <w:p w14:paraId="239F261A">
      <w:pPr>
        <w:spacing w:line="256" w:lineRule="auto"/>
        <w:rPr>
          <w:rFonts w:ascii="Arial"/>
          <w:sz w:val="21"/>
        </w:rPr>
      </w:pPr>
    </w:p>
    <w:p w14:paraId="1E2E6324">
      <w:pPr>
        <w:spacing w:line="257" w:lineRule="auto"/>
        <w:rPr>
          <w:rFonts w:ascii="Arial"/>
          <w:sz w:val="21"/>
        </w:rPr>
      </w:pPr>
    </w:p>
    <w:p w14:paraId="00E17C5B">
      <w:pPr>
        <w:spacing w:before="468" w:line="219" w:lineRule="auto"/>
        <w:ind w:left="12307"/>
        <w:rPr>
          <w:rFonts w:ascii="黑体" w:hAnsi="黑体" w:eastAsia="黑体" w:cs="黑体"/>
          <w:sz w:val="144"/>
          <w:szCs w:val="144"/>
        </w:rPr>
      </w:pPr>
      <w:r>
        <w:rPr>
          <w:rFonts w:ascii="黑体" w:hAnsi="黑体" w:eastAsia="黑体" w:cs="黑体"/>
          <w:spacing w:val="-19"/>
          <w:sz w:val="144"/>
          <w:szCs w:val="144"/>
        </w:rPr>
        <w:t>文本</w:t>
      </w:r>
    </w:p>
    <w:p w14:paraId="5708452C">
      <w:pPr>
        <w:spacing w:line="219" w:lineRule="auto"/>
        <w:rPr>
          <w:rFonts w:ascii="黑体" w:hAnsi="黑体" w:eastAsia="黑体" w:cs="黑体"/>
          <w:sz w:val="144"/>
          <w:szCs w:val="144"/>
        </w:rPr>
        <w:sectPr>
          <w:footerReference r:id="rId5" w:type="default"/>
          <w:pgSz w:w="23811" w:h="16839"/>
          <w:pgMar w:top="1431" w:right="3571" w:bottom="1613" w:left="3571" w:header="0" w:footer="1385" w:gutter="0"/>
          <w:cols w:space="720" w:num="1"/>
        </w:sectPr>
      </w:pPr>
    </w:p>
    <w:p w14:paraId="07A20568">
      <w:pPr>
        <w:spacing w:line="258" w:lineRule="auto"/>
        <w:rPr>
          <w:rFonts w:ascii="Arial"/>
          <w:sz w:val="21"/>
        </w:rPr>
      </w:pPr>
    </w:p>
    <w:p w14:paraId="50C2179D">
      <w:pPr>
        <w:spacing w:line="258" w:lineRule="auto"/>
        <w:rPr>
          <w:rFonts w:ascii="Arial"/>
          <w:sz w:val="21"/>
        </w:rPr>
      </w:pPr>
    </w:p>
    <w:p w14:paraId="7515E3B6">
      <w:pPr>
        <w:spacing w:line="258" w:lineRule="auto"/>
        <w:rPr>
          <w:rFonts w:ascii="Arial"/>
          <w:sz w:val="21"/>
        </w:rPr>
      </w:pPr>
    </w:p>
    <w:p w14:paraId="043634D3">
      <w:pPr>
        <w:spacing w:line="259" w:lineRule="auto"/>
        <w:rPr>
          <w:rFonts w:ascii="Arial"/>
          <w:sz w:val="21"/>
        </w:rPr>
      </w:pPr>
    </w:p>
    <w:p w14:paraId="6870038A">
      <w:pPr>
        <w:spacing w:line="259" w:lineRule="auto"/>
        <w:rPr>
          <w:rFonts w:ascii="Arial"/>
          <w:sz w:val="21"/>
        </w:rPr>
      </w:pPr>
    </w:p>
    <w:p w14:paraId="0FD81C78">
      <w:pPr>
        <w:spacing w:line="259" w:lineRule="auto"/>
        <w:rPr>
          <w:rFonts w:ascii="Arial"/>
          <w:sz w:val="21"/>
        </w:rPr>
      </w:pPr>
    </w:p>
    <w:sdt>
      <w:sdtPr>
        <w:rPr>
          <w:rFonts w:ascii="宋体" w:hAnsi="宋体" w:eastAsia="宋体" w:cs="宋体"/>
          <w:sz w:val="24"/>
          <w:szCs w:val="24"/>
        </w:rPr>
        <w:id w:val="147460614"/>
        <w:docPartObj>
          <w:docPartGallery w:val="Table of Contents"/>
          <w:docPartUnique/>
        </w:docPartObj>
      </w:sdtPr>
      <w:sdtEndPr>
        <w:rPr>
          <w:rFonts w:ascii="Cambria" w:hAnsi="Cambria" w:eastAsia="Cambria" w:cs="Cambria"/>
          <w:sz w:val="24"/>
          <w:szCs w:val="24"/>
        </w:rPr>
      </w:sdtEndPr>
      <w:sdtContent>
        <w:p w14:paraId="33EF9471">
          <w:pPr>
            <w:pStyle w:val="2"/>
            <w:spacing w:before="78" w:line="222" w:lineRule="auto"/>
            <w:ind w:left="4925"/>
          </w:pPr>
          <w:r>
            <w:rPr>
              <w:b/>
              <w:bCs/>
              <w:spacing w:val="-16"/>
            </w:rPr>
            <w:t>目录</w:t>
          </w:r>
        </w:p>
        <w:p w14:paraId="4E814BE0">
          <w:pPr>
            <w:pStyle w:val="2"/>
            <w:tabs>
              <w:tab w:val="right" w:leader="dot" w:pos="10234"/>
            </w:tabs>
            <w:spacing w:before="179" w:line="200" w:lineRule="auto"/>
            <w:rPr>
              <w:rFonts w:ascii="Cambria" w:hAnsi="Cambria" w:eastAsia="Cambria" w:cs="Cambria"/>
            </w:rPr>
          </w:pPr>
          <w:r>
            <w:fldChar w:fldCharType="begin"/>
          </w:r>
          <w:r>
            <w:instrText xml:space="preserve"> HYPERLINK \l "bookmark1" </w:instrText>
          </w:r>
          <w:r>
            <w:fldChar w:fldCharType="separate"/>
          </w:r>
          <w:r>
            <w:rPr>
              <w:b/>
              <w:bCs/>
              <w:spacing w:val="-6"/>
            </w:rPr>
            <w:t>第一章</w:t>
          </w:r>
          <w:r>
            <w:rPr>
              <w:spacing w:val="50"/>
            </w:rPr>
            <w:t xml:space="preserve">  </w:t>
          </w:r>
          <w:r>
            <w:rPr>
              <w:b/>
              <w:bCs/>
              <w:spacing w:val="-6"/>
            </w:rPr>
            <w:t>总则</w:t>
          </w:r>
          <w:r>
            <w:rPr>
              <w:spacing w:val="-105"/>
            </w:rPr>
            <w:t xml:space="preserve"> </w:t>
          </w:r>
          <w:r>
            <w:tab/>
          </w:r>
          <w:r>
            <w:rPr>
              <w:spacing w:val="-91"/>
            </w:rPr>
            <w:t xml:space="preserve"> </w:t>
          </w:r>
          <w:r>
            <w:rPr>
              <w:rFonts w:ascii="Cambria" w:hAnsi="Cambria" w:eastAsia="Cambria" w:cs="Cambria"/>
              <w:b/>
              <w:bCs/>
              <w:spacing w:val="-11"/>
            </w:rPr>
            <w:t>-</w:t>
          </w:r>
          <w:r>
            <w:rPr>
              <w:rFonts w:ascii="Cambria" w:hAnsi="Cambria" w:eastAsia="Cambria" w:cs="Cambria"/>
              <w:b/>
              <w:bCs/>
              <w:spacing w:val="20"/>
            </w:rPr>
            <w:t xml:space="preserve"> </w:t>
          </w:r>
          <w:r>
            <w:rPr>
              <w:rFonts w:ascii="Cambria" w:hAnsi="Cambria" w:eastAsia="Cambria" w:cs="Cambria"/>
              <w:b/>
              <w:bCs/>
              <w:spacing w:val="-11"/>
            </w:rPr>
            <w:t>1</w:t>
          </w:r>
          <w:r>
            <w:rPr>
              <w:rFonts w:ascii="Cambria" w:hAnsi="Cambria" w:eastAsia="Cambria" w:cs="Cambria"/>
              <w:b/>
              <w:bCs/>
              <w:spacing w:val="12"/>
            </w:rPr>
            <w:t xml:space="preserve"> </w:t>
          </w:r>
          <w:r>
            <w:rPr>
              <w:rFonts w:ascii="Cambria" w:hAnsi="Cambria" w:eastAsia="Cambria" w:cs="Cambria"/>
              <w:b/>
              <w:bCs/>
              <w:spacing w:val="-11"/>
            </w:rPr>
            <w:t>-</w:t>
          </w:r>
          <w:r>
            <w:rPr>
              <w:rFonts w:ascii="Cambria" w:hAnsi="Cambria" w:eastAsia="Cambria" w:cs="Cambria"/>
              <w:b/>
              <w:bCs/>
              <w:spacing w:val="-11"/>
            </w:rPr>
            <w:fldChar w:fldCharType="end"/>
          </w:r>
        </w:p>
        <w:p w14:paraId="2ED96AF6">
          <w:pPr>
            <w:pStyle w:val="2"/>
            <w:tabs>
              <w:tab w:val="right" w:leader="dot" w:pos="10234"/>
            </w:tabs>
            <w:spacing w:before="205" w:line="200" w:lineRule="auto"/>
            <w:rPr>
              <w:rFonts w:ascii="Cambria" w:hAnsi="Cambria" w:eastAsia="Cambria" w:cs="Cambria"/>
            </w:rPr>
          </w:pPr>
          <w:r>
            <w:fldChar w:fldCharType="begin"/>
          </w:r>
          <w:r>
            <w:instrText xml:space="preserve"> HYPERLINK \l "bookmark2" </w:instrText>
          </w:r>
          <w:r>
            <w:fldChar w:fldCharType="separate"/>
          </w:r>
          <w:r>
            <w:rPr>
              <w:b/>
              <w:bCs/>
              <w:spacing w:val="-4"/>
            </w:rPr>
            <w:t>第二章</w:t>
          </w:r>
          <w:r>
            <w:rPr>
              <w:spacing w:val="53"/>
            </w:rPr>
            <w:t xml:space="preserve">  </w:t>
          </w:r>
          <w:r>
            <w:rPr>
              <w:b/>
              <w:bCs/>
              <w:spacing w:val="-4"/>
            </w:rPr>
            <w:t>规划定位与发展目标</w:t>
          </w:r>
          <w:r>
            <w:rPr>
              <w:spacing w:val="-79"/>
            </w:rPr>
            <w:t xml:space="preserve"> </w:t>
          </w:r>
          <w:r>
            <w:tab/>
          </w:r>
          <w:r>
            <w:rPr>
              <w:spacing w:val="-91"/>
            </w:rPr>
            <w:t xml:space="preserve"> </w:t>
          </w:r>
          <w:r>
            <w:rPr>
              <w:rFonts w:ascii="Cambria" w:hAnsi="Cambria" w:eastAsia="Cambria" w:cs="Cambria"/>
              <w:b/>
              <w:bCs/>
              <w:spacing w:val="-9"/>
            </w:rPr>
            <w:t>-</w:t>
          </w:r>
          <w:r>
            <w:rPr>
              <w:rFonts w:ascii="Cambria" w:hAnsi="Cambria" w:eastAsia="Cambria" w:cs="Cambria"/>
              <w:b/>
              <w:bCs/>
              <w:spacing w:val="14"/>
            </w:rPr>
            <w:t xml:space="preserve"> </w:t>
          </w:r>
          <w:r>
            <w:rPr>
              <w:rFonts w:ascii="Cambria" w:hAnsi="Cambria" w:eastAsia="Cambria" w:cs="Cambria"/>
              <w:b/>
              <w:bCs/>
              <w:spacing w:val="-9"/>
            </w:rPr>
            <w:t>2</w:t>
          </w:r>
          <w:r>
            <w:rPr>
              <w:rFonts w:ascii="Cambria" w:hAnsi="Cambria" w:eastAsia="Cambria" w:cs="Cambria"/>
              <w:b/>
              <w:bCs/>
              <w:spacing w:val="12"/>
            </w:rPr>
            <w:t xml:space="preserve"> </w:t>
          </w:r>
          <w:r>
            <w:rPr>
              <w:rFonts w:ascii="Cambria" w:hAnsi="Cambria" w:eastAsia="Cambria" w:cs="Cambria"/>
              <w:b/>
              <w:bCs/>
              <w:spacing w:val="-9"/>
            </w:rPr>
            <w:t>-</w:t>
          </w:r>
          <w:r>
            <w:rPr>
              <w:rFonts w:ascii="Cambria" w:hAnsi="Cambria" w:eastAsia="Cambria" w:cs="Cambria"/>
              <w:b/>
              <w:bCs/>
              <w:spacing w:val="-9"/>
            </w:rPr>
            <w:fldChar w:fldCharType="end"/>
          </w:r>
        </w:p>
        <w:p w14:paraId="684D2D72">
          <w:pPr>
            <w:pStyle w:val="2"/>
            <w:tabs>
              <w:tab w:val="right" w:leader="dot" w:pos="10234"/>
            </w:tabs>
            <w:spacing w:before="208" w:line="200" w:lineRule="auto"/>
            <w:rPr>
              <w:rFonts w:ascii="Cambria" w:hAnsi="Cambria" w:eastAsia="Cambria" w:cs="Cambria"/>
            </w:rPr>
          </w:pPr>
          <w:r>
            <w:fldChar w:fldCharType="begin"/>
          </w:r>
          <w:r>
            <w:instrText xml:space="preserve"> HYPERLINK \l "bookmark3" </w:instrText>
          </w:r>
          <w:r>
            <w:fldChar w:fldCharType="separate"/>
          </w:r>
          <w:r>
            <w:rPr>
              <w:b/>
              <w:bCs/>
              <w:spacing w:val="-4"/>
            </w:rPr>
            <w:t>第三章</w:t>
          </w:r>
          <w:r>
            <w:rPr>
              <w:spacing w:val="49"/>
            </w:rPr>
            <w:t xml:space="preserve">  </w:t>
          </w:r>
          <w:r>
            <w:rPr>
              <w:b/>
              <w:bCs/>
              <w:spacing w:val="-4"/>
            </w:rPr>
            <w:t>产业发展规划</w:t>
          </w:r>
          <w:r>
            <w:rPr>
              <w:spacing w:val="-74"/>
            </w:rPr>
            <w:t xml:space="preserve"> </w:t>
          </w:r>
          <w:r>
            <w:tab/>
          </w:r>
          <w:r>
            <w:rPr>
              <w:spacing w:val="-90"/>
            </w:rPr>
            <w:t xml:space="preserve"> </w:t>
          </w:r>
          <w:r>
            <w:rPr>
              <w:rFonts w:ascii="Cambria" w:hAnsi="Cambria" w:eastAsia="Cambria" w:cs="Cambria"/>
              <w:b/>
              <w:bCs/>
              <w:spacing w:val="-10"/>
            </w:rPr>
            <w:t>-</w:t>
          </w:r>
          <w:r>
            <w:rPr>
              <w:rFonts w:ascii="Cambria" w:hAnsi="Cambria" w:eastAsia="Cambria" w:cs="Cambria"/>
              <w:b/>
              <w:bCs/>
              <w:spacing w:val="16"/>
            </w:rPr>
            <w:t xml:space="preserve"> </w:t>
          </w:r>
          <w:r>
            <w:rPr>
              <w:rFonts w:ascii="Cambria" w:hAnsi="Cambria" w:eastAsia="Cambria" w:cs="Cambria"/>
              <w:b/>
              <w:bCs/>
              <w:spacing w:val="-10"/>
            </w:rPr>
            <w:t>3</w:t>
          </w:r>
          <w:r>
            <w:rPr>
              <w:rFonts w:ascii="Cambria" w:hAnsi="Cambria" w:eastAsia="Cambria" w:cs="Cambria"/>
              <w:b/>
              <w:bCs/>
              <w:spacing w:val="12"/>
            </w:rPr>
            <w:t xml:space="preserve"> </w:t>
          </w:r>
          <w:r>
            <w:rPr>
              <w:rFonts w:ascii="Cambria" w:hAnsi="Cambria" w:eastAsia="Cambria" w:cs="Cambria"/>
              <w:b/>
              <w:bCs/>
              <w:spacing w:val="-10"/>
            </w:rPr>
            <w:t>-</w:t>
          </w:r>
          <w:r>
            <w:rPr>
              <w:rFonts w:ascii="Cambria" w:hAnsi="Cambria" w:eastAsia="Cambria" w:cs="Cambria"/>
              <w:b/>
              <w:bCs/>
              <w:spacing w:val="-10"/>
            </w:rPr>
            <w:fldChar w:fldCharType="end"/>
          </w:r>
        </w:p>
        <w:p w14:paraId="227A9395">
          <w:pPr>
            <w:pStyle w:val="2"/>
            <w:tabs>
              <w:tab w:val="right" w:leader="dot" w:pos="10234"/>
            </w:tabs>
            <w:spacing w:before="206" w:line="200" w:lineRule="auto"/>
            <w:rPr>
              <w:rFonts w:ascii="Cambria" w:hAnsi="Cambria" w:eastAsia="Cambria" w:cs="Cambria"/>
            </w:rPr>
          </w:pPr>
          <w:r>
            <w:fldChar w:fldCharType="begin"/>
          </w:r>
          <w:r>
            <w:instrText xml:space="preserve"> HYPERLINK \l "bookmark4" </w:instrText>
          </w:r>
          <w:r>
            <w:fldChar w:fldCharType="separate"/>
          </w:r>
          <w:r>
            <w:rPr>
              <w:b/>
              <w:bCs/>
              <w:spacing w:val="-4"/>
            </w:rPr>
            <w:t>第四章</w:t>
          </w:r>
          <w:r>
            <w:rPr>
              <w:spacing w:val="53"/>
            </w:rPr>
            <w:t xml:space="preserve">  </w:t>
          </w:r>
          <w:r>
            <w:rPr>
              <w:b/>
              <w:bCs/>
              <w:spacing w:val="-4"/>
            </w:rPr>
            <w:t>用地评价及空间管制</w:t>
          </w:r>
          <w:r>
            <w:rPr>
              <w:spacing w:val="-79"/>
            </w:rPr>
            <w:t xml:space="preserve"> </w:t>
          </w:r>
          <w:r>
            <w:tab/>
          </w:r>
          <w:r>
            <w:rPr>
              <w:spacing w:val="-90"/>
            </w:rPr>
            <w:t xml:space="preserve"> </w:t>
          </w:r>
          <w:r>
            <w:rPr>
              <w:rFonts w:ascii="Cambria" w:hAnsi="Cambria" w:eastAsia="Cambria" w:cs="Cambria"/>
              <w:b/>
              <w:bCs/>
              <w:spacing w:val="-7"/>
            </w:rPr>
            <w:t>-</w:t>
          </w:r>
          <w:r>
            <w:rPr>
              <w:rFonts w:ascii="Cambria" w:hAnsi="Cambria" w:eastAsia="Cambria" w:cs="Cambria"/>
              <w:b/>
              <w:bCs/>
              <w:spacing w:val="7"/>
            </w:rPr>
            <w:t xml:space="preserve"> </w:t>
          </w:r>
          <w:r>
            <w:rPr>
              <w:rFonts w:ascii="Cambria" w:hAnsi="Cambria" w:eastAsia="Cambria" w:cs="Cambria"/>
              <w:b/>
              <w:bCs/>
              <w:spacing w:val="-7"/>
            </w:rPr>
            <w:t>4</w:t>
          </w:r>
          <w:r>
            <w:rPr>
              <w:rFonts w:ascii="Cambria" w:hAnsi="Cambria" w:eastAsia="Cambria" w:cs="Cambria"/>
              <w:b/>
              <w:bCs/>
              <w:spacing w:val="12"/>
            </w:rPr>
            <w:t xml:space="preserve"> </w:t>
          </w:r>
          <w:r>
            <w:rPr>
              <w:rFonts w:ascii="Cambria" w:hAnsi="Cambria" w:eastAsia="Cambria" w:cs="Cambria"/>
              <w:b/>
              <w:bCs/>
              <w:spacing w:val="-7"/>
            </w:rPr>
            <w:t>-</w:t>
          </w:r>
          <w:r>
            <w:rPr>
              <w:rFonts w:ascii="Cambria" w:hAnsi="Cambria" w:eastAsia="Cambria" w:cs="Cambria"/>
              <w:b/>
              <w:bCs/>
              <w:spacing w:val="-7"/>
            </w:rPr>
            <w:fldChar w:fldCharType="end"/>
          </w:r>
        </w:p>
        <w:p w14:paraId="4CE2D20F">
          <w:pPr>
            <w:pStyle w:val="2"/>
            <w:tabs>
              <w:tab w:val="right" w:leader="dot" w:pos="10234"/>
            </w:tabs>
            <w:spacing w:before="208" w:line="200" w:lineRule="auto"/>
            <w:rPr>
              <w:rFonts w:ascii="Cambria" w:hAnsi="Cambria" w:eastAsia="Cambria" w:cs="Cambria"/>
            </w:rPr>
          </w:pPr>
          <w:r>
            <w:fldChar w:fldCharType="begin"/>
          </w:r>
          <w:r>
            <w:instrText xml:space="preserve"> HYPERLINK \l "bookmark5" </w:instrText>
          </w:r>
          <w:r>
            <w:fldChar w:fldCharType="separate"/>
          </w:r>
          <w:r>
            <w:rPr>
              <w:b/>
              <w:bCs/>
              <w:spacing w:val="-4"/>
            </w:rPr>
            <w:t>第五章</w:t>
          </w:r>
          <w:r>
            <w:rPr>
              <w:spacing w:val="53"/>
            </w:rPr>
            <w:t xml:space="preserve">  </w:t>
          </w:r>
          <w:r>
            <w:rPr>
              <w:b/>
              <w:bCs/>
              <w:spacing w:val="-4"/>
            </w:rPr>
            <w:t>空间发展与总体布局</w:t>
          </w:r>
          <w:r>
            <w:rPr>
              <w:spacing w:val="-79"/>
            </w:rPr>
            <w:t xml:space="preserve"> </w:t>
          </w:r>
          <w:r>
            <w:tab/>
          </w:r>
          <w:r>
            <w:rPr>
              <w:spacing w:val="-91"/>
            </w:rPr>
            <w:t xml:space="preserve"> </w:t>
          </w:r>
          <w:r>
            <w:rPr>
              <w:rFonts w:ascii="Cambria" w:hAnsi="Cambria" w:eastAsia="Cambria" w:cs="Cambria"/>
              <w:b/>
              <w:bCs/>
              <w:spacing w:val="-9"/>
            </w:rPr>
            <w:t>-</w:t>
          </w:r>
          <w:r>
            <w:rPr>
              <w:rFonts w:ascii="Cambria" w:hAnsi="Cambria" w:eastAsia="Cambria" w:cs="Cambria"/>
              <w:b/>
              <w:bCs/>
              <w:spacing w:val="14"/>
            </w:rPr>
            <w:t xml:space="preserve"> </w:t>
          </w:r>
          <w:r>
            <w:rPr>
              <w:rFonts w:ascii="Cambria" w:hAnsi="Cambria" w:eastAsia="Cambria" w:cs="Cambria"/>
              <w:b/>
              <w:bCs/>
              <w:spacing w:val="-9"/>
            </w:rPr>
            <w:t>6</w:t>
          </w:r>
          <w:r>
            <w:rPr>
              <w:rFonts w:ascii="Cambria" w:hAnsi="Cambria" w:eastAsia="Cambria" w:cs="Cambria"/>
              <w:b/>
              <w:bCs/>
              <w:spacing w:val="12"/>
            </w:rPr>
            <w:t xml:space="preserve"> </w:t>
          </w:r>
          <w:r>
            <w:rPr>
              <w:rFonts w:ascii="Cambria" w:hAnsi="Cambria" w:eastAsia="Cambria" w:cs="Cambria"/>
              <w:b/>
              <w:bCs/>
              <w:spacing w:val="-9"/>
            </w:rPr>
            <w:t>-</w:t>
          </w:r>
          <w:r>
            <w:rPr>
              <w:rFonts w:ascii="Cambria" w:hAnsi="Cambria" w:eastAsia="Cambria" w:cs="Cambria"/>
              <w:b/>
              <w:bCs/>
              <w:spacing w:val="-9"/>
            </w:rPr>
            <w:fldChar w:fldCharType="end"/>
          </w:r>
        </w:p>
        <w:p w14:paraId="4740E12D">
          <w:pPr>
            <w:pStyle w:val="2"/>
            <w:tabs>
              <w:tab w:val="right" w:leader="dot" w:pos="10234"/>
            </w:tabs>
            <w:spacing w:before="205" w:line="200" w:lineRule="auto"/>
            <w:rPr>
              <w:rFonts w:ascii="Cambria" w:hAnsi="Cambria" w:eastAsia="Cambria" w:cs="Cambria"/>
            </w:rPr>
          </w:pPr>
          <w:r>
            <w:fldChar w:fldCharType="begin"/>
          </w:r>
          <w:r>
            <w:instrText xml:space="preserve"> HYPERLINK \l "bookmark6" </w:instrText>
          </w:r>
          <w:r>
            <w:fldChar w:fldCharType="separate"/>
          </w:r>
          <w:r>
            <w:rPr>
              <w:b/>
              <w:bCs/>
              <w:spacing w:val="-3"/>
            </w:rPr>
            <w:t>第六章</w:t>
          </w:r>
          <w:r>
            <w:rPr>
              <w:spacing w:val="53"/>
            </w:rPr>
            <w:t xml:space="preserve">  </w:t>
          </w:r>
          <w:r>
            <w:rPr>
              <w:b/>
              <w:bCs/>
              <w:spacing w:val="-3"/>
            </w:rPr>
            <w:t>产业分区、工业及物流仓储用地布局规划</w:t>
          </w:r>
          <w:r>
            <w:rPr>
              <w:spacing w:val="-94"/>
            </w:rPr>
            <w:t xml:space="preserve"> </w:t>
          </w:r>
          <w:r>
            <w:tab/>
          </w:r>
          <w:r>
            <w:rPr>
              <w:spacing w:val="-90"/>
            </w:rPr>
            <w:t xml:space="preserve"> </w:t>
          </w:r>
          <w:r>
            <w:rPr>
              <w:rFonts w:ascii="Cambria" w:hAnsi="Cambria" w:eastAsia="Cambria" w:cs="Cambria"/>
              <w:b/>
              <w:bCs/>
              <w:spacing w:val="-10"/>
            </w:rPr>
            <w:t>-</w:t>
          </w:r>
          <w:r>
            <w:rPr>
              <w:rFonts w:ascii="Cambria" w:hAnsi="Cambria" w:eastAsia="Cambria" w:cs="Cambria"/>
              <w:b/>
              <w:bCs/>
              <w:spacing w:val="16"/>
            </w:rPr>
            <w:t xml:space="preserve"> </w:t>
          </w:r>
          <w:r>
            <w:rPr>
              <w:rFonts w:ascii="Cambria" w:hAnsi="Cambria" w:eastAsia="Cambria" w:cs="Cambria"/>
              <w:b/>
              <w:bCs/>
              <w:spacing w:val="-10"/>
            </w:rPr>
            <w:t>7</w:t>
          </w:r>
          <w:r>
            <w:rPr>
              <w:rFonts w:ascii="Cambria" w:hAnsi="Cambria" w:eastAsia="Cambria" w:cs="Cambria"/>
              <w:b/>
              <w:bCs/>
              <w:spacing w:val="12"/>
            </w:rPr>
            <w:t xml:space="preserve"> </w:t>
          </w:r>
          <w:r>
            <w:rPr>
              <w:rFonts w:ascii="Cambria" w:hAnsi="Cambria" w:eastAsia="Cambria" w:cs="Cambria"/>
              <w:b/>
              <w:bCs/>
              <w:spacing w:val="-10"/>
            </w:rPr>
            <w:t>-</w:t>
          </w:r>
          <w:r>
            <w:rPr>
              <w:rFonts w:ascii="Cambria" w:hAnsi="Cambria" w:eastAsia="Cambria" w:cs="Cambria"/>
              <w:b/>
              <w:bCs/>
              <w:spacing w:val="-10"/>
            </w:rPr>
            <w:fldChar w:fldCharType="end"/>
          </w:r>
        </w:p>
        <w:p w14:paraId="30874C8D">
          <w:pPr>
            <w:pStyle w:val="2"/>
            <w:tabs>
              <w:tab w:val="right" w:leader="dot" w:pos="10234"/>
            </w:tabs>
            <w:spacing w:before="208" w:line="200" w:lineRule="auto"/>
            <w:rPr>
              <w:rFonts w:ascii="Cambria" w:hAnsi="Cambria" w:eastAsia="Cambria" w:cs="Cambria"/>
            </w:rPr>
          </w:pPr>
          <w:r>
            <w:fldChar w:fldCharType="begin"/>
          </w:r>
          <w:r>
            <w:instrText xml:space="preserve"> HYPERLINK \l "bookmark7" </w:instrText>
          </w:r>
          <w:r>
            <w:fldChar w:fldCharType="separate"/>
          </w:r>
          <w:r>
            <w:rPr>
              <w:b/>
              <w:bCs/>
              <w:spacing w:val="-4"/>
            </w:rPr>
            <w:t>第七章</w:t>
          </w:r>
          <w:r>
            <w:rPr>
              <w:spacing w:val="53"/>
            </w:rPr>
            <w:t xml:space="preserve">  </w:t>
          </w:r>
          <w:r>
            <w:rPr>
              <w:b/>
              <w:bCs/>
              <w:spacing w:val="-4"/>
            </w:rPr>
            <w:t>尾矿库及排土场规划</w:t>
          </w:r>
          <w:r>
            <w:rPr>
              <w:spacing w:val="-79"/>
            </w:rPr>
            <w:t xml:space="preserve"> </w:t>
          </w:r>
          <w:r>
            <w:tab/>
          </w:r>
          <w:r>
            <w:rPr>
              <w:spacing w:val="-89"/>
            </w:rPr>
            <w:t xml:space="preserve"> </w:t>
          </w:r>
          <w:r>
            <w:rPr>
              <w:rFonts w:ascii="Cambria" w:hAnsi="Cambria" w:eastAsia="Cambria" w:cs="Cambria"/>
              <w:b/>
              <w:bCs/>
              <w:spacing w:val="-9"/>
            </w:rPr>
            <w:t>-</w:t>
          </w:r>
          <w:r>
            <w:rPr>
              <w:rFonts w:ascii="Cambria" w:hAnsi="Cambria" w:eastAsia="Cambria" w:cs="Cambria"/>
              <w:b/>
              <w:bCs/>
              <w:spacing w:val="12"/>
            </w:rPr>
            <w:t xml:space="preserve"> </w:t>
          </w:r>
          <w:r>
            <w:rPr>
              <w:rFonts w:ascii="Cambria" w:hAnsi="Cambria" w:eastAsia="Cambria" w:cs="Cambria"/>
              <w:b/>
              <w:bCs/>
              <w:spacing w:val="-9"/>
            </w:rPr>
            <w:t>8</w:t>
          </w:r>
          <w:r>
            <w:rPr>
              <w:rFonts w:ascii="Cambria" w:hAnsi="Cambria" w:eastAsia="Cambria" w:cs="Cambria"/>
              <w:b/>
              <w:bCs/>
              <w:spacing w:val="12"/>
            </w:rPr>
            <w:t xml:space="preserve"> </w:t>
          </w:r>
          <w:r>
            <w:rPr>
              <w:rFonts w:ascii="Cambria" w:hAnsi="Cambria" w:eastAsia="Cambria" w:cs="Cambria"/>
              <w:b/>
              <w:bCs/>
              <w:spacing w:val="-9"/>
            </w:rPr>
            <w:t>-</w:t>
          </w:r>
          <w:r>
            <w:rPr>
              <w:rFonts w:ascii="Cambria" w:hAnsi="Cambria" w:eastAsia="Cambria" w:cs="Cambria"/>
              <w:b/>
              <w:bCs/>
              <w:spacing w:val="-9"/>
            </w:rPr>
            <w:fldChar w:fldCharType="end"/>
          </w:r>
        </w:p>
        <w:p w14:paraId="71E97071">
          <w:pPr>
            <w:pStyle w:val="2"/>
            <w:tabs>
              <w:tab w:val="right" w:leader="dot" w:pos="10234"/>
            </w:tabs>
            <w:spacing w:before="205" w:line="200" w:lineRule="auto"/>
            <w:rPr>
              <w:rFonts w:ascii="Cambria" w:hAnsi="Cambria" w:eastAsia="Cambria" w:cs="Cambria"/>
            </w:rPr>
          </w:pPr>
          <w:r>
            <w:fldChar w:fldCharType="begin"/>
          </w:r>
          <w:r>
            <w:instrText xml:space="preserve"> HYPERLINK \l "bookmark8" </w:instrText>
          </w:r>
          <w:r>
            <w:fldChar w:fldCharType="separate"/>
          </w:r>
          <w:r>
            <w:rPr>
              <w:b/>
              <w:bCs/>
              <w:spacing w:val="-5"/>
            </w:rPr>
            <w:t>第八章</w:t>
          </w:r>
          <w:r>
            <w:rPr>
              <w:spacing w:val="57"/>
            </w:rPr>
            <w:t xml:space="preserve">  </w:t>
          </w:r>
          <w:r>
            <w:rPr>
              <w:b/>
              <w:bCs/>
              <w:spacing w:val="-5"/>
            </w:rPr>
            <w:t>公共服务设施规划</w:t>
          </w:r>
          <w:r>
            <w:rPr>
              <w:spacing w:val="-59"/>
            </w:rPr>
            <w:t xml:space="preserve"> </w:t>
          </w:r>
          <w:r>
            <w:tab/>
          </w:r>
          <w:r>
            <w:rPr>
              <w:spacing w:val="-89"/>
            </w:rPr>
            <w:t xml:space="preserve"> </w:t>
          </w:r>
          <w:r>
            <w:rPr>
              <w:rFonts w:ascii="Cambria" w:hAnsi="Cambria" w:eastAsia="Cambria" w:cs="Cambria"/>
              <w:b/>
              <w:bCs/>
              <w:spacing w:val="-9"/>
            </w:rPr>
            <w:t>-</w:t>
          </w:r>
          <w:r>
            <w:rPr>
              <w:rFonts w:ascii="Cambria" w:hAnsi="Cambria" w:eastAsia="Cambria" w:cs="Cambria"/>
              <w:b/>
              <w:bCs/>
              <w:spacing w:val="12"/>
            </w:rPr>
            <w:t xml:space="preserve"> </w:t>
          </w:r>
          <w:r>
            <w:rPr>
              <w:rFonts w:ascii="Cambria" w:hAnsi="Cambria" w:eastAsia="Cambria" w:cs="Cambria"/>
              <w:b/>
              <w:bCs/>
              <w:spacing w:val="-9"/>
            </w:rPr>
            <w:t>8</w:t>
          </w:r>
          <w:r>
            <w:rPr>
              <w:rFonts w:ascii="Cambria" w:hAnsi="Cambria" w:eastAsia="Cambria" w:cs="Cambria"/>
              <w:b/>
              <w:bCs/>
              <w:spacing w:val="12"/>
            </w:rPr>
            <w:t xml:space="preserve"> </w:t>
          </w:r>
          <w:r>
            <w:rPr>
              <w:rFonts w:ascii="Cambria" w:hAnsi="Cambria" w:eastAsia="Cambria" w:cs="Cambria"/>
              <w:b/>
              <w:bCs/>
              <w:spacing w:val="-9"/>
            </w:rPr>
            <w:t>-</w:t>
          </w:r>
          <w:r>
            <w:rPr>
              <w:rFonts w:ascii="Cambria" w:hAnsi="Cambria" w:eastAsia="Cambria" w:cs="Cambria"/>
              <w:b/>
              <w:bCs/>
              <w:spacing w:val="-9"/>
            </w:rPr>
            <w:fldChar w:fldCharType="end"/>
          </w:r>
        </w:p>
        <w:p w14:paraId="09368F31">
          <w:pPr>
            <w:pStyle w:val="2"/>
            <w:tabs>
              <w:tab w:val="right" w:leader="dot" w:pos="10234"/>
            </w:tabs>
            <w:spacing w:before="208" w:line="200" w:lineRule="auto"/>
            <w:rPr>
              <w:rFonts w:ascii="Cambria" w:hAnsi="Cambria" w:eastAsia="Cambria" w:cs="Cambria"/>
            </w:rPr>
          </w:pPr>
          <w:r>
            <w:fldChar w:fldCharType="begin"/>
          </w:r>
          <w:r>
            <w:instrText xml:space="preserve"> HYPERLINK \l "bookmark9" </w:instrText>
          </w:r>
          <w:r>
            <w:fldChar w:fldCharType="separate"/>
          </w:r>
          <w:r>
            <w:rPr>
              <w:b/>
              <w:bCs/>
              <w:spacing w:val="-4"/>
            </w:rPr>
            <w:t>第九章</w:t>
          </w:r>
          <w:r>
            <w:rPr>
              <w:spacing w:val="51"/>
            </w:rPr>
            <w:t xml:space="preserve">  </w:t>
          </w:r>
          <w:r>
            <w:rPr>
              <w:b/>
              <w:bCs/>
              <w:spacing w:val="-4"/>
            </w:rPr>
            <w:t>综合交通发展规划</w:t>
          </w:r>
          <w:r>
            <w:rPr>
              <w:spacing w:val="-58"/>
            </w:rPr>
            <w:t xml:space="preserve"> </w:t>
          </w:r>
          <w:r>
            <w:tab/>
          </w:r>
          <w:r>
            <w:rPr>
              <w:spacing w:val="-91"/>
            </w:rPr>
            <w:t xml:space="preserve"> </w:t>
          </w:r>
          <w:r>
            <w:rPr>
              <w:rFonts w:ascii="Cambria" w:hAnsi="Cambria" w:eastAsia="Cambria" w:cs="Cambria"/>
              <w:b/>
              <w:bCs/>
              <w:spacing w:val="-8"/>
            </w:rPr>
            <w:t>-</w:t>
          </w:r>
          <w:r>
            <w:rPr>
              <w:rFonts w:ascii="Cambria" w:hAnsi="Cambria" w:eastAsia="Cambria" w:cs="Cambria"/>
              <w:b/>
              <w:bCs/>
              <w:spacing w:val="11"/>
            </w:rPr>
            <w:t xml:space="preserve"> </w:t>
          </w:r>
          <w:r>
            <w:rPr>
              <w:rFonts w:ascii="Cambria" w:hAnsi="Cambria" w:eastAsia="Cambria" w:cs="Cambria"/>
              <w:b/>
              <w:bCs/>
              <w:spacing w:val="-8"/>
            </w:rPr>
            <w:t>9</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71D44041">
          <w:pPr>
            <w:pStyle w:val="2"/>
            <w:tabs>
              <w:tab w:val="right" w:leader="dot" w:pos="10234"/>
            </w:tabs>
            <w:spacing w:before="205" w:line="200" w:lineRule="auto"/>
            <w:rPr>
              <w:rFonts w:ascii="Cambria" w:hAnsi="Cambria" w:eastAsia="Cambria" w:cs="Cambria"/>
            </w:rPr>
          </w:pPr>
          <w:r>
            <w:fldChar w:fldCharType="begin"/>
          </w:r>
          <w:r>
            <w:instrText xml:space="preserve"> HYPERLINK \l "bookmark10" </w:instrText>
          </w:r>
          <w:r>
            <w:fldChar w:fldCharType="separate"/>
          </w:r>
          <w:r>
            <w:rPr>
              <w:b/>
              <w:bCs/>
              <w:spacing w:val="-4"/>
            </w:rPr>
            <w:t>第十章</w:t>
          </w:r>
          <w:r>
            <w:rPr>
              <w:spacing w:val="51"/>
            </w:rPr>
            <w:t xml:space="preserve">  </w:t>
          </w:r>
          <w:r>
            <w:rPr>
              <w:b/>
              <w:bCs/>
              <w:spacing w:val="-4"/>
            </w:rPr>
            <w:t>绿地景观系统规划</w:t>
          </w:r>
          <w:r>
            <w:rPr>
              <w:spacing w:val="-58"/>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11</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520D5EE5">
          <w:pPr>
            <w:pStyle w:val="2"/>
            <w:tabs>
              <w:tab w:val="right" w:leader="dot" w:pos="10234"/>
            </w:tabs>
            <w:spacing w:before="209" w:line="200" w:lineRule="auto"/>
            <w:rPr>
              <w:rFonts w:ascii="Cambria" w:hAnsi="Cambria" w:eastAsia="Cambria" w:cs="Cambria"/>
            </w:rPr>
          </w:pPr>
          <w:r>
            <w:fldChar w:fldCharType="begin"/>
          </w:r>
          <w:r>
            <w:instrText xml:space="preserve"> HYPERLINK \l "bookmark11" </w:instrText>
          </w:r>
          <w:r>
            <w:fldChar w:fldCharType="separate"/>
          </w:r>
          <w:r>
            <w:rPr>
              <w:b/>
              <w:bCs/>
              <w:spacing w:val="-5"/>
            </w:rPr>
            <w:t>第十一章</w:t>
          </w:r>
          <w:r>
            <w:rPr>
              <w:spacing w:val="-5"/>
            </w:rPr>
            <w:t xml:space="preserve"> </w:t>
          </w:r>
          <w:r>
            <w:rPr>
              <w:b/>
              <w:bCs/>
              <w:spacing w:val="-5"/>
            </w:rPr>
            <w:t>市政基础设施规划</w:t>
          </w:r>
          <w:r>
            <w:rPr>
              <w:spacing w:val="-57"/>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12</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16E0930C">
          <w:pPr>
            <w:pStyle w:val="2"/>
            <w:tabs>
              <w:tab w:val="right" w:leader="dot" w:pos="10234"/>
            </w:tabs>
            <w:spacing w:before="205" w:line="200" w:lineRule="auto"/>
            <w:rPr>
              <w:rFonts w:ascii="Cambria" w:hAnsi="Cambria" w:eastAsia="Cambria" w:cs="Cambria"/>
            </w:rPr>
          </w:pPr>
          <w:r>
            <w:fldChar w:fldCharType="begin"/>
          </w:r>
          <w:r>
            <w:instrText xml:space="preserve"> HYPERLINK \l "bookmark12" </w:instrText>
          </w:r>
          <w:r>
            <w:fldChar w:fldCharType="separate"/>
          </w:r>
          <w:r>
            <w:rPr>
              <w:b/>
              <w:bCs/>
              <w:spacing w:val="-3"/>
            </w:rPr>
            <w:t>第十二章</w:t>
          </w:r>
          <w:r>
            <w:rPr>
              <w:spacing w:val="-24"/>
            </w:rPr>
            <w:t xml:space="preserve"> </w:t>
          </w:r>
          <w:r>
            <w:rPr>
              <w:b/>
              <w:bCs/>
              <w:spacing w:val="-3"/>
            </w:rPr>
            <w:t>环境保护与环卫设施规划</w:t>
          </w:r>
          <w:r>
            <w:rPr>
              <w:spacing w:val="-63"/>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16</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4E525A92">
          <w:pPr>
            <w:pStyle w:val="2"/>
            <w:tabs>
              <w:tab w:val="right" w:leader="dot" w:pos="10234"/>
            </w:tabs>
            <w:spacing w:before="208" w:line="200" w:lineRule="auto"/>
            <w:rPr>
              <w:rFonts w:ascii="Cambria" w:hAnsi="Cambria" w:eastAsia="Cambria" w:cs="Cambria"/>
            </w:rPr>
          </w:pPr>
          <w:r>
            <w:fldChar w:fldCharType="begin"/>
          </w:r>
          <w:r>
            <w:instrText xml:space="preserve"> HYPERLINK \l "bookmark13" </w:instrText>
          </w:r>
          <w:r>
            <w:fldChar w:fldCharType="separate"/>
          </w:r>
          <w:r>
            <w:rPr>
              <w:b/>
              <w:bCs/>
              <w:spacing w:val="-5"/>
            </w:rPr>
            <w:t>第十三章</w:t>
          </w:r>
          <w:r>
            <w:rPr>
              <w:spacing w:val="-5"/>
            </w:rPr>
            <w:t xml:space="preserve"> </w:t>
          </w:r>
          <w:r>
            <w:rPr>
              <w:b/>
              <w:bCs/>
              <w:spacing w:val="-5"/>
            </w:rPr>
            <w:t>公共安全与综合防灾规划</w:t>
          </w:r>
          <w:r>
            <w:rPr>
              <w:spacing w:val="-52"/>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17</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5887A7D4">
          <w:pPr>
            <w:pStyle w:val="2"/>
            <w:tabs>
              <w:tab w:val="right" w:leader="dot" w:pos="10234"/>
            </w:tabs>
            <w:spacing w:before="206" w:line="200" w:lineRule="auto"/>
            <w:rPr>
              <w:rFonts w:ascii="Cambria" w:hAnsi="Cambria" w:eastAsia="Cambria" w:cs="Cambria"/>
            </w:rPr>
          </w:pPr>
          <w:r>
            <w:fldChar w:fldCharType="begin"/>
          </w:r>
          <w:r>
            <w:instrText xml:space="preserve"> HYPERLINK \l "bookmark14" </w:instrText>
          </w:r>
          <w:r>
            <w:fldChar w:fldCharType="separate"/>
          </w:r>
          <w:r>
            <w:rPr>
              <w:b/>
              <w:bCs/>
              <w:spacing w:val="-6"/>
            </w:rPr>
            <w:t>第十四章</w:t>
          </w:r>
          <w:r>
            <w:rPr>
              <w:spacing w:val="-6"/>
            </w:rPr>
            <w:t xml:space="preserve"> </w:t>
          </w:r>
          <w:r>
            <w:rPr>
              <w:b/>
              <w:bCs/>
              <w:spacing w:val="-6"/>
            </w:rPr>
            <w:t>分期建设规划</w:t>
          </w:r>
          <w:r>
            <w:rPr>
              <w:spacing w:val="-68"/>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18</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2BB10387">
          <w:pPr>
            <w:pStyle w:val="2"/>
            <w:tabs>
              <w:tab w:val="right" w:leader="dot" w:pos="10234"/>
            </w:tabs>
            <w:spacing w:before="208" w:line="200" w:lineRule="auto"/>
            <w:rPr>
              <w:rFonts w:ascii="Cambria" w:hAnsi="Cambria" w:eastAsia="Cambria" w:cs="Cambria"/>
            </w:rPr>
          </w:pPr>
          <w:r>
            <w:fldChar w:fldCharType="begin"/>
          </w:r>
          <w:r>
            <w:instrText xml:space="preserve"> HYPERLINK \l "bookmark15" </w:instrText>
          </w:r>
          <w:r>
            <w:fldChar w:fldCharType="separate"/>
          </w:r>
          <w:r>
            <w:rPr>
              <w:b/>
              <w:bCs/>
              <w:spacing w:val="-4"/>
            </w:rPr>
            <w:t>第十五章</w:t>
          </w:r>
          <w:r>
            <w:rPr>
              <w:spacing w:val="-21"/>
            </w:rPr>
            <w:t xml:space="preserve"> </w:t>
          </w:r>
          <w:r>
            <w:rPr>
              <w:b/>
              <w:bCs/>
              <w:spacing w:val="-4"/>
            </w:rPr>
            <w:t>规划实施措施</w:t>
          </w:r>
          <w:r>
            <w:rPr>
              <w:spacing w:val="-73"/>
            </w:rPr>
            <w:t xml:space="preserve"> </w:t>
          </w:r>
          <w:r>
            <w:tab/>
          </w:r>
          <w:r>
            <w:rPr>
              <w:spacing w:val="-67"/>
            </w:rPr>
            <w:t xml:space="preserve"> </w:t>
          </w:r>
          <w:r>
            <w:rPr>
              <w:rFonts w:ascii="Cambria" w:hAnsi="Cambria" w:eastAsia="Cambria" w:cs="Cambria"/>
              <w:b/>
              <w:bCs/>
              <w:spacing w:val="-8"/>
            </w:rPr>
            <w:t>-</w:t>
          </w:r>
          <w:r>
            <w:rPr>
              <w:rFonts w:ascii="Cambria" w:hAnsi="Cambria" w:eastAsia="Cambria" w:cs="Cambria"/>
              <w:b/>
              <w:bCs/>
              <w:spacing w:val="19"/>
            </w:rPr>
            <w:t xml:space="preserve"> </w:t>
          </w:r>
          <w:r>
            <w:rPr>
              <w:rFonts w:ascii="Cambria" w:hAnsi="Cambria" w:eastAsia="Cambria" w:cs="Cambria"/>
              <w:b/>
              <w:bCs/>
              <w:spacing w:val="-8"/>
            </w:rPr>
            <w:t>19</w:t>
          </w:r>
          <w:r>
            <w:rPr>
              <w:rFonts w:ascii="Cambria" w:hAnsi="Cambria" w:eastAsia="Cambria" w:cs="Cambria"/>
              <w:b/>
              <w:bCs/>
              <w:spacing w:val="12"/>
            </w:rPr>
            <w:t xml:space="preserve"> </w:t>
          </w:r>
          <w:r>
            <w:rPr>
              <w:rFonts w:ascii="Cambria" w:hAnsi="Cambria" w:eastAsia="Cambria" w:cs="Cambria"/>
              <w:b/>
              <w:bCs/>
              <w:spacing w:val="-8"/>
            </w:rPr>
            <w:t>-</w:t>
          </w:r>
          <w:r>
            <w:rPr>
              <w:rFonts w:ascii="Cambria" w:hAnsi="Cambria" w:eastAsia="Cambria" w:cs="Cambria"/>
              <w:b/>
              <w:bCs/>
              <w:spacing w:val="-8"/>
            </w:rPr>
            <w:fldChar w:fldCharType="end"/>
          </w:r>
        </w:p>
        <w:p w14:paraId="3261944A">
          <w:pPr>
            <w:pStyle w:val="2"/>
            <w:tabs>
              <w:tab w:val="right" w:leader="dot" w:pos="10234"/>
            </w:tabs>
            <w:spacing w:before="206" w:line="234" w:lineRule="auto"/>
            <w:rPr>
              <w:rFonts w:ascii="Cambria" w:hAnsi="Cambria" w:eastAsia="Cambria" w:cs="Cambria"/>
            </w:rPr>
          </w:pPr>
          <w:r>
            <w:fldChar w:fldCharType="begin"/>
          </w:r>
          <w:r>
            <w:instrText xml:space="preserve"> HYPERLINK \l "bookmark16" </w:instrText>
          </w:r>
          <w:r>
            <w:fldChar w:fldCharType="separate"/>
          </w:r>
          <w:r>
            <w:rPr>
              <w:b/>
              <w:bCs/>
              <w:spacing w:val="-8"/>
            </w:rPr>
            <w:t>第十六章</w:t>
          </w:r>
          <w:r>
            <w:rPr>
              <w:spacing w:val="-8"/>
            </w:rPr>
            <w:t xml:space="preserve"> </w:t>
          </w:r>
          <w:r>
            <w:rPr>
              <w:b/>
              <w:bCs/>
              <w:spacing w:val="-8"/>
            </w:rPr>
            <w:t>附则</w:t>
          </w:r>
          <w:r>
            <w:rPr>
              <w:spacing w:val="-102"/>
            </w:rPr>
            <w:t xml:space="preserve"> </w:t>
          </w:r>
          <w:r>
            <w:tab/>
          </w:r>
          <w:r>
            <w:rPr>
              <w:spacing w:val="-66"/>
            </w:rPr>
            <w:t xml:space="preserve"> </w:t>
          </w:r>
          <w:r>
            <w:rPr>
              <w:rFonts w:ascii="Cambria" w:hAnsi="Cambria" w:eastAsia="Cambria" w:cs="Cambria"/>
              <w:b/>
              <w:bCs/>
              <w:spacing w:val="-7"/>
            </w:rPr>
            <w:t>-</w:t>
          </w:r>
          <w:r>
            <w:rPr>
              <w:rFonts w:ascii="Cambria" w:hAnsi="Cambria" w:eastAsia="Cambria" w:cs="Cambria"/>
              <w:b/>
              <w:bCs/>
              <w:spacing w:val="13"/>
              <w:w w:val="101"/>
            </w:rPr>
            <w:t xml:space="preserve"> </w:t>
          </w:r>
          <w:r>
            <w:rPr>
              <w:rFonts w:ascii="Cambria" w:hAnsi="Cambria" w:eastAsia="Cambria" w:cs="Cambria"/>
              <w:b/>
              <w:bCs/>
              <w:spacing w:val="-7"/>
            </w:rPr>
            <w:t>20</w:t>
          </w:r>
          <w:r>
            <w:rPr>
              <w:rFonts w:ascii="Cambria" w:hAnsi="Cambria" w:eastAsia="Cambria" w:cs="Cambria"/>
              <w:b/>
              <w:bCs/>
              <w:spacing w:val="12"/>
            </w:rPr>
            <w:t xml:space="preserve"> </w:t>
          </w:r>
          <w:r>
            <w:rPr>
              <w:rFonts w:ascii="Cambria" w:hAnsi="Cambria" w:eastAsia="Cambria" w:cs="Cambria"/>
              <w:b/>
              <w:bCs/>
              <w:spacing w:val="-7"/>
            </w:rPr>
            <w:t>-</w:t>
          </w:r>
          <w:r>
            <w:rPr>
              <w:rFonts w:ascii="Cambria" w:hAnsi="Cambria" w:eastAsia="Cambria" w:cs="Cambria"/>
              <w:b/>
              <w:bCs/>
              <w:spacing w:val="-7"/>
            </w:rPr>
            <w:fldChar w:fldCharType="end"/>
          </w:r>
        </w:p>
      </w:sdtContent>
    </w:sdt>
    <w:p w14:paraId="4C4DC347">
      <w:pPr>
        <w:spacing w:line="234" w:lineRule="auto"/>
        <w:rPr>
          <w:rFonts w:ascii="Cambria" w:hAnsi="Cambria" w:eastAsia="Cambria" w:cs="Cambria"/>
        </w:rPr>
        <w:sectPr>
          <w:footerReference r:id="rId6" w:type="default"/>
          <w:pgSz w:w="23811" w:h="16839"/>
          <w:pgMar w:top="1431" w:right="3571" w:bottom="1613" w:left="1454" w:header="0" w:footer="1385" w:gutter="0"/>
          <w:cols w:space="720" w:num="1"/>
        </w:sectPr>
      </w:pPr>
    </w:p>
    <w:p w14:paraId="6ECDB261">
      <w:pPr>
        <w:spacing w:line="83" w:lineRule="exact"/>
      </w:pPr>
    </w:p>
    <w:p w14:paraId="6D33D217">
      <w:pPr>
        <w:spacing w:line="83" w:lineRule="exact"/>
        <w:sectPr>
          <w:headerReference r:id="rId7" w:type="default"/>
          <w:footerReference r:id="rId8" w:type="default"/>
          <w:pgSz w:w="23811" w:h="16839"/>
          <w:pgMar w:top="1274" w:right="1409" w:bottom="1613" w:left="1411" w:header="838" w:footer="1385" w:gutter="0"/>
          <w:cols w:equalWidth="0" w:num="1">
            <w:col w:w="20990"/>
          </w:cols>
        </w:sectPr>
      </w:pPr>
    </w:p>
    <w:p w14:paraId="296CAA2D">
      <w:pPr>
        <w:spacing w:line="279" w:lineRule="auto"/>
        <w:rPr>
          <w:rFonts w:ascii="Arial"/>
          <w:sz w:val="21"/>
        </w:rPr>
      </w:pPr>
    </w:p>
    <w:p w14:paraId="1E7DAF9C">
      <w:pPr>
        <w:spacing w:before="100" w:line="224" w:lineRule="auto"/>
        <w:ind w:left="4112"/>
        <w:outlineLvl w:val="0"/>
        <w:rPr>
          <w:rFonts w:ascii="黑体" w:hAnsi="黑体" w:eastAsia="黑体" w:cs="黑体"/>
          <w:sz w:val="31"/>
          <w:szCs w:val="31"/>
        </w:rPr>
      </w:pPr>
      <w:bookmarkStart w:id="0" w:name="bookmark1"/>
      <w:bookmarkEnd w:id="0"/>
      <w:r>
        <w:rPr>
          <w:rFonts w:ascii="黑体" w:hAnsi="黑体" w:eastAsia="黑体" w:cs="黑体"/>
          <w:spacing w:val="4"/>
          <w:sz w:val="31"/>
          <w:szCs w:val="31"/>
        </w:rPr>
        <w:t>第一章  总则</w:t>
      </w:r>
    </w:p>
    <w:p w14:paraId="2E5885D8">
      <w:pPr>
        <w:spacing w:line="266" w:lineRule="auto"/>
        <w:rPr>
          <w:rFonts w:ascii="Arial"/>
          <w:sz w:val="21"/>
        </w:rPr>
      </w:pPr>
    </w:p>
    <w:p w14:paraId="40A48049">
      <w:pPr>
        <w:spacing w:line="267" w:lineRule="auto"/>
        <w:rPr>
          <w:rFonts w:ascii="Arial"/>
          <w:sz w:val="21"/>
        </w:rPr>
      </w:pPr>
    </w:p>
    <w:p w14:paraId="0792C741">
      <w:pPr>
        <w:spacing w:before="91" w:line="219" w:lineRule="auto"/>
        <w:ind w:left="529"/>
        <w:rPr>
          <w:rFonts w:ascii="黑体" w:hAnsi="黑体" w:eastAsia="黑体" w:cs="黑体"/>
          <w:sz w:val="28"/>
          <w:szCs w:val="28"/>
        </w:rPr>
      </w:pPr>
      <w:r>
        <w:rPr>
          <w:rFonts w:ascii="黑体" w:hAnsi="黑体" w:eastAsia="黑体" w:cs="黑体"/>
          <w:spacing w:val="-3"/>
          <w:sz w:val="28"/>
          <w:szCs w:val="28"/>
        </w:rPr>
        <w:t>第一条</w:t>
      </w:r>
      <w:r>
        <w:rPr>
          <w:rFonts w:ascii="黑体" w:hAnsi="黑体" w:eastAsia="黑体" w:cs="黑体"/>
          <w:spacing w:val="41"/>
          <w:sz w:val="28"/>
          <w:szCs w:val="28"/>
        </w:rPr>
        <w:t xml:space="preserve">  </w:t>
      </w:r>
      <w:r>
        <w:rPr>
          <w:rFonts w:ascii="黑体" w:hAnsi="黑体" w:eastAsia="黑体" w:cs="黑体"/>
          <w:spacing w:val="-3"/>
          <w:sz w:val="28"/>
          <w:szCs w:val="28"/>
        </w:rPr>
        <w:t>规划背景</w:t>
      </w:r>
    </w:p>
    <w:p w14:paraId="3EDD7D3E">
      <w:pPr>
        <w:spacing w:line="306" w:lineRule="auto"/>
        <w:rPr>
          <w:rFonts w:ascii="Arial"/>
          <w:sz w:val="21"/>
        </w:rPr>
      </w:pPr>
    </w:p>
    <w:p w14:paraId="1FE4836D">
      <w:pPr>
        <w:pStyle w:val="2"/>
        <w:spacing w:before="78" w:line="377" w:lineRule="auto"/>
        <w:ind w:left="37" w:right="730" w:firstLine="486"/>
        <w:jc w:val="both"/>
      </w:pPr>
      <w:r>
        <w:rPr>
          <w:spacing w:val="-1"/>
        </w:rPr>
        <w:t>贯彻落实省委十一届三次全会提出构建“一干多支、五区协同”</w:t>
      </w:r>
      <w:r>
        <w:rPr>
          <w:spacing w:val="-2"/>
        </w:rPr>
        <w:t>区域发展新格局</w:t>
      </w:r>
      <w:r>
        <w:rPr>
          <w:rFonts w:hint="eastAsia"/>
          <w:spacing w:val="-2"/>
          <w:lang w:eastAsia="zh-CN"/>
        </w:rPr>
        <w:t>的战略部署，</w:t>
      </w:r>
      <w:r>
        <w:rPr>
          <w:spacing w:val="-2"/>
        </w:rPr>
        <w:t>把盐边钒</w:t>
      </w:r>
      <w:r>
        <w:rPr>
          <w:spacing w:val="-1"/>
        </w:rPr>
        <w:t>钛产业开发区建设成为中国钒钛之都的重要支撑和联动攀西经济区的经济发展重要增长极</w:t>
      </w:r>
      <w:r>
        <w:rPr>
          <w:spacing w:val="-2"/>
        </w:rPr>
        <w:t>。为适</w:t>
      </w:r>
      <w:r>
        <w:rPr>
          <w:spacing w:val="-1"/>
        </w:rPr>
        <w:t>应“省级开发区”的发展要求，加快盐边钒钛产业开发区开发和建设，努力把产业开发区</w:t>
      </w:r>
      <w:r>
        <w:rPr>
          <w:spacing w:val="-2"/>
        </w:rPr>
        <w:t>建设成</w:t>
      </w:r>
      <w:r>
        <w:rPr>
          <w:spacing w:val="-1"/>
        </w:rPr>
        <w:t>为优势特色产业的集中区、创新发展的先导区和循环经济的示范区。同时为响应攀枝花“双城建</w:t>
      </w:r>
      <w:r>
        <w:rPr>
          <w:spacing w:val="-7"/>
        </w:rPr>
        <w:t>设</w:t>
      </w:r>
      <w:r>
        <w:rPr>
          <w:spacing w:val="-89"/>
        </w:rPr>
        <w:t xml:space="preserve"> </w:t>
      </w:r>
      <w:r>
        <w:rPr>
          <w:spacing w:val="-7"/>
        </w:rPr>
        <w:t>”，加快攀枝花融入“成渝地区双城经济圈”的发展中，形成攀枝</w:t>
      </w:r>
      <w:r>
        <w:rPr>
          <w:spacing w:val="-8"/>
        </w:rPr>
        <w:t>花“一区多园”发展新格局，</w:t>
      </w:r>
      <w:r>
        <w:rPr>
          <w:spacing w:val="-1"/>
        </w:rPr>
        <w:t>在</w:t>
      </w:r>
      <w:r>
        <w:rPr>
          <w:rFonts w:hint="eastAsia"/>
          <w:spacing w:val="-1"/>
          <w:lang w:eastAsia="zh-CN"/>
        </w:rPr>
        <w:t>县委、县政府</w:t>
      </w:r>
      <w:r>
        <w:rPr>
          <w:spacing w:val="-1"/>
        </w:rPr>
        <w:t>的总体战略部署下，统筹盐边县经济社会发展基础条件、资源特点</w:t>
      </w:r>
      <w:r>
        <w:rPr>
          <w:rFonts w:hint="eastAsia"/>
          <w:spacing w:val="-1"/>
          <w:lang w:eastAsia="zh-CN"/>
        </w:rPr>
        <w:t>和以</w:t>
      </w:r>
      <w:r>
        <w:rPr>
          <w:spacing w:val="-1"/>
        </w:rPr>
        <w:t>智能制造为代表的现代工业发展趋势，结合盐边县最新的行政区划调整，特编制本规划，以指导新时期</w:t>
      </w:r>
      <w:r>
        <w:rPr>
          <w:spacing w:val="-2"/>
        </w:rPr>
        <w:t>盐边钒</w:t>
      </w:r>
      <w:r>
        <w:rPr>
          <w:spacing w:val="-3"/>
        </w:rPr>
        <w:t>钛产业开发区的开发建设工作。</w:t>
      </w:r>
    </w:p>
    <w:p w14:paraId="3C531D49">
      <w:pPr>
        <w:spacing w:before="187" w:line="219" w:lineRule="auto"/>
        <w:ind w:left="529"/>
        <w:rPr>
          <w:rFonts w:ascii="黑体" w:hAnsi="黑体" w:eastAsia="黑体" w:cs="黑体"/>
          <w:sz w:val="28"/>
          <w:szCs w:val="28"/>
        </w:rPr>
      </w:pPr>
      <w:r>
        <w:rPr>
          <w:rFonts w:ascii="黑体" w:hAnsi="黑体" w:eastAsia="黑体" w:cs="黑体"/>
          <w:spacing w:val="-2"/>
          <w:sz w:val="28"/>
          <w:szCs w:val="28"/>
        </w:rPr>
        <w:t>第二条</w:t>
      </w:r>
      <w:r>
        <w:rPr>
          <w:rFonts w:ascii="黑体" w:hAnsi="黑体" w:eastAsia="黑体" w:cs="黑体"/>
          <w:spacing w:val="38"/>
          <w:sz w:val="28"/>
          <w:szCs w:val="28"/>
        </w:rPr>
        <w:t xml:space="preserve">  </w:t>
      </w:r>
      <w:r>
        <w:rPr>
          <w:rFonts w:ascii="黑体" w:hAnsi="黑体" w:eastAsia="黑体" w:cs="黑体"/>
          <w:spacing w:val="-2"/>
          <w:sz w:val="28"/>
          <w:szCs w:val="28"/>
        </w:rPr>
        <w:t>规划范围</w:t>
      </w:r>
    </w:p>
    <w:p w14:paraId="2FA2556C">
      <w:pPr>
        <w:spacing w:line="293" w:lineRule="auto"/>
        <w:rPr>
          <w:rFonts w:ascii="Arial"/>
          <w:sz w:val="21"/>
        </w:rPr>
      </w:pPr>
    </w:p>
    <w:p w14:paraId="274D7C90">
      <w:pPr>
        <w:pStyle w:val="2"/>
        <w:spacing w:before="78"/>
        <w:ind w:left="519"/>
      </w:pPr>
      <w:r>
        <w:rPr>
          <w:spacing w:val="-13"/>
        </w:rPr>
        <w:t>规划建设用地范围由“安宁片区</w:t>
      </w:r>
      <w:r>
        <w:rPr>
          <w:spacing w:val="-88"/>
        </w:rPr>
        <w:t xml:space="preserve"> </w:t>
      </w:r>
      <w:r>
        <w:rPr>
          <w:rFonts w:hint="eastAsia"/>
          <w:spacing w:val="-88"/>
          <w:lang w:eastAsia="zh-CN"/>
        </w:rPr>
        <w:t>”“</w:t>
      </w:r>
      <w:r>
        <w:rPr>
          <w:spacing w:val="-13"/>
        </w:rPr>
        <w:t>新九片区</w:t>
      </w:r>
      <w:r>
        <w:rPr>
          <w:spacing w:val="-89"/>
        </w:rPr>
        <w:t xml:space="preserve"> </w:t>
      </w:r>
      <w:r>
        <w:rPr>
          <w:spacing w:val="-13"/>
        </w:rPr>
        <w:t>”</w:t>
      </w:r>
      <w:r>
        <w:rPr>
          <w:spacing w:val="-14"/>
        </w:rPr>
        <w:t>两个片区组成，规划范围为</w:t>
      </w:r>
      <w:r>
        <w:rPr>
          <w:spacing w:val="-50"/>
        </w:rPr>
        <w:t xml:space="preserve"> </w:t>
      </w:r>
      <w:r>
        <w:rPr>
          <w:rFonts w:ascii="Times New Roman" w:hAnsi="Times New Roman" w:eastAsia="Times New Roman" w:cs="Times New Roman"/>
          <w:spacing w:val="-14"/>
        </w:rPr>
        <w:t>34.81km</w:t>
      </w:r>
      <w:r>
        <w:rPr>
          <w:rFonts w:ascii="Times New Roman" w:hAnsi="Times New Roman" w:eastAsia="Times New Roman" w:cs="Times New Roman"/>
          <w:spacing w:val="-14"/>
          <w:position w:val="10"/>
          <w:sz w:val="16"/>
          <w:szCs w:val="16"/>
        </w:rPr>
        <w:t>2</w:t>
      </w:r>
      <w:r>
        <w:rPr>
          <w:spacing w:val="-14"/>
        </w:rPr>
        <w:t>。其中，</w:t>
      </w:r>
    </w:p>
    <w:p w14:paraId="3BE275AE">
      <w:pPr>
        <w:pStyle w:val="2"/>
        <w:spacing w:before="184" w:line="374" w:lineRule="auto"/>
        <w:ind w:left="42" w:right="662" w:firstLine="480"/>
        <w:rPr>
          <w:rFonts w:ascii="Times New Roman" w:hAnsi="Times New Roman" w:eastAsia="Times New Roman" w:cs="Times New Roman"/>
        </w:rPr>
      </w:pPr>
      <w:r>
        <w:rPr>
          <w:spacing w:val="-2"/>
        </w:rPr>
        <w:t xml:space="preserve">安宁片区：东至回龙村尾矿库，南以西攀高速公路为界，西以新安路和 </w:t>
      </w:r>
      <w:r>
        <w:rPr>
          <w:spacing w:val="-3"/>
        </w:rPr>
        <w:t xml:space="preserve">G4216 连接线为界，北至拉力摸社区域，范围面积 </w:t>
      </w:r>
      <w:r>
        <w:rPr>
          <w:rFonts w:ascii="Times New Roman" w:hAnsi="Times New Roman" w:eastAsia="Times New Roman" w:cs="Times New Roman"/>
          <w:spacing w:val="-3"/>
        </w:rPr>
        <w:t>14.91</w:t>
      </w:r>
      <w:r>
        <w:rPr>
          <w:rFonts w:ascii="Times New Roman" w:hAnsi="Times New Roman" w:eastAsia="Times New Roman" w:cs="Times New Roman"/>
          <w:spacing w:val="-4"/>
        </w:rPr>
        <w:t>km</w:t>
      </w:r>
      <w:r>
        <w:rPr>
          <w:rFonts w:ascii="Times New Roman" w:hAnsi="Times New Roman" w:eastAsia="Times New Roman" w:cs="Times New Roman"/>
          <w:spacing w:val="-4"/>
          <w:position w:val="10"/>
          <w:sz w:val="16"/>
          <w:szCs w:val="16"/>
        </w:rPr>
        <w:t>2</w:t>
      </w:r>
      <w:r>
        <w:rPr>
          <w:rFonts w:ascii="Times New Roman" w:hAnsi="Times New Roman" w:eastAsia="Times New Roman" w:cs="Times New Roman"/>
          <w:spacing w:val="-23"/>
          <w:position w:val="10"/>
          <w:sz w:val="16"/>
          <w:szCs w:val="16"/>
        </w:rPr>
        <w:t xml:space="preserve"> </w:t>
      </w:r>
      <w:r>
        <w:rPr>
          <w:rFonts w:ascii="Times New Roman" w:hAnsi="Times New Roman" w:eastAsia="Times New Roman" w:cs="Times New Roman"/>
          <w:spacing w:val="-4"/>
        </w:rPr>
        <w:t>;</w:t>
      </w:r>
    </w:p>
    <w:p w14:paraId="0AEC3BC3">
      <w:pPr>
        <w:pStyle w:val="2"/>
        <w:spacing w:before="2" w:line="382" w:lineRule="auto"/>
        <w:ind w:left="43" w:right="747" w:firstLine="475"/>
      </w:pPr>
      <w:r>
        <w:rPr>
          <w:spacing w:val="-1"/>
        </w:rPr>
        <w:t>新九片区：东至采矿区环线道路，南抵红格</w:t>
      </w:r>
      <w:r>
        <w:rPr>
          <w:spacing w:val="-2"/>
        </w:rPr>
        <w:t>镇北部红发矿业一带，西至拉力摸社区域，北至</w:t>
      </w:r>
      <w:r>
        <w:rPr>
          <w:spacing w:val="-3"/>
        </w:rPr>
        <w:t>牛望田尾矿库，范围面积</w:t>
      </w:r>
      <w:r>
        <w:rPr>
          <w:spacing w:val="-15"/>
        </w:rPr>
        <w:t xml:space="preserve"> </w:t>
      </w:r>
      <w:r>
        <w:rPr>
          <w:rFonts w:ascii="Times New Roman" w:hAnsi="Times New Roman" w:eastAsia="Times New Roman" w:cs="Times New Roman"/>
          <w:spacing w:val="-3"/>
        </w:rPr>
        <w:t>19.90km</w:t>
      </w:r>
      <w:r>
        <w:rPr>
          <w:rFonts w:ascii="Times New Roman" w:hAnsi="Times New Roman" w:eastAsia="Times New Roman" w:cs="Times New Roman"/>
          <w:spacing w:val="-3"/>
          <w:position w:val="10"/>
          <w:sz w:val="16"/>
          <w:szCs w:val="16"/>
        </w:rPr>
        <w:t>2</w:t>
      </w:r>
      <w:r>
        <w:rPr>
          <w:spacing w:val="-3"/>
        </w:rPr>
        <w:t>。</w:t>
      </w:r>
    </w:p>
    <w:p w14:paraId="5DE9381D">
      <w:pPr>
        <w:spacing w:before="165" w:line="219" w:lineRule="auto"/>
        <w:ind w:left="529"/>
        <w:rPr>
          <w:rFonts w:ascii="黑体" w:hAnsi="黑体" w:eastAsia="黑体" w:cs="黑体"/>
          <w:sz w:val="28"/>
          <w:szCs w:val="28"/>
        </w:rPr>
      </w:pPr>
      <w:r>
        <w:rPr>
          <w:rFonts w:ascii="黑体" w:hAnsi="黑体" w:eastAsia="黑体" w:cs="黑体"/>
          <w:spacing w:val="-3"/>
          <w:sz w:val="28"/>
          <w:szCs w:val="28"/>
        </w:rPr>
        <w:t>第三条</w:t>
      </w:r>
      <w:r>
        <w:rPr>
          <w:rFonts w:ascii="黑体" w:hAnsi="黑体" w:eastAsia="黑体" w:cs="黑体"/>
          <w:spacing w:val="41"/>
          <w:sz w:val="28"/>
          <w:szCs w:val="28"/>
        </w:rPr>
        <w:t xml:space="preserve">  </w:t>
      </w:r>
      <w:r>
        <w:rPr>
          <w:rFonts w:ascii="黑体" w:hAnsi="黑体" w:eastAsia="黑体" w:cs="黑体"/>
          <w:spacing w:val="-3"/>
          <w:sz w:val="28"/>
          <w:szCs w:val="28"/>
        </w:rPr>
        <w:t>规划期限</w:t>
      </w:r>
    </w:p>
    <w:p w14:paraId="5EE8BD5D">
      <w:pPr>
        <w:spacing w:line="309" w:lineRule="auto"/>
        <w:rPr>
          <w:rFonts w:ascii="Arial"/>
          <w:sz w:val="21"/>
        </w:rPr>
      </w:pPr>
    </w:p>
    <w:p w14:paraId="78596B33">
      <w:pPr>
        <w:pStyle w:val="2"/>
        <w:spacing w:before="78" w:line="233" w:lineRule="auto"/>
        <w:ind w:left="519"/>
      </w:pPr>
      <w:r>
        <w:rPr>
          <w:spacing w:val="-3"/>
        </w:rPr>
        <w:t>本规划期限确定为：</w:t>
      </w:r>
      <w:r>
        <w:rPr>
          <w:rFonts w:ascii="Times New Roman" w:hAnsi="Times New Roman" w:eastAsia="Times New Roman" w:cs="Times New Roman"/>
          <w:spacing w:val="-3"/>
        </w:rPr>
        <w:t>2019</w:t>
      </w:r>
      <w:r>
        <w:rPr>
          <w:spacing w:val="-3"/>
        </w:rPr>
        <w:t>～</w:t>
      </w:r>
      <w:r>
        <w:rPr>
          <w:rFonts w:ascii="Times New Roman" w:hAnsi="Times New Roman" w:eastAsia="Times New Roman" w:cs="Times New Roman"/>
          <w:spacing w:val="-3"/>
        </w:rPr>
        <w:t xml:space="preserve">2035 </w:t>
      </w:r>
      <w:r>
        <w:rPr>
          <w:spacing w:val="-3"/>
        </w:rPr>
        <w:t>年。其中：</w:t>
      </w:r>
    </w:p>
    <w:p w14:paraId="1398B48F">
      <w:pPr>
        <w:pStyle w:val="2"/>
        <w:spacing w:before="188" w:line="233" w:lineRule="auto"/>
        <w:ind w:left="517"/>
      </w:pPr>
      <w:r>
        <w:rPr>
          <w:spacing w:val="-3"/>
        </w:rPr>
        <w:t>近期：</w:t>
      </w:r>
      <w:r>
        <w:rPr>
          <w:rFonts w:ascii="Times New Roman" w:hAnsi="Times New Roman" w:eastAsia="Times New Roman" w:cs="Times New Roman"/>
          <w:spacing w:val="-3"/>
        </w:rPr>
        <w:t>2019</w:t>
      </w:r>
      <w:r>
        <w:rPr>
          <w:spacing w:val="-3"/>
        </w:rPr>
        <w:t>～</w:t>
      </w:r>
      <w:r>
        <w:rPr>
          <w:rFonts w:ascii="Times New Roman" w:hAnsi="Times New Roman" w:eastAsia="Times New Roman" w:cs="Times New Roman"/>
          <w:spacing w:val="-3"/>
        </w:rPr>
        <w:t xml:space="preserve">2025 </w:t>
      </w:r>
      <w:r>
        <w:rPr>
          <w:spacing w:val="-3"/>
        </w:rPr>
        <w:t>年；</w:t>
      </w:r>
    </w:p>
    <w:p w14:paraId="2D8F7570">
      <w:pPr>
        <w:pStyle w:val="2"/>
        <w:spacing w:before="187" w:line="233" w:lineRule="auto"/>
        <w:ind w:left="540"/>
      </w:pPr>
      <w:r>
        <w:rPr>
          <w:spacing w:val="-4"/>
        </w:rPr>
        <w:t>中期：</w:t>
      </w:r>
      <w:r>
        <w:rPr>
          <w:rFonts w:ascii="Times New Roman" w:hAnsi="Times New Roman" w:eastAsia="Times New Roman" w:cs="Times New Roman"/>
          <w:spacing w:val="-4"/>
        </w:rPr>
        <w:t>2026</w:t>
      </w:r>
      <w:r>
        <w:rPr>
          <w:spacing w:val="-4"/>
        </w:rPr>
        <w:t>～</w:t>
      </w:r>
      <w:r>
        <w:rPr>
          <w:rFonts w:ascii="Times New Roman" w:hAnsi="Times New Roman" w:eastAsia="Times New Roman" w:cs="Times New Roman"/>
          <w:spacing w:val="-4"/>
        </w:rPr>
        <w:t xml:space="preserve">2030 </w:t>
      </w:r>
      <w:r>
        <w:rPr>
          <w:spacing w:val="-4"/>
        </w:rPr>
        <w:t>年；</w:t>
      </w:r>
    </w:p>
    <w:p w14:paraId="6423F6E8">
      <w:pPr>
        <w:pStyle w:val="2"/>
        <w:spacing w:before="187" w:line="233" w:lineRule="auto"/>
        <w:ind w:left="518"/>
      </w:pPr>
      <w:r>
        <w:rPr>
          <w:spacing w:val="-2"/>
        </w:rPr>
        <w:t>远期：</w:t>
      </w:r>
      <w:r>
        <w:rPr>
          <w:rFonts w:ascii="Times New Roman" w:hAnsi="Times New Roman" w:eastAsia="Times New Roman" w:cs="Times New Roman"/>
          <w:spacing w:val="-2"/>
        </w:rPr>
        <w:t>2031</w:t>
      </w:r>
      <w:r>
        <w:rPr>
          <w:spacing w:val="-2"/>
        </w:rPr>
        <w:t>～</w:t>
      </w:r>
      <w:r>
        <w:rPr>
          <w:rFonts w:ascii="Times New Roman" w:hAnsi="Times New Roman" w:eastAsia="Times New Roman" w:cs="Times New Roman"/>
          <w:spacing w:val="-2"/>
        </w:rPr>
        <w:t xml:space="preserve">2035 </w:t>
      </w:r>
      <w:r>
        <w:rPr>
          <w:spacing w:val="-2"/>
        </w:rPr>
        <w:t>年。</w:t>
      </w:r>
    </w:p>
    <w:p w14:paraId="76FAE95B">
      <w:pPr>
        <w:spacing w:line="14" w:lineRule="auto"/>
        <w:rPr>
          <w:rFonts w:ascii="Arial"/>
          <w:sz w:val="2"/>
        </w:rPr>
      </w:pPr>
      <w:r>
        <w:rPr>
          <w:rFonts w:ascii="Arial" w:hAnsi="Arial" w:eastAsia="Arial" w:cs="Arial"/>
          <w:sz w:val="2"/>
          <w:szCs w:val="2"/>
        </w:rPr>
        <w:br w:type="column"/>
      </w:r>
    </w:p>
    <w:p w14:paraId="776E3106">
      <w:pPr>
        <w:spacing w:before="62" w:line="219" w:lineRule="auto"/>
        <w:ind w:left="510"/>
        <w:rPr>
          <w:rFonts w:ascii="黑体" w:hAnsi="黑体" w:eastAsia="黑体" w:cs="黑体"/>
          <w:sz w:val="28"/>
          <w:szCs w:val="28"/>
        </w:rPr>
      </w:pPr>
      <w:r>
        <w:rPr>
          <w:rFonts w:ascii="黑体" w:hAnsi="黑体" w:eastAsia="黑体" w:cs="黑体"/>
          <w:spacing w:val="-3"/>
          <w:sz w:val="28"/>
          <w:szCs w:val="28"/>
        </w:rPr>
        <w:t>第四条</w:t>
      </w:r>
      <w:r>
        <w:rPr>
          <w:rFonts w:ascii="黑体" w:hAnsi="黑体" w:eastAsia="黑体" w:cs="黑体"/>
          <w:spacing w:val="41"/>
          <w:sz w:val="28"/>
          <w:szCs w:val="28"/>
        </w:rPr>
        <w:t xml:space="preserve">  </w:t>
      </w:r>
      <w:r>
        <w:rPr>
          <w:rFonts w:ascii="黑体" w:hAnsi="黑体" w:eastAsia="黑体" w:cs="黑体"/>
          <w:spacing w:val="-3"/>
          <w:sz w:val="28"/>
          <w:szCs w:val="28"/>
        </w:rPr>
        <w:t>规划依据</w:t>
      </w:r>
    </w:p>
    <w:p w14:paraId="2832DBA1">
      <w:pPr>
        <w:spacing w:line="439" w:lineRule="auto"/>
        <w:rPr>
          <w:rFonts w:ascii="Arial"/>
          <w:sz w:val="21"/>
        </w:rPr>
      </w:pPr>
    </w:p>
    <w:p w14:paraId="1ADEB317">
      <w:pPr>
        <w:spacing w:before="78" w:line="219" w:lineRule="auto"/>
        <w:ind w:left="502"/>
        <w:rPr>
          <w:rFonts w:ascii="黑体" w:hAnsi="黑体" w:eastAsia="黑体" w:cs="黑体"/>
          <w:sz w:val="24"/>
          <w:szCs w:val="24"/>
        </w:rPr>
      </w:pPr>
      <w:r>
        <w:rPr>
          <w:rFonts w:ascii="黑体" w:hAnsi="黑体" w:eastAsia="黑体" w:cs="黑体"/>
          <w:spacing w:val="-2"/>
          <w:sz w:val="24"/>
          <w:szCs w:val="24"/>
        </w:rPr>
        <w:t>一、规划依据</w:t>
      </w:r>
    </w:p>
    <w:p w14:paraId="388914FD">
      <w:pPr>
        <w:spacing w:line="381" w:lineRule="auto"/>
        <w:rPr>
          <w:rFonts w:ascii="Arial"/>
          <w:sz w:val="21"/>
        </w:rPr>
      </w:pPr>
    </w:p>
    <w:p w14:paraId="502D3FBB">
      <w:pPr>
        <w:pStyle w:val="2"/>
        <w:spacing w:before="78"/>
        <w:ind w:left="29"/>
      </w:pPr>
      <w:r>
        <w:rPr>
          <w:rFonts w:ascii="Calibri" w:hAnsi="Calibri" w:eastAsia="Calibri" w:cs="Calibri"/>
          <w:spacing w:val="-5"/>
        </w:rPr>
        <w:t xml:space="preserve">1.    </w:t>
      </w:r>
      <w:r>
        <w:rPr>
          <w:spacing w:val="-5"/>
        </w:rPr>
        <w:t>《中华人民共和国城乡规划法》（</w:t>
      </w:r>
      <w:r>
        <w:rPr>
          <w:rFonts w:ascii="Calibri" w:hAnsi="Calibri" w:eastAsia="Calibri" w:cs="Calibri"/>
          <w:spacing w:val="-5"/>
        </w:rPr>
        <w:t>2019</w:t>
      </w:r>
      <w:r>
        <w:rPr>
          <w:rFonts w:ascii="Calibri" w:hAnsi="Calibri" w:eastAsia="Calibri" w:cs="Calibri"/>
          <w:spacing w:val="28"/>
        </w:rPr>
        <w:t xml:space="preserve"> </w:t>
      </w:r>
      <w:r>
        <w:rPr>
          <w:spacing w:val="-5"/>
        </w:rPr>
        <w:t>修正）</w:t>
      </w:r>
    </w:p>
    <w:p w14:paraId="56F5B87A">
      <w:pPr>
        <w:pStyle w:val="2"/>
        <w:spacing w:before="178"/>
        <w:ind w:left="22"/>
      </w:pPr>
      <w:r>
        <w:rPr>
          <w:rFonts w:ascii="Calibri" w:hAnsi="Calibri" w:eastAsia="Calibri" w:cs="Calibri"/>
          <w:spacing w:val="-5"/>
        </w:rPr>
        <w:t xml:space="preserve">2.    </w:t>
      </w:r>
      <w:r>
        <w:rPr>
          <w:spacing w:val="-5"/>
        </w:rPr>
        <w:t>建设部《城市规划编制办法》（</w:t>
      </w:r>
      <w:r>
        <w:rPr>
          <w:rFonts w:ascii="Calibri" w:hAnsi="Calibri" w:eastAsia="Calibri" w:cs="Calibri"/>
          <w:spacing w:val="-5"/>
        </w:rPr>
        <w:t>2006</w:t>
      </w:r>
      <w:r>
        <w:rPr>
          <w:spacing w:val="-5"/>
        </w:rPr>
        <w:t>）</w:t>
      </w:r>
    </w:p>
    <w:p w14:paraId="14DD2BA6">
      <w:pPr>
        <w:pStyle w:val="2"/>
        <w:spacing w:before="178"/>
        <w:ind w:left="21"/>
      </w:pPr>
      <w:r>
        <w:rPr>
          <w:rFonts w:ascii="Calibri" w:hAnsi="Calibri" w:eastAsia="Calibri" w:cs="Calibri"/>
          <w:spacing w:val="-3"/>
        </w:rPr>
        <w:t xml:space="preserve">3.    </w:t>
      </w:r>
      <w:r>
        <w:rPr>
          <w:spacing w:val="-3"/>
        </w:rPr>
        <w:t>建设部《城市用地分类与规划建设用地标准》（</w:t>
      </w:r>
      <w:r>
        <w:rPr>
          <w:rFonts w:ascii="Calibri" w:hAnsi="Calibri" w:eastAsia="Calibri" w:cs="Calibri"/>
          <w:spacing w:val="-3"/>
        </w:rPr>
        <w:t>GB50137-2011</w:t>
      </w:r>
      <w:r>
        <w:rPr>
          <w:spacing w:val="-3"/>
        </w:rPr>
        <w:t>）</w:t>
      </w:r>
    </w:p>
    <w:p w14:paraId="2563A15C">
      <w:pPr>
        <w:pStyle w:val="2"/>
        <w:spacing w:before="175"/>
        <w:ind w:left="14"/>
      </w:pPr>
      <w:r>
        <w:rPr>
          <w:rFonts w:ascii="Calibri" w:hAnsi="Calibri" w:eastAsia="Calibri" w:cs="Calibri"/>
          <w:spacing w:val="-4"/>
        </w:rPr>
        <w:t xml:space="preserve">4.     </w:t>
      </w:r>
      <w:r>
        <w:rPr>
          <w:spacing w:val="-4"/>
        </w:rPr>
        <w:t>国土资源部《工业项目建设用地控制指标》（国土资发</w:t>
      </w:r>
      <w:r>
        <w:rPr>
          <w:spacing w:val="-5"/>
        </w:rPr>
        <w:t>〔</w:t>
      </w:r>
      <w:r>
        <w:rPr>
          <w:rFonts w:ascii="Calibri" w:hAnsi="Calibri" w:eastAsia="Calibri" w:cs="Calibri"/>
          <w:spacing w:val="-5"/>
        </w:rPr>
        <w:t>2008</w:t>
      </w:r>
      <w:r>
        <w:rPr>
          <w:spacing w:val="-5"/>
        </w:rPr>
        <w:t>〕</w:t>
      </w:r>
      <w:r>
        <w:rPr>
          <w:rFonts w:ascii="Calibri" w:hAnsi="Calibri" w:eastAsia="Calibri" w:cs="Calibri"/>
          <w:spacing w:val="-5"/>
        </w:rPr>
        <w:t>24</w:t>
      </w:r>
      <w:r>
        <w:rPr>
          <w:rFonts w:ascii="Calibri" w:hAnsi="Calibri" w:eastAsia="Calibri" w:cs="Calibri"/>
          <w:spacing w:val="20"/>
        </w:rPr>
        <w:t xml:space="preserve"> </w:t>
      </w:r>
      <w:r>
        <w:rPr>
          <w:spacing w:val="-5"/>
        </w:rPr>
        <w:t>号）</w:t>
      </w:r>
    </w:p>
    <w:p w14:paraId="60E10F84">
      <w:pPr>
        <w:pStyle w:val="2"/>
        <w:spacing w:before="178"/>
        <w:ind w:left="21"/>
      </w:pPr>
      <w:r>
        <w:rPr>
          <w:rFonts w:ascii="Calibri" w:hAnsi="Calibri" w:eastAsia="Calibri" w:cs="Calibri"/>
        </w:rPr>
        <w:t xml:space="preserve">5.    </w:t>
      </w:r>
      <w:r>
        <w:t>《四川省城乡规划条例》</w:t>
      </w:r>
    </w:p>
    <w:p w14:paraId="4DCD8622">
      <w:pPr>
        <w:pStyle w:val="2"/>
        <w:spacing w:before="178" w:line="239" w:lineRule="auto"/>
        <w:ind w:left="21"/>
      </w:pPr>
      <w:r>
        <w:rPr>
          <w:rFonts w:ascii="Calibri" w:hAnsi="Calibri" w:eastAsia="Calibri" w:cs="Calibri"/>
          <w:spacing w:val="-7"/>
        </w:rPr>
        <w:t xml:space="preserve">6.    </w:t>
      </w:r>
      <w:r>
        <w:rPr>
          <w:spacing w:val="-7"/>
        </w:rPr>
        <w:t>《攀枝花市城市总体规划（</w:t>
      </w:r>
      <w:r>
        <w:rPr>
          <w:rFonts w:ascii="Calibri" w:hAnsi="Calibri" w:eastAsia="Calibri" w:cs="Calibri"/>
          <w:spacing w:val="-7"/>
        </w:rPr>
        <w:t>2011</w:t>
      </w:r>
      <w:r>
        <w:rPr>
          <w:spacing w:val="-7"/>
        </w:rPr>
        <w:t>—</w:t>
      </w:r>
      <w:r>
        <w:rPr>
          <w:rFonts w:ascii="Calibri" w:hAnsi="Calibri" w:eastAsia="Calibri" w:cs="Calibri"/>
          <w:spacing w:val="-7"/>
        </w:rPr>
        <w:t>2030</w:t>
      </w:r>
      <w:r>
        <w:rPr>
          <w:spacing w:val="-7"/>
        </w:rPr>
        <w:t>）》（</w:t>
      </w:r>
      <w:r>
        <w:rPr>
          <w:rFonts w:ascii="Calibri" w:hAnsi="Calibri" w:eastAsia="Calibri" w:cs="Calibri"/>
          <w:spacing w:val="-7"/>
        </w:rPr>
        <w:t>2017</w:t>
      </w:r>
      <w:r>
        <w:rPr>
          <w:rFonts w:ascii="Calibri" w:hAnsi="Calibri" w:eastAsia="Calibri" w:cs="Calibri"/>
          <w:spacing w:val="27"/>
          <w:w w:val="101"/>
        </w:rPr>
        <w:t xml:space="preserve"> </w:t>
      </w:r>
      <w:r>
        <w:rPr>
          <w:spacing w:val="-7"/>
        </w:rPr>
        <w:t>版）</w:t>
      </w:r>
    </w:p>
    <w:p w14:paraId="64C8F81F">
      <w:pPr>
        <w:pStyle w:val="2"/>
        <w:spacing w:before="178"/>
        <w:ind w:left="20"/>
      </w:pPr>
      <w:r>
        <w:rPr>
          <w:rFonts w:ascii="Calibri" w:hAnsi="Calibri" w:eastAsia="Calibri" w:cs="Calibri"/>
          <w:spacing w:val="-4"/>
        </w:rPr>
        <w:t xml:space="preserve">7.    </w:t>
      </w:r>
      <w:r>
        <w:rPr>
          <w:spacing w:val="-4"/>
        </w:rPr>
        <w:t>《盐边县城市总体规划（</w:t>
      </w:r>
      <w:r>
        <w:rPr>
          <w:rFonts w:ascii="Calibri" w:hAnsi="Calibri" w:eastAsia="Calibri" w:cs="Calibri"/>
          <w:spacing w:val="-4"/>
        </w:rPr>
        <w:t>2011</w:t>
      </w:r>
      <w:r>
        <w:rPr>
          <w:rFonts w:ascii="Calibri" w:hAnsi="Calibri" w:eastAsia="Calibri" w:cs="Calibri"/>
          <w:spacing w:val="-5"/>
        </w:rPr>
        <w:t>-2030</w:t>
      </w:r>
      <w:r>
        <w:rPr>
          <w:spacing w:val="-5"/>
        </w:rPr>
        <w:t>）》</w:t>
      </w:r>
    </w:p>
    <w:p w14:paraId="71D4D79A">
      <w:pPr>
        <w:spacing w:line="357" w:lineRule="auto"/>
        <w:rPr>
          <w:rFonts w:ascii="Arial"/>
          <w:sz w:val="21"/>
        </w:rPr>
      </w:pPr>
    </w:p>
    <w:p w14:paraId="4BCE6BBC">
      <w:pPr>
        <w:spacing w:before="79" w:line="220" w:lineRule="auto"/>
        <w:ind w:left="502"/>
        <w:rPr>
          <w:rFonts w:ascii="黑体" w:hAnsi="黑体" w:eastAsia="黑体" w:cs="黑体"/>
          <w:sz w:val="24"/>
          <w:szCs w:val="24"/>
        </w:rPr>
      </w:pPr>
      <w:r>
        <w:rPr>
          <w:rFonts w:ascii="黑体" w:hAnsi="黑体" w:eastAsia="黑体" w:cs="黑体"/>
          <w:spacing w:val="-2"/>
          <w:sz w:val="24"/>
          <w:szCs w:val="24"/>
        </w:rPr>
        <w:t>二、相关规划</w:t>
      </w:r>
    </w:p>
    <w:p w14:paraId="70986D6D">
      <w:pPr>
        <w:spacing w:line="381" w:lineRule="auto"/>
        <w:rPr>
          <w:rFonts w:ascii="Arial"/>
          <w:sz w:val="21"/>
        </w:rPr>
      </w:pPr>
    </w:p>
    <w:p w14:paraId="69799C22">
      <w:pPr>
        <w:pStyle w:val="2"/>
        <w:spacing w:before="78"/>
        <w:ind w:left="29"/>
      </w:pPr>
      <w:r>
        <w:rPr>
          <w:rFonts w:ascii="Calibri" w:hAnsi="Calibri" w:eastAsia="Calibri" w:cs="Calibri"/>
          <w:spacing w:val="-5"/>
        </w:rPr>
        <w:t xml:space="preserve">1.    </w:t>
      </w:r>
      <w:r>
        <w:rPr>
          <w:spacing w:val="-5"/>
        </w:rPr>
        <w:t>《四川省“十三五”战略性新兴产业发展规划》；</w:t>
      </w:r>
    </w:p>
    <w:p w14:paraId="6770306B">
      <w:pPr>
        <w:pStyle w:val="2"/>
        <w:spacing w:before="178"/>
        <w:ind w:left="22"/>
      </w:pPr>
      <w:r>
        <w:rPr>
          <w:rFonts w:ascii="Calibri" w:hAnsi="Calibri" w:eastAsia="Calibri" w:cs="Calibri"/>
          <w:spacing w:val="-5"/>
        </w:rPr>
        <w:t xml:space="preserve">2.    </w:t>
      </w:r>
      <w:r>
        <w:rPr>
          <w:spacing w:val="-5"/>
        </w:rPr>
        <w:t>《四川省开发区“十三五”发展规</w:t>
      </w:r>
      <w:r>
        <w:rPr>
          <w:spacing w:val="-6"/>
        </w:rPr>
        <w:t>划》；</w:t>
      </w:r>
    </w:p>
    <w:p w14:paraId="7CDFA0A0">
      <w:pPr>
        <w:pStyle w:val="2"/>
        <w:spacing w:before="176" w:line="239" w:lineRule="auto"/>
        <w:ind w:left="21"/>
      </w:pPr>
      <w:r>
        <w:rPr>
          <w:rFonts w:ascii="Calibri" w:hAnsi="Calibri" w:eastAsia="Calibri" w:cs="Calibri"/>
          <w:spacing w:val="-6"/>
        </w:rPr>
        <w:t xml:space="preserve">3.    </w:t>
      </w:r>
      <w:r>
        <w:rPr>
          <w:spacing w:val="-6"/>
        </w:rPr>
        <w:t>《攀西经济区“十三五”发展规划》；</w:t>
      </w:r>
    </w:p>
    <w:p w14:paraId="7C2D7974">
      <w:pPr>
        <w:pStyle w:val="2"/>
        <w:spacing w:before="179" w:line="239" w:lineRule="auto"/>
        <w:ind w:left="14"/>
      </w:pPr>
      <w:r>
        <w:rPr>
          <w:rFonts w:ascii="Calibri" w:hAnsi="Calibri" w:eastAsia="Calibri" w:cs="Calibri"/>
          <w:spacing w:val="-5"/>
        </w:rPr>
        <w:t xml:space="preserve">4.    </w:t>
      </w:r>
      <w:r>
        <w:rPr>
          <w:spacing w:val="-5"/>
        </w:rPr>
        <w:t>《攀枝花市工业发展“十三五”规划》；</w:t>
      </w:r>
    </w:p>
    <w:p w14:paraId="6FBD1116">
      <w:pPr>
        <w:pStyle w:val="2"/>
        <w:spacing w:before="178"/>
        <w:ind w:left="21"/>
      </w:pPr>
      <w:r>
        <w:rPr>
          <w:rFonts w:ascii="Calibri" w:hAnsi="Calibri" w:eastAsia="Calibri" w:cs="Calibri"/>
          <w:spacing w:val="-4"/>
        </w:rPr>
        <w:t xml:space="preserve">5.    </w:t>
      </w:r>
      <w:r>
        <w:rPr>
          <w:spacing w:val="-4"/>
        </w:rPr>
        <w:t>《国家新型工业化钢铁（钒钛）产业示范基地建设工作方案》；</w:t>
      </w:r>
    </w:p>
    <w:p w14:paraId="5A83B697">
      <w:pPr>
        <w:pStyle w:val="2"/>
        <w:spacing w:before="178"/>
        <w:ind w:left="21"/>
      </w:pPr>
      <w:r>
        <w:rPr>
          <w:rFonts w:ascii="Calibri" w:hAnsi="Calibri" w:eastAsia="Calibri" w:cs="Calibri"/>
          <w:spacing w:val="-6"/>
        </w:rPr>
        <w:t xml:space="preserve">6.    </w:t>
      </w:r>
      <w:r>
        <w:rPr>
          <w:spacing w:val="-6"/>
        </w:rPr>
        <w:t>《盐边县南部片区发展战略规划（</w:t>
      </w:r>
      <w:r>
        <w:rPr>
          <w:rFonts w:ascii="Calibri" w:hAnsi="Calibri" w:eastAsia="Calibri" w:cs="Calibri"/>
          <w:spacing w:val="-6"/>
        </w:rPr>
        <w:t>201</w:t>
      </w:r>
      <w:r>
        <w:rPr>
          <w:rFonts w:ascii="Calibri" w:hAnsi="Calibri" w:eastAsia="Calibri" w:cs="Calibri"/>
          <w:spacing w:val="-7"/>
        </w:rPr>
        <w:t>2-2030</w:t>
      </w:r>
      <w:r>
        <w:rPr>
          <w:spacing w:val="-7"/>
        </w:rPr>
        <w:t>）》；</w:t>
      </w:r>
    </w:p>
    <w:p w14:paraId="7D925CF2">
      <w:pPr>
        <w:pStyle w:val="2"/>
        <w:spacing w:before="176" w:line="238" w:lineRule="auto"/>
        <w:ind w:left="20"/>
      </w:pPr>
      <w:r>
        <w:rPr>
          <w:rFonts w:ascii="Calibri" w:hAnsi="Calibri" w:eastAsia="Calibri" w:cs="Calibri"/>
          <w:spacing w:val="-4"/>
        </w:rPr>
        <w:t xml:space="preserve">7.    </w:t>
      </w:r>
      <w:r>
        <w:rPr>
          <w:spacing w:val="-4"/>
        </w:rPr>
        <w:t>《盐边县安宁规划区地质灾害</w:t>
      </w:r>
      <w:r>
        <w:rPr>
          <w:spacing w:val="-5"/>
        </w:rPr>
        <w:t>危险性评估报告》；</w:t>
      </w:r>
    </w:p>
    <w:p w14:paraId="3406FB1C">
      <w:pPr>
        <w:pStyle w:val="2"/>
        <w:spacing w:before="180" w:line="232" w:lineRule="auto"/>
        <w:ind w:left="18"/>
        <w:rPr>
          <w:rFonts w:ascii="Calibri" w:hAnsi="Calibri" w:eastAsia="Calibri" w:cs="Calibri"/>
        </w:rPr>
      </w:pPr>
      <w:r>
        <w:rPr>
          <w:rFonts w:ascii="Calibri" w:hAnsi="Calibri" w:eastAsia="Calibri" w:cs="Calibri"/>
        </w:rPr>
        <w:t xml:space="preserve">8.    </w:t>
      </w:r>
      <w:r>
        <w:t>《盐边县非煤矿山尾矿库、排土场发展规划》</w:t>
      </w:r>
      <w:r>
        <w:rPr>
          <w:rFonts w:hint="eastAsia"/>
          <w:lang w:eastAsia="zh-CN"/>
        </w:rPr>
        <w:t>；</w:t>
      </w:r>
    </w:p>
    <w:p w14:paraId="0857BB64">
      <w:pPr>
        <w:pStyle w:val="2"/>
        <w:spacing w:before="189" w:line="238" w:lineRule="auto"/>
        <w:ind w:left="18"/>
      </w:pPr>
      <w:r>
        <w:rPr>
          <w:rFonts w:ascii="Calibri" w:hAnsi="Calibri" w:eastAsia="Calibri" w:cs="Calibri"/>
          <w:spacing w:val="-3"/>
        </w:rPr>
        <w:t xml:space="preserve">9.    </w:t>
      </w:r>
      <w:r>
        <w:rPr>
          <w:spacing w:val="-3"/>
        </w:rPr>
        <w:t>《盐边县安宁工业集中发展区建设用地地质</w:t>
      </w:r>
      <w:r>
        <w:rPr>
          <w:spacing w:val="-4"/>
        </w:rPr>
        <w:t>灾害危险性评估报告》；</w:t>
      </w:r>
    </w:p>
    <w:p w14:paraId="2296230F">
      <w:pPr>
        <w:pStyle w:val="2"/>
        <w:spacing w:before="180" w:line="238" w:lineRule="auto"/>
        <w:ind w:left="29"/>
      </w:pPr>
      <w:r>
        <w:rPr>
          <w:rFonts w:ascii="Calibri" w:hAnsi="Calibri" w:eastAsia="Calibri" w:cs="Calibri"/>
          <w:spacing w:val="-5"/>
        </w:rPr>
        <w:t xml:space="preserve">10.  </w:t>
      </w:r>
      <w:r>
        <w:rPr>
          <w:spacing w:val="-5"/>
        </w:rPr>
        <w:t>《盐边县新九工矿园区规划建设用地地质灾害危险性评估》。</w:t>
      </w:r>
    </w:p>
    <w:p w14:paraId="7432F2AE">
      <w:pPr>
        <w:spacing w:line="275" w:lineRule="auto"/>
        <w:rPr>
          <w:rFonts w:ascii="Arial"/>
          <w:sz w:val="21"/>
        </w:rPr>
      </w:pPr>
    </w:p>
    <w:p w14:paraId="645ECD6A">
      <w:pPr>
        <w:spacing w:before="92" w:line="219" w:lineRule="auto"/>
        <w:ind w:left="510"/>
        <w:rPr>
          <w:rFonts w:ascii="黑体" w:hAnsi="黑体" w:eastAsia="黑体" w:cs="黑体"/>
          <w:sz w:val="28"/>
          <w:szCs w:val="28"/>
        </w:rPr>
      </w:pPr>
      <w:r>
        <w:rPr>
          <w:rFonts w:ascii="黑体" w:hAnsi="黑体" w:eastAsia="黑体" w:cs="黑体"/>
          <w:spacing w:val="-2"/>
          <w:sz w:val="28"/>
          <w:szCs w:val="28"/>
        </w:rPr>
        <w:t>第五条</w:t>
      </w:r>
      <w:r>
        <w:rPr>
          <w:rFonts w:ascii="黑体" w:hAnsi="黑体" w:eastAsia="黑体" w:cs="黑体"/>
          <w:spacing w:val="38"/>
          <w:sz w:val="28"/>
          <w:szCs w:val="28"/>
        </w:rPr>
        <w:t xml:space="preserve">  </w:t>
      </w:r>
      <w:r>
        <w:rPr>
          <w:rFonts w:ascii="黑体" w:hAnsi="黑体" w:eastAsia="黑体" w:cs="黑体"/>
          <w:spacing w:val="-2"/>
          <w:sz w:val="28"/>
          <w:szCs w:val="28"/>
        </w:rPr>
        <w:t>指导思想</w:t>
      </w:r>
    </w:p>
    <w:p w14:paraId="1B7F8893">
      <w:pPr>
        <w:spacing w:line="307" w:lineRule="auto"/>
        <w:rPr>
          <w:rFonts w:ascii="Arial"/>
          <w:sz w:val="21"/>
        </w:rPr>
      </w:pPr>
    </w:p>
    <w:p w14:paraId="65C92F84">
      <w:pPr>
        <w:pStyle w:val="2"/>
        <w:spacing w:before="78" w:line="329" w:lineRule="auto"/>
        <w:ind w:right="29" w:firstLine="526"/>
        <w:jc w:val="both"/>
      </w:pPr>
      <w:r>
        <w:rPr>
          <w:spacing w:val="-2"/>
        </w:rPr>
        <w:t>以习近平新时代中国特色社会主义思想为指引，贯彻落实中央“四个全面”战略布局，省委</w:t>
      </w:r>
      <w:r>
        <w:rPr>
          <w:spacing w:val="-12"/>
        </w:rPr>
        <w:t>“一干多支、五区协同”，市委推进“四个加快建</w:t>
      </w:r>
      <w:r>
        <w:rPr>
          <w:spacing w:val="-13"/>
        </w:rPr>
        <w:t>设”战略部署，抓住实施“中国制造</w:t>
      </w:r>
      <w:r>
        <w:rPr>
          <w:spacing w:val="-54"/>
        </w:rPr>
        <w:t xml:space="preserve"> </w:t>
      </w:r>
      <w:r>
        <w:rPr>
          <w:rFonts w:ascii="Times New Roman" w:hAnsi="Times New Roman" w:eastAsia="Times New Roman" w:cs="Times New Roman"/>
          <w:spacing w:val="-13"/>
        </w:rPr>
        <w:t>2025</w:t>
      </w:r>
      <w:r>
        <w:rPr>
          <w:rFonts w:hint="eastAsia" w:ascii="Times New Roman" w:hAnsi="Times New Roman" w:cs="Times New Roman"/>
          <w:spacing w:val="-13"/>
          <w:lang w:eastAsia="zh-CN"/>
        </w:rPr>
        <w:t>”“</w:t>
      </w:r>
      <w:r>
        <w:rPr>
          <w:spacing w:val="-13"/>
        </w:rPr>
        <w:t>中</w:t>
      </w:r>
      <w:r>
        <w:rPr>
          <w:spacing w:val="-1"/>
        </w:rPr>
        <w:t xml:space="preserve">国制造 </w:t>
      </w:r>
      <w:r>
        <w:rPr>
          <w:rFonts w:ascii="Times New Roman" w:hAnsi="Times New Roman" w:eastAsia="Times New Roman" w:cs="Times New Roman"/>
          <w:spacing w:val="-1"/>
        </w:rPr>
        <w:t xml:space="preserve">2025  </w:t>
      </w:r>
      <w:r>
        <w:rPr>
          <w:spacing w:val="-1"/>
        </w:rPr>
        <w:t>四川行动计划”的重要战略机遇，按照新型工业化发展新内涵和新要求，以产业转型升级和提升核心竞争力为主题，以信息技术与制造业深度融合为主线，以智能化、绿色化、服</w:t>
      </w:r>
    </w:p>
    <w:p w14:paraId="38901C3B">
      <w:pPr>
        <w:spacing w:line="329" w:lineRule="auto"/>
        <w:sectPr>
          <w:type w:val="continuous"/>
          <w:pgSz w:w="23811" w:h="16839"/>
          <w:pgMar w:top="1274" w:right="1409" w:bottom="1613" w:left="1411" w:header="838" w:footer="1385" w:gutter="0"/>
          <w:cols w:equalWidth="0" w:num="2">
            <w:col w:w="10807" w:space="100"/>
            <w:col w:w="10084"/>
          </w:cols>
        </w:sectPr>
      </w:pPr>
    </w:p>
    <w:p w14:paraId="2B8AD680">
      <w:pPr>
        <w:spacing w:line="22" w:lineRule="exact"/>
      </w:pPr>
    </w:p>
    <w:p w14:paraId="0AA0E519">
      <w:pPr>
        <w:spacing w:line="22" w:lineRule="exact"/>
        <w:sectPr>
          <w:headerReference r:id="rId9" w:type="default"/>
          <w:footerReference r:id="rId10" w:type="default"/>
          <w:pgSz w:w="23811" w:h="16839"/>
          <w:pgMar w:top="1274" w:right="1318" w:bottom="1613" w:left="1411" w:header="838" w:footer="1385" w:gutter="0"/>
          <w:cols w:equalWidth="0" w:num="1">
            <w:col w:w="21081"/>
          </w:cols>
        </w:sectPr>
      </w:pPr>
    </w:p>
    <w:p w14:paraId="10879855">
      <w:pPr>
        <w:pStyle w:val="2"/>
        <w:spacing w:before="64" w:line="378" w:lineRule="auto"/>
        <w:ind w:left="38" w:right="754" w:firstLine="1"/>
      </w:pPr>
      <w:r>
        <w:rPr>
          <w:spacing w:val="-1"/>
        </w:rPr>
        <w:t>务化为发展方向，努力优化产业结构，延伸产业链，不断提高企业自主创新</w:t>
      </w:r>
      <w:r>
        <w:rPr>
          <w:spacing w:val="-2"/>
        </w:rPr>
        <w:t>能力、可持续发展能</w:t>
      </w:r>
      <w:r>
        <w:rPr>
          <w:spacing w:val="-7"/>
        </w:rPr>
        <w:t>力和辐射带动能力，努力建设一个空间布局科学和产业特色</w:t>
      </w:r>
      <w:r>
        <w:rPr>
          <w:spacing w:val="-8"/>
        </w:rPr>
        <w:t>鲜明、先进技术引领、创新能力突出、</w:t>
      </w:r>
      <w:r>
        <w:rPr>
          <w:spacing w:val="-1"/>
        </w:rPr>
        <w:t>配套设施完善、生态环境良好、后发优势强劲的新型现</w:t>
      </w:r>
      <w:r>
        <w:rPr>
          <w:spacing w:val="-2"/>
        </w:rPr>
        <w:t>代绿色产业开发区。</w:t>
      </w:r>
    </w:p>
    <w:p w14:paraId="79CC93ED">
      <w:pPr>
        <w:spacing w:before="183" w:line="219" w:lineRule="auto"/>
        <w:ind w:left="529"/>
        <w:rPr>
          <w:rFonts w:ascii="黑体" w:hAnsi="黑体" w:eastAsia="黑体" w:cs="黑体"/>
          <w:sz w:val="28"/>
          <w:szCs w:val="28"/>
        </w:rPr>
      </w:pPr>
      <w:r>
        <w:rPr>
          <w:rFonts w:ascii="黑体" w:hAnsi="黑体" w:eastAsia="黑体" w:cs="黑体"/>
          <w:spacing w:val="-2"/>
          <w:sz w:val="28"/>
          <w:szCs w:val="28"/>
        </w:rPr>
        <w:t>第六条</w:t>
      </w:r>
      <w:r>
        <w:rPr>
          <w:rFonts w:ascii="黑体" w:hAnsi="黑体" w:eastAsia="黑体" w:cs="黑体"/>
          <w:spacing w:val="38"/>
          <w:sz w:val="28"/>
          <w:szCs w:val="28"/>
        </w:rPr>
        <w:t xml:space="preserve">  </w:t>
      </w:r>
      <w:r>
        <w:rPr>
          <w:rFonts w:ascii="黑体" w:hAnsi="黑体" w:eastAsia="黑体" w:cs="黑体"/>
          <w:spacing w:val="-2"/>
          <w:sz w:val="28"/>
          <w:szCs w:val="28"/>
        </w:rPr>
        <w:t>规划原则</w:t>
      </w:r>
    </w:p>
    <w:p w14:paraId="05EBC6E4">
      <w:pPr>
        <w:spacing w:line="308" w:lineRule="auto"/>
        <w:rPr>
          <w:rFonts w:ascii="Arial"/>
          <w:sz w:val="21"/>
        </w:rPr>
      </w:pPr>
    </w:p>
    <w:p w14:paraId="33AE8131">
      <w:pPr>
        <w:pStyle w:val="2"/>
        <w:spacing w:before="78" w:line="220" w:lineRule="auto"/>
        <w:ind w:left="475"/>
      </w:pPr>
      <w:r>
        <w:rPr>
          <w:spacing w:val="-6"/>
        </w:rPr>
        <w:t>1.</w:t>
      </w:r>
      <w:r>
        <w:rPr>
          <w:spacing w:val="74"/>
        </w:rPr>
        <w:t xml:space="preserve"> </w:t>
      </w:r>
      <w:r>
        <w:rPr>
          <w:spacing w:val="-6"/>
        </w:rPr>
        <w:t>坚持创新，融合发展。</w:t>
      </w:r>
    </w:p>
    <w:p w14:paraId="0491240A">
      <w:pPr>
        <w:pStyle w:val="2"/>
        <w:spacing w:before="203" w:line="220" w:lineRule="auto"/>
        <w:ind w:left="461"/>
      </w:pPr>
      <w:r>
        <w:rPr>
          <w:spacing w:val="-2"/>
        </w:rPr>
        <w:t>2.</w:t>
      </w:r>
      <w:r>
        <w:rPr>
          <w:spacing w:val="70"/>
        </w:rPr>
        <w:t xml:space="preserve"> </w:t>
      </w:r>
      <w:r>
        <w:rPr>
          <w:spacing w:val="-2"/>
        </w:rPr>
        <w:t>整合资源、统筹城乡。</w:t>
      </w:r>
    </w:p>
    <w:p w14:paraId="2E77DCAE">
      <w:pPr>
        <w:pStyle w:val="2"/>
        <w:spacing w:before="204" w:line="220" w:lineRule="auto"/>
        <w:ind w:left="462"/>
      </w:pPr>
      <w:r>
        <w:rPr>
          <w:spacing w:val="-2"/>
        </w:rPr>
        <w:t>3.</w:t>
      </w:r>
      <w:r>
        <w:rPr>
          <w:spacing w:val="69"/>
        </w:rPr>
        <w:t xml:space="preserve"> </w:t>
      </w:r>
      <w:r>
        <w:rPr>
          <w:spacing w:val="-2"/>
        </w:rPr>
        <w:t>集约发展、绿色低碳。</w:t>
      </w:r>
    </w:p>
    <w:p w14:paraId="1E20C141">
      <w:pPr>
        <w:pStyle w:val="2"/>
        <w:spacing w:before="203" w:line="220" w:lineRule="auto"/>
        <w:ind w:left="457"/>
      </w:pPr>
      <w:r>
        <w:rPr>
          <w:spacing w:val="-2"/>
        </w:rPr>
        <w:t>4.</w:t>
      </w:r>
      <w:r>
        <w:rPr>
          <w:spacing w:val="74"/>
        </w:rPr>
        <w:t xml:space="preserve"> </w:t>
      </w:r>
      <w:r>
        <w:rPr>
          <w:spacing w:val="-2"/>
        </w:rPr>
        <w:t>尊重自然、突出特色。</w:t>
      </w:r>
    </w:p>
    <w:p w14:paraId="6D9650C0">
      <w:pPr>
        <w:spacing w:line="300" w:lineRule="auto"/>
        <w:rPr>
          <w:rFonts w:ascii="Arial"/>
          <w:sz w:val="21"/>
        </w:rPr>
      </w:pPr>
    </w:p>
    <w:p w14:paraId="34B664FD">
      <w:pPr>
        <w:spacing w:before="91" w:line="219" w:lineRule="auto"/>
        <w:ind w:left="529"/>
        <w:rPr>
          <w:rFonts w:ascii="黑体" w:hAnsi="黑体" w:eastAsia="黑体" w:cs="黑体"/>
          <w:sz w:val="28"/>
          <w:szCs w:val="28"/>
        </w:rPr>
      </w:pPr>
      <w:r>
        <w:rPr>
          <w:rFonts w:ascii="黑体" w:hAnsi="黑体" w:eastAsia="黑体" w:cs="黑体"/>
          <w:spacing w:val="-4"/>
          <w:sz w:val="28"/>
          <w:szCs w:val="28"/>
        </w:rPr>
        <w:t>第七条</w:t>
      </w:r>
      <w:r>
        <w:rPr>
          <w:rFonts w:ascii="黑体" w:hAnsi="黑体" w:eastAsia="黑体" w:cs="黑体"/>
          <w:spacing w:val="46"/>
          <w:sz w:val="28"/>
          <w:szCs w:val="28"/>
        </w:rPr>
        <w:t xml:space="preserve">  </w:t>
      </w:r>
      <w:r>
        <w:rPr>
          <w:rFonts w:ascii="黑体" w:hAnsi="黑体" w:eastAsia="黑体" w:cs="黑体"/>
          <w:spacing w:val="-4"/>
          <w:sz w:val="28"/>
          <w:szCs w:val="28"/>
        </w:rPr>
        <w:t>强制性内容</w:t>
      </w:r>
    </w:p>
    <w:p w14:paraId="304C3D74">
      <w:pPr>
        <w:spacing w:line="308" w:lineRule="auto"/>
        <w:rPr>
          <w:rFonts w:ascii="Arial"/>
          <w:sz w:val="21"/>
        </w:rPr>
      </w:pPr>
    </w:p>
    <w:p w14:paraId="5A07A925">
      <w:pPr>
        <w:pStyle w:val="2"/>
        <w:spacing w:before="79" w:line="219" w:lineRule="auto"/>
        <w:ind w:left="522"/>
      </w:pPr>
      <w:r>
        <w:rPr>
          <w:b/>
          <w:bCs/>
          <w:spacing w:val="-2"/>
          <w:u w:val="single" w:color="auto"/>
        </w:rPr>
        <w:t>文本中黑体字加下划线条文为本规划强制性内容，所有强制性条文必须严格执行。</w:t>
      </w:r>
    </w:p>
    <w:p w14:paraId="19A04C2D">
      <w:pPr>
        <w:spacing w:line="14" w:lineRule="auto"/>
        <w:rPr>
          <w:rFonts w:ascii="Arial"/>
          <w:sz w:val="2"/>
        </w:rPr>
      </w:pPr>
      <w:r>
        <w:rPr>
          <w:rFonts w:ascii="Arial" w:hAnsi="Arial" w:eastAsia="Arial" w:cs="Arial"/>
          <w:sz w:val="2"/>
          <w:szCs w:val="2"/>
        </w:rPr>
        <w:br w:type="column"/>
      </w:r>
    </w:p>
    <w:p w14:paraId="6E653145">
      <w:pPr>
        <w:spacing w:before="99" w:line="224" w:lineRule="auto"/>
        <w:ind w:left="2956"/>
        <w:outlineLvl w:val="0"/>
        <w:rPr>
          <w:rFonts w:ascii="黑体" w:hAnsi="黑体" w:eastAsia="黑体" w:cs="黑体"/>
          <w:sz w:val="31"/>
          <w:szCs w:val="31"/>
        </w:rPr>
      </w:pPr>
      <w:bookmarkStart w:id="1" w:name="bookmark2"/>
      <w:bookmarkEnd w:id="1"/>
      <w:r>
        <w:rPr>
          <w:rFonts w:ascii="黑体" w:hAnsi="黑体" w:eastAsia="黑体" w:cs="黑体"/>
          <w:spacing w:val="8"/>
          <w:sz w:val="31"/>
          <w:szCs w:val="31"/>
        </w:rPr>
        <w:t>第二章</w:t>
      </w:r>
      <w:r>
        <w:rPr>
          <w:rFonts w:ascii="黑体" w:hAnsi="黑体" w:eastAsia="黑体" w:cs="黑体"/>
          <w:sz w:val="31"/>
          <w:szCs w:val="31"/>
        </w:rPr>
        <w:t xml:space="preserve">  </w:t>
      </w:r>
      <w:r>
        <w:rPr>
          <w:rFonts w:ascii="黑体" w:hAnsi="黑体" w:eastAsia="黑体" w:cs="黑体"/>
          <w:spacing w:val="8"/>
          <w:sz w:val="31"/>
          <w:szCs w:val="31"/>
        </w:rPr>
        <w:t>规划定位与发展目标</w:t>
      </w:r>
    </w:p>
    <w:p w14:paraId="5FB9D9A2">
      <w:pPr>
        <w:spacing w:line="267" w:lineRule="auto"/>
        <w:rPr>
          <w:rFonts w:ascii="Arial"/>
          <w:sz w:val="21"/>
        </w:rPr>
      </w:pPr>
    </w:p>
    <w:p w14:paraId="0F846FE6">
      <w:pPr>
        <w:spacing w:line="267" w:lineRule="auto"/>
        <w:rPr>
          <w:rFonts w:ascii="Arial"/>
          <w:sz w:val="21"/>
        </w:rPr>
      </w:pPr>
    </w:p>
    <w:p w14:paraId="64B3A6D0">
      <w:pPr>
        <w:spacing w:before="91" w:line="219" w:lineRule="auto"/>
        <w:ind w:left="492"/>
        <w:rPr>
          <w:rFonts w:ascii="黑体" w:hAnsi="黑体" w:eastAsia="黑体" w:cs="黑体"/>
          <w:sz w:val="28"/>
          <w:szCs w:val="28"/>
        </w:rPr>
      </w:pPr>
      <w:r>
        <w:rPr>
          <w:rFonts w:ascii="黑体" w:hAnsi="黑体" w:eastAsia="黑体" w:cs="黑体"/>
          <w:spacing w:val="-3"/>
          <w:sz w:val="28"/>
          <w:szCs w:val="28"/>
        </w:rPr>
        <w:t>第八条</w:t>
      </w:r>
      <w:r>
        <w:rPr>
          <w:rFonts w:ascii="黑体" w:hAnsi="黑体" w:eastAsia="黑体" w:cs="黑体"/>
          <w:spacing w:val="42"/>
          <w:sz w:val="28"/>
          <w:szCs w:val="28"/>
        </w:rPr>
        <w:t xml:space="preserve">  </w:t>
      </w:r>
      <w:r>
        <w:rPr>
          <w:rFonts w:ascii="黑体" w:hAnsi="黑体" w:eastAsia="黑体" w:cs="黑体"/>
          <w:spacing w:val="-3"/>
          <w:sz w:val="28"/>
          <w:szCs w:val="28"/>
        </w:rPr>
        <w:t>发展策略</w:t>
      </w:r>
    </w:p>
    <w:p w14:paraId="1044F5C3">
      <w:pPr>
        <w:spacing w:line="309" w:lineRule="auto"/>
        <w:rPr>
          <w:rFonts w:ascii="Arial"/>
          <w:sz w:val="21"/>
        </w:rPr>
      </w:pPr>
    </w:p>
    <w:p w14:paraId="61B03728">
      <w:pPr>
        <w:pStyle w:val="2"/>
        <w:spacing w:before="78" w:line="219" w:lineRule="auto"/>
        <w:ind w:left="441"/>
      </w:pPr>
      <w:r>
        <w:rPr>
          <w:spacing w:val="-6"/>
        </w:rPr>
        <w:t>1.</w:t>
      </w:r>
      <w:r>
        <w:rPr>
          <w:spacing w:val="74"/>
        </w:rPr>
        <w:t xml:space="preserve"> </w:t>
      </w:r>
      <w:r>
        <w:rPr>
          <w:spacing w:val="-6"/>
        </w:rPr>
        <w:t>科学布局、加快发展。</w:t>
      </w:r>
    </w:p>
    <w:p w14:paraId="5BB68871">
      <w:pPr>
        <w:pStyle w:val="2"/>
        <w:spacing w:before="205" w:line="220" w:lineRule="auto"/>
        <w:ind w:left="424"/>
      </w:pPr>
      <w:r>
        <w:rPr>
          <w:spacing w:val="-2"/>
        </w:rPr>
        <w:t>2.</w:t>
      </w:r>
      <w:r>
        <w:rPr>
          <w:spacing w:val="70"/>
        </w:rPr>
        <w:t xml:space="preserve"> </w:t>
      </w:r>
      <w:r>
        <w:rPr>
          <w:spacing w:val="-2"/>
        </w:rPr>
        <w:t>壮大产业、集约发展。</w:t>
      </w:r>
    </w:p>
    <w:p w14:paraId="1ED61DF2">
      <w:pPr>
        <w:pStyle w:val="2"/>
        <w:spacing w:before="204" w:line="219" w:lineRule="auto"/>
        <w:ind w:left="426"/>
      </w:pPr>
      <w:r>
        <w:rPr>
          <w:spacing w:val="-5"/>
        </w:rPr>
        <w:t>3.</w:t>
      </w:r>
      <w:r>
        <w:rPr>
          <w:spacing w:val="75"/>
        </w:rPr>
        <w:t xml:space="preserve"> </w:t>
      </w:r>
      <w:r>
        <w:rPr>
          <w:spacing w:val="-5"/>
        </w:rPr>
        <w:t>科技引领、创新发展。</w:t>
      </w:r>
    </w:p>
    <w:p w14:paraId="6D4388D1">
      <w:pPr>
        <w:pStyle w:val="2"/>
        <w:spacing w:before="202" w:line="220" w:lineRule="auto"/>
        <w:ind w:left="420"/>
      </w:pPr>
      <w:r>
        <w:rPr>
          <w:spacing w:val="-4"/>
        </w:rPr>
        <w:t>4.</w:t>
      </w:r>
      <w:r>
        <w:rPr>
          <w:spacing w:val="72"/>
        </w:rPr>
        <w:t xml:space="preserve"> </w:t>
      </w:r>
      <w:r>
        <w:rPr>
          <w:spacing w:val="-4"/>
        </w:rPr>
        <w:t>绿色生态、可持续发展。</w:t>
      </w:r>
    </w:p>
    <w:p w14:paraId="37BE7914">
      <w:pPr>
        <w:spacing w:line="303" w:lineRule="auto"/>
        <w:rPr>
          <w:rFonts w:ascii="Arial"/>
          <w:sz w:val="21"/>
        </w:rPr>
      </w:pPr>
    </w:p>
    <w:p w14:paraId="5F29D710">
      <w:pPr>
        <w:spacing w:before="91" w:line="219" w:lineRule="auto"/>
        <w:ind w:left="492"/>
        <w:rPr>
          <w:rFonts w:ascii="黑体" w:hAnsi="黑体" w:eastAsia="黑体" w:cs="黑体"/>
          <w:sz w:val="28"/>
          <w:szCs w:val="28"/>
        </w:rPr>
      </w:pPr>
      <w:r>
        <w:rPr>
          <w:rFonts w:ascii="黑体" w:hAnsi="黑体" w:eastAsia="黑体" w:cs="黑体"/>
          <w:spacing w:val="-2"/>
          <w:sz w:val="28"/>
          <w:szCs w:val="28"/>
        </w:rPr>
        <w:t>第九条</w:t>
      </w:r>
      <w:r>
        <w:rPr>
          <w:rFonts w:ascii="黑体" w:hAnsi="黑体" w:eastAsia="黑体" w:cs="黑体"/>
          <w:spacing w:val="38"/>
          <w:sz w:val="28"/>
          <w:szCs w:val="28"/>
        </w:rPr>
        <w:t xml:space="preserve">  </w:t>
      </w:r>
      <w:r>
        <w:rPr>
          <w:rFonts w:ascii="黑体" w:hAnsi="黑体" w:eastAsia="黑体" w:cs="黑体"/>
          <w:spacing w:val="-2"/>
          <w:sz w:val="28"/>
          <w:szCs w:val="28"/>
        </w:rPr>
        <w:t>规划定位</w:t>
      </w:r>
    </w:p>
    <w:p w14:paraId="124334A8">
      <w:pPr>
        <w:spacing w:line="309" w:lineRule="auto"/>
        <w:rPr>
          <w:rFonts w:ascii="Arial"/>
          <w:sz w:val="21"/>
        </w:rPr>
      </w:pPr>
    </w:p>
    <w:p w14:paraId="6C929D06">
      <w:pPr>
        <w:pStyle w:val="2"/>
        <w:spacing w:before="79" w:line="378" w:lineRule="auto"/>
        <w:ind w:right="117" w:firstLine="480"/>
      </w:pPr>
      <w:r>
        <w:rPr>
          <w:spacing w:val="-2"/>
        </w:rPr>
        <w:t>确定盐边钒钛产业开发区总体定位为“三区</w:t>
      </w:r>
      <w:r>
        <w:rPr>
          <w:spacing w:val="-84"/>
        </w:rPr>
        <w:t xml:space="preserve"> </w:t>
      </w:r>
      <w:r>
        <w:rPr>
          <w:spacing w:val="-2"/>
        </w:rPr>
        <w:t>”，打造钒钛资源综合利用创新开发示范区、钒</w:t>
      </w:r>
      <w:r>
        <w:rPr>
          <w:spacing w:val="-1"/>
        </w:rPr>
        <w:t>钛及新材料产业集聚区、两化互动产城融合发展先行区。</w:t>
      </w:r>
    </w:p>
    <w:p w14:paraId="05C0A195">
      <w:pPr>
        <w:spacing w:before="185" w:line="219" w:lineRule="auto"/>
        <w:ind w:left="492"/>
        <w:rPr>
          <w:rFonts w:ascii="黑体" w:hAnsi="黑体" w:eastAsia="黑体" w:cs="黑体"/>
          <w:sz w:val="28"/>
          <w:szCs w:val="28"/>
        </w:rPr>
      </w:pPr>
      <w:r>
        <w:rPr>
          <w:rFonts w:ascii="黑体" w:hAnsi="黑体" w:eastAsia="黑体" w:cs="黑体"/>
          <w:spacing w:val="-3"/>
          <w:sz w:val="28"/>
          <w:szCs w:val="28"/>
        </w:rPr>
        <w:t>第十条</w:t>
      </w:r>
      <w:r>
        <w:rPr>
          <w:rFonts w:ascii="黑体" w:hAnsi="黑体" w:eastAsia="黑体" w:cs="黑体"/>
          <w:spacing w:val="42"/>
          <w:sz w:val="28"/>
          <w:szCs w:val="28"/>
        </w:rPr>
        <w:t xml:space="preserve">  </w:t>
      </w:r>
      <w:r>
        <w:rPr>
          <w:rFonts w:ascii="黑体" w:hAnsi="黑体" w:eastAsia="黑体" w:cs="黑体"/>
          <w:spacing w:val="-3"/>
          <w:sz w:val="28"/>
          <w:szCs w:val="28"/>
        </w:rPr>
        <w:t>发展目标</w:t>
      </w:r>
    </w:p>
    <w:p w14:paraId="10C5C658">
      <w:pPr>
        <w:spacing w:line="309" w:lineRule="auto"/>
        <w:rPr>
          <w:rFonts w:ascii="Arial"/>
          <w:sz w:val="21"/>
        </w:rPr>
      </w:pPr>
    </w:p>
    <w:p w14:paraId="52E13118">
      <w:pPr>
        <w:pStyle w:val="2"/>
        <w:spacing w:before="79" w:line="376" w:lineRule="auto"/>
        <w:ind w:left="2" w:right="115" w:firstLine="481"/>
      </w:pPr>
      <w:r>
        <w:rPr>
          <w:spacing w:val="-1"/>
        </w:rPr>
        <w:t>总体目标：将盐边钒钛产业开发区建设为“主业突出、特色鲜明、两化互动、产</w:t>
      </w:r>
      <w:r>
        <w:rPr>
          <w:spacing w:val="-2"/>
        </w:rPr>
        <w:t>城共生”的</w:t>
      </w:r>
      <w:r>
        <w:rPr>
          <w:spacing w:val="-5"/>
        </w:rPr>
        <w:t>现代化产业开发区。</w:t>
      </w:r>
    </w:p>
    <w:p w14:paraId="32A84A3D">
      <w:pPr>
        <w:pStyle w:val="2"/>
        <w:spacing w:before="1" w:line="375" w:lineRule="auto"/>
        <w:ind w:left="2" w:right="119" w:firstLine="477"/>
        <w:jc w:val="both"/>
      </w:pPr>
      <w:r>
        <w:rPr>
          <w:spacing w:val="-2"/>
        </w:rPr>
        <w:t>近期目标——阶段一（</w:t>
      </w:r>
      <w:r>
        <w:rPr>
          <w:rFonts w:ascii="Times New Roman" w:hAnsi="Times New Roman" w:eastAsia="Times New Roman" w:cs="Times New Roman"/>
          <w:spacing w:val="-2"/>
        </w:rPr>
        <w:t>2023</w:t>
      </w:r>
      <w:r>
        <w:rPr>
          <w:rFonts w:ascii="Times New Roman" w:hAnsi="Times New Roman" w:eastAsia="Times New Roman" w:cs="Times New Roman"/>
          <w:spacing w:val="35"/>
        </w:rPr>
        <w:t xml:space="preserve"> </w:t>
      </w:r>
      <w:r>
        <w:rPr>
          <w:spacing w:val="-2"/>
        </w:rPr>
        <w:t>年</w:t>
      </w:r>
      <w:r>
        <w:rPr>
          <w:spacing w:val="-30"/>
        </w:rPr>
        <w:t>）：</w:t>
      </w:r>
      <w:r>
        <w:rPr>
          <w:spacing w:val="-2"/>
        </w:rPr>
        <w:t>快速启动，重点突破。完成产业开发区主要快速交通道路</w:t>
      </w:r>
      <w:r>
        <w:rPr>
          <w:spacing w:val="-1"/>
        </w:rPr>
        <w:t>的建设，逐步整合产业开发区内各企业用地，建立成规模的企业集群，矿区生态</w:t>
      </w:r>
      <w:r>
        <w:rPr>
          <w:spacing w:val="-2"/>
        </w:rPr>
        <w:t>环境逐步得到改</w:t>
      </w:r>
      <w:r>
        <w:rPr>
          <w:spacing w:val="-12"/>
        </w:rPr>
        <w:t>善。</w:t>
      </w:r>
    </w:p>
    <w:p w14:paraId="50BF8BD7">
      <w:pPr>
        <w:pStyle w:val="2"/>
        <w:spacing w:before="2" w:line="375" w:lineRule="auto"/>
        <w:ind w:firstLine="480"/>
        <w:jc w:val="both"/>
      </w:pPr>
      <w:r>
        <w:rPr>
          <w:spacing w:val="-2"/>
        </w:rPr>
        <w:t>近期目标——阶段二（</w:t>
      </w:r>
      <w:r>
        <w:rPr>
          <w:rFonts w:ascii="Times New Roman" w:hAnsi="Times New Roman" w:eastAsia="Times New Roman" w:cs="Times New Roman"/>
          <w:spacing w:val="-2"/>
        </w:rPr>
        <w:t>2025</w:t>
      </w:r>
      <w:r>
        <w:rPr>
          <w:rFonts w:ascii="Times New Roman" w:hAnsi="Times New Roman" w:eastAsia="Times New Roman" w:cs="Times New Roman"/>
          <w:spacing w:val="35"/>
        </w:rPr>
        <w:t xml:space="preserve"> </w:t>
      </w:r>
      <w:r>
        <w:rPr>
          <w:spacing w:val="-2"/>
        </w:rPr>
        <w:t>年</w:t>
      </w:r>
      <w:r>
        <w:rPr>
          <w:spacing w:val="-30"/>
        </w:rPr>
        <w:t>）：</w:t>
      </w:r>
      <w:r>
        <w:rPr>
          <w:spacing w:val="-2"/>
        </w:rPr>
        <w:t>全面铺开、完善框架。区域交通、产业、物流等网络建设</w:t>
      </w:r>
      <w:r>
        <w:rPr>
          <w:spacing w:val="-4"/>
        </w:rPr>
        <w:t>基本完成，新九片区基本完成洗选产业整合，安宁片区功能布局进一步调整，新九镇“产城融合”</w:t>
      </w:r>
      <w:r>
        <w:rPr>
          <w:spacing w:val="-3"/>
        </w:rPr>
        <w:t>初显成效，生产服务产业基本形成。</w:t>
      </w:r>
    </w:p>
    <w:p w14:paraId="0E23C1FF">
      <w:pPr>
        <w:pStyle w:val="2"/>
        <w:spacing w:before="7" w:line="312" w:lineRule="auto"/>
        <w:ind w:right="120" w:firstLine="480"/>
        <w:jc w:val="both"/>
      </w:pPr>
      <w:r>
        <w:rPr>
          <w:spacing w:val="-7"/>
        </w:rPr>
        <w:t>远期目标（</w:t>
      </w:r>
      <w:r>
        <w:rPr>
          <w:rFonts w:ascii="Times New Roman" w:hAnsi="Times New Roman" w:eastAsia="Times New Roman" w:cs="Times New Roman"/>
          <w:spacing w:val="-7"/>
        </w:rPr>
        <w:t xml:space="preserve">2035 </w:t>
      </w:r>
      <w:r>
        <w:rPr>
          <w:spacing w:val="-7"/>
        </w:rPr>
        <w:t>年</w:t>
      </w:r>
      <w:r>
        <w:rPr>
          <w:spacing w:val="-27"/>
        </w:rPr>
        <w:t>）：</w:t>
      </w:r>
      <w:r>
        <w:rPr>
          <w:spacing w:val="-7"/>
        </w:rPr>
        <w:t>优化提升，持续发展。“产城相融”建成，新九镇总部基地进一步发展</w:t>
      </w:r>
      <w:r>
        <w:rPr>
          <w:spacing w:val="-1"/>
        </w:rPr>
        <w:t>壮大，安宁片区基本完成产业转型及整合；新九片区洗选产业完成整合，芦林区</w:t>
      </w:r>
      <w:r>
        <w:rPr>
          <w:spacing w:val="-2"/>
        </w:rPr>
        <w:t>域完成建设。开</w:t>
      </w:r>
      <w:r>
        <w:rPr>
          <w:spacing w:val="-1"/>
        </w:rPr>
        <w:t>发区成为具有强大区域竞争力和品牌优势的重要钒钛产业基地，同时扩展高新技术园区</w:t>
      </w:r>
      <w:r>
        <w:rPr>
          <w:spacing w:val="-2"/>
        </w:rPr>
        <w:t>用地。</w:t>
      </w:r>
    </w:p>
    <w:p w14:paraId="0F636CF4">
      <w:pPr>
        <w:spacing w:line="312" w:lineRule="auto"/>
        <w:sectPr>
          <w:type w:val="continuous"/>
          <w:pgSz w:w="23811" w:h="16839"/>
          <w:pgMar w:top="1274" w:right="1318" w:bottom="1613" w:left="1411" w:header="838" w:footer="1385" w:gutter="0"/>
          <w:cols w:equalWidth="0" w:num="2">
            <w:col w:w="10825" w:space="100"/>
            <w:col w:w="10157"/>
          </w:cols>
        </w:sectPr>
      </w:pPr>
    </w:p>
    <w:p w14:paraId="120B5D06">
      <w:pPr>
        <w:spacing w:line="60" w:lineRule="exact"/>
      </w:pPr>
    </w:p>
    <w:p w14:paraId="2769C55E">
      <w:pPr>
        <w:spacing w:line="60" w:lineRule="exact"/>
        <w:sectPr>
          <w:headerReference r:id="rId11" w:type="default"/>
          <w:footerReference r:id="rId12" w:type="default"/>
          <w:pgSz w:w="23811" w:h="16839"/>
          <w:pgMar w:top="1274" w:right="1320" w:bottom="1613" w:left="1411" w:header="838" w:footer="1386" w:gutter="0"/>
          <w:cols w:equalWidth="0" w:num="1">
            <w:col w:w="21079"/>
          </w:cols>
        </w:sectPr>
      </w:pPr>
    </w:p>
    <w:p w14:paraId="35CDC700">
      <w:pPr>
        <w:spacing w:line="334" w:lineRule="auto"/>
        <w:rPr>
          <w:rFonts w:ascii="Arial"/>
          <w:sz w:val="21"/>
        </w:rPr>
      </w:pPr>
    </w:p>
    <w:p w14:paraId="7AAEC613">
      <w:pPr>
        <w:spacing w:line="335" w:lineRule="auto"/>
        <w:rPr>
          <w:rFonts w:ascii="Arial"/>
          <w:sz w:val="21"/>
        </w:rPr>
      </w:pPr>
    </w:p>
    <w:p w14:paraId="2F05BFF7">
      <w:pPr>
        <w:spacing w:before="73" w:line="208" w:lineRule="auto"/>
        <w:ind w:left="3349"/>
        <w:rPr>
          <w:rFonts w:ascii="华文细黑" w:hAnsi="华文细黑" w:eastAsia="华文细黑" w:cs="华文细黑"/>
          <w:sz w:val="21"/>
          <w:szCs w:val="21"/>
        </w:rPr>
      </w:pPr>
      <w:r>
        <w:rPr>
          <w:rFonts w:ascii="华文细黑" w:hAnsi="华文细黑" w:eastAsia="华文细黑" w:cs="华文细黑"/>
          <w:spacing w:val="-2"/>
          <w:sz w:val="21"/>
          <w:szCs w:val="21"/>
        </w:rPr>
        <w:t>表格</w:t>
      </w:r>
      <w:r>
        <w:rPr>
          <w:rFonts w:ascii="华文细黑" w:hAnsi="华文细黑" w:eastAsia="华文细黑" w:cs="华文细黑"/>
          <w:spacing w:val="28"/>
          <w:sz w:val="21"/>
          <w:szCs w:val="21"/>
        </w:rPr>
        <w:t xml:space="preserve"> </w:t>
      </w:r>
      <w:r>
        <w:rPr>
          <w:rFonts w:ascii="华文细黑" w:hAnsi="华文细黑" w:eastAsia="华文细黑" w:cs="华文细黑"/>
          <w:spacing w:val="-2"/>
          <w:sz w:val="21"/>
          <w:szCs w:val="21"/>
        </w:rPr>
        <w:t>1  盐边钒钛产业开发区发展目标</w:t>
      </w:r>
    </w:p>
    <w:p w14:paraId="3FC9B911">
      <w:pPr>
        <w:spacing w:line="127" w:lineRule="exact"/>
      </w:pPr>
    </w:p>
    <w:tbl>
      <w:tblPr>
        <w:tblStyle w:val="5"/>
        <w:tblW w:w="9987" w:type="dxa"/>
        <w:tblInd w:w="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521"/>
        <w:gridCol w:w="3351"/>
        <w:gridCol w:w="1075"/>
        <w:gridCol w:w="1483"/>
        <w:gridCol w:w="1442"/>
        <w:gridCol w:w="1247"/>
      </w:tblGrid>
      <w:tr w14:paraId="17C26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8" w:type="dxa"/>
            <w:vMerge w:val="restart"/>
            <w:tcBorders>
              <w:bottom w:val="nil"/>
            </w:tcBorders>
            <w:vAlign w:val="top"/>
          </w:tcPr>
          <w:p w14:paraId="0783A682">
            <w:pPr>
              <w:spacing w:line="354" w:lineRule="auto"/>
              <w:rPr>
                <w:rFonts w:ascii="Arial"/>
                <w:sz w:val="21"/>
              </w:rPr>
            </w:pPr>
          </w:p>
          <w:p w14:paraId="62CC7997">
            <w:pPr>
              <w:pStyle w:val="6"/>
              <w:spacing w:before="74" w:line="207" w:lineRule="auto"/>
              <w:ind w:left="232"/>
            </w:pPr>
            <w:r>
              <w:rPr>
                <w:spacing w:val="-3"/>
              </w:rPr>
              <w:t>分类</w:t>
            </w:r>
          </w:p>
        </w:tc>
        <w:tc>
          <w:tcPr>
            <w:tcW w:w="521" w:type="dxa"/>
            <w:vMerge w:val="restart"/>
            <w:tcBorders>
              <w:bottom w:val="nil"/>
            </w:tcBorders>
            <w:vAlign w:val="top"/>
          </w:tcPr>
          <w:p w14:paraId="1B228AFA">
            <w:pPr>
              <w:spacing w:line="354" w:lineRule="auto"/>
              <w:rPr>
                <w:rFonts w:ascii="Arial"/>
                <w:sz w:val="21"/>
              </w:rPr>
            </w:pPr>
          </w:p>
          <w:p w14:paraId="5026FE88">
            <w:pPr>
              <w:pStyle w:val="6"/>
              <w:spacing w:before="74" w:line="210" w:lineRule="auto"/>
              <w:ind w:left="52"/>
            </w:pPr>
            <w:r>
              <w:rPr>
                <w:spacing w:val="-2"/>
              </w:rPr>
              <w:t>序号</w:t>
            </w:r>
          </w:p>
        </w:tc>
        <w:tc>
          <w:tcPr>
            <w:tcW w:w="3351" w:type="dxa"/>
            <w:vMerge w:val="restart"/>
            <w:tcBorders>
              <w:bottom w:val="nil"/>
            </w:tcBorders>
            <w:vAlign w:val="top"/>
          </w:tcPr>
          <w:p w14:paraId="6DB1D01B">
            <w:pPr>
              <w:spacing w:line="354" w:lineRule="auto"/>
              <w:rPr>
                <w:rFonts w:ascii="Arial"/>
                <w:sz w:val="21"/>
              </w:rPr>
            </w:pPr>
          </w:p>
          <w:p w14:paraId="13610863">
            <w:pPr>
              <w:pStyle w:val="6"/>
              <w:spacing w:before="74" w:line="208" w:lineRule="auto"/>
              <w:ind w:left="1260"/>
            </w:pPr>
            <w:r>
              <w:rPr>
                <w:spacing w:val="-2"/>
              </w:rPr>
              <w:t>指标名称</w:t>
            </w:r>
          </w:p>
        </w:tc>
        <w:tc>
          <w:tcPr>
            <w:tcW w:w="1075" w:type="dxa"/>
            <w:vMerge w:val="restart"/>
            <w:tcBorders>
              <w:bottom w:val="nil"/>
            </w:tcBorders>
            <w:vAlign w:val="top"/>
          </w:tcPr>
          <w:p w14:paraId="394E955E">
            <w:pPr>
              <w:spacing w:line="354" w:lineRule="auto"/>
              <w:rPr>
                <w:rFonts w:ascii="Arial"/>
                <w:sz w:val="21"/>
              </w:rPr>
            </w:pPr>
          </w:p>
          <w:p w14:paraId="16562E20">
            <w:pPr>
              <w:pStyle w:val="6"/>
              <w:spacing w:before="74" w:line="208" w:lineRule="auto"/>
              <w:ind w:left="334"/>
            </w:pPr>
            <w:r>
              <w:rPr>
                <w:spacing w:val="-3"/>
              </w:rPr>
              <w:t>单位</w:t>
            </w:r>
          </w:p>
        </w:tc>
        <w:tc>
          <w:tcPr>
            <w:tcW w:w="4172" w:type="dxa"/>
            <w:gridSpan w:val="3"/>
            <w:vAlign w:val="top"/>
          </w:tcPr>
          <w:p w14:paraId="5E67FB3F">
            <w:pPr>
              <w:pStyle w:val="6"/>
              <w:spacing w:before="169" w:line="207" w:lineRule="auto"/>
              <w:ind w:left="1805"/>
            </w:pPr>
            <w:r>
              <w:rPr>
                <w:spacing w:val="-8"/>
              </w:rPr>
              <w:t>目标年</w:t>
            </w:r>
          </w:p>
        </w:tc>
      </w:tr>
      <w:tr w14:paraId="35857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68" w:type="dxa"/>
            <w:vMerge w:val="continue"/>
            <w:tcBorders>
              <w:top w:val="nil"/>
            </w:tcBorders>
            <w:vAlign w:val="top"/>
          </w:tcPr>
          <w:p w14:paraId="7C475C88">
            <w:pPr>
              <w:rPr>
                <w:rFonts w:ascii="Arial"/>
                <w:sz w:val="21"/>
              </w:rPr>
            </w:pPr>
          </w:p>
        </w:tc>
        <w:tc>
          <w:tcPr>
            <w:tcW w:w="521" w:type="dxa"/>
            <w:vMerge w:val="continue"/>
            <w:tcBorders>
              <w:top w:val="nil"/>
            </w:tcBorders>
            <w:vAlign w:val="top"/>
          </w:tcPr>
          <w:p w14:paraId="6729DE38">
            <w:pPr>
              <w:rPr>
                <w:rFonts w:ascii="Arial"/>
                <w:sz w:val="21"/>
              </w:rPr>
            </w:pPr>
          </w:p>
        </w:tc>
        <w:tc>
          <w:tcPr>
            <w:tcW w:w="3351" w:type="dxa"/>
            <w:vMerge w:val="continue"/>
            <w:tcBorders>
              <w:top w:val="nil"/>
            </w:tcBorders>
            <w:vAlign w:val="top"/>
          </w:tcPr>
          <w:p w14:paraId="38AC66A8">
            <w:pPr>
              <w:rPr>
                <w:rFonts w:ascii="Arial"/>
                <w:sz w:val="21"/>
              </w:rPr>
            </w:pPr>
          </w:p>
        </w:tc>
        <w:tc>
          <w:tcPr>
            <w:tcW w:w="1075" w:type="dxa"/>
            <w:vMerge w:val="continue"/>
            <w:tcBorders>
              <w:top w:val="nil"/>
            </w:tcBorders>
            <w:vAlign w:val="top"/>
          </w:tcPr>
          <w:p w14:paraId="7030CB13">
            <w:pPr>
              <w:rPr>
                <w:rFonts w:ascii="Arial"/>
                <w:sz w:val="21"/>
              </w:rPr>
            </w:pPr>
          </w:p>
        </w:tc>
        <w:tc>
          <w:tcPr>
            <w:tcW w:w="1483" w:type="dxa"/>
            <w:vAlign w:val="top"/>
          </w:tcPr>
          <w:p w14:paraId="7E2B357C">
            <w:pPr>
              <w:pStyle w:val="6"/>
              <w:spacing w:before="165" w:line="207" w:lineRule="auto"/>
              <w:ind w:left="381"/>
            </w:pPr>
            <w:r>
              <w:rPr>
                <w:spacing w:val="-1"/>
              </w:rPr>
              <w:t>2023</w:t>
            </w:r>
            <w:r>
              <w:rPr>
                <w:spacing w:val="11"/>
              </w:rPr>
              <w:t xml:space="preserve"> </w:t>
            </w:r>
            <w:r>
              <w:rPr>
                <w:spacing w:val="-1"/>
              </w:rPr>
              <w:t>年</w:t>
            </w:r>
          </w:p>
        </w:tc>
        <w:tc>
          <w:tcPr>
            <w:tcW w:w="1442" w:type="dxa"/>
            <w:vAlign w:val="top"/>
          </w:tcPr>
          <w:p w14:paraId="56B24ABE">
            <w:pPr>
              <w:pStyle w:val="6"/>
              <w:spacing w:before="165" w:line="207" w:lineRule="auto"/>
              <w:ind w:left="362"/>
            </w:pPr>
            <w:r>
              <w:rPr>
                <w:spacing w:val="-1"/>
              </w:rPr>
              <w:t>2025</w:t>
            </w:r>
            <w:r>
              <w:rPr>
                <w:spacing w:val="11"/>
              </w:rPr>
              <w:t xml:space="preserve"> </w:t>
            </w:r>
            <w:r>
              <w:rPr>
                <w:spacing w:val="-1"/>
              </w:rPr>
              <w:t>年</w:t>
            </w:r>
          </w:p>
        </w:tc>
        <w:tc>
          <w:tcPr>
            <w:tcW w:w="1247" w:type="dxa"/>
            <w:vAlign w:val="top"/>
          </w:tcPr>
          <w:p w14:paraId="13B99D22">
            <w:pPr>
              <w:pStyle w:val="6"/>
              <w:spacing w:before="165" w:line="207" w:lineRule="auto"/>
              <w:ind w:left="262"/>
            </w:pPr>
            <w:r>
              <w:rPr>
                <w:spacing w:val="-1"/>
              </w:rPr>
              <w:t>2035</w:t>
            </w:r>
            <w:r>
              <w:rPr>
                <w:spacing w:val="11"/>
              </w:rPr>
              <w:t xml:space="preserve"> </w:t>
            </w:r>
            <w:r>
              <w:rPr>
                <w:spacing w:val="-1"/>
              </w:rPr>
              <w:t>年</w:t>
            </w:r>
          </w:p>
        </w:tc>
      </w:tr>
      <w:tr w14:paraId="71C2A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868" w:type="dxa"/>
            <w:vMerge w:val="restart"/>
            <w:tcBorders>
              <w:bottom w:val="nil"/>
            </w:tcBorders>
            <w:vAlign w:val="top"/>
          </w:tcPr>
          <w:p w14:paraId="5797FEBA">
            <w:pPr>
              <w:spacing w:line="266" w:lineRule="auto"/>
              <w:rPr>
                <w:rFonts w:ascii="Arial"/>
                <w:sz w:val="21"/>
              </w:rPr>
            </w:pPr>
          </w:p>
          <w:p w14:paraId="657DC786">
            <w:pPr>
              <w:spacing w:line="266" w:lineRule="auto"/>
              <w:rPr>
                <w:rFonts w:ascii="Arial"/>
                <w:sz w:val="21"/>
              </w:rPr>
            </w:pPr>
          </w:p>
          <w:p w14:paraId="5AB8D30C">
            <w:pPr>
              <w:spacing w:line="267" w:lineRule="auto"/>
              <w:rPr>
                <w:rFonts w:ascii="Arial"/>
                <w:sz w:val="21"/>
              </w:rPr>
            </w:pPr>
          </w:p>
          <w:p w14:paraId="65333813">
            <w:pPr>
              <w:pStyle w:val="6"/>
              <w:spacing w:before="74" w:line="242" w:lineRule="auto"/>
              <w:ind w:left="227" w:right="220" w:firstLine="4"/>
            </w:pPr>
            <w:r>
              <w:rPr>
                <w:spacing w:val="-5"/>
              </w:rPr>
              <w:t>经济</w:t>
            </w:r>
            <w:r>
              <w:rPr>
                <w:spacing w:val="-3"/>
              </w:rPr>
              <w:t>增长</w:t>
            </w:r>
          </w:p>
        </w:tc>
        <w:tc>
          <w:tcPr>
            <w:tcW w:w="521" w:type="dxa"/>
            <w:vAlign w:val="top"/>
          </w:tcPr>
          <w:p w14:paraId="0F9A72A7">
            <w:pPr>
              <w:pStyle w:val="6"/>
              <w:spacing w:before="172" w:line="235" w:lineRule="auto"/>
              <w:ind w:left="227"/>
            </w:pPr>
            <w:r>
              <w:t>1</w:t>
            </w:r>
          </w:p>
        </w:tc>
        <w:tc>
          <w:tcPr>
            <w:tcW w:w="3351" w:type="dxa"/>
            <w:vAlign w:val="top"/>
          </w:tcPr>
          <w:p w14:paraId="7D7A5134">
            <w:pPr>
              <w:pStyle w:val="6"/>
              <w:spacing w:before="172" w:line="208" w:lineRule="auto"/>
              <w:ind w:left="1160"/>
            </w:pPr>
            <w:r>
              <w:rPr>
                <w:spacing w:val="-3"/>
              </w:rPr>
              <w:t>工业总产值</w:t>
            </w:r>
          </w:p>
        </w:tc>
        <w:tc>
          <w:tcPr>
            <w:tcW w:w="1075" w:type="dxa"/>
            <w:vAlign w:val="top"/>
          </w:tcPr>
          <w:p w14:paraId="5DF99979">
            <w:pPr>
              <w:pStyle w:val="6"/>
              <w:spacing w:before="172" w:line="209" w:lineRule="auto"/>
              <w:ind w:left="328"/>
            </w:pPr>
            <w:r>
              <w:rPr>
                <w:spacing w:val="-1"/>
              </w:rPr>
              <w:t>亿元</w:t>
            </w:r>
          </w:p>
        </w:tc>
        <w:tc>
          <w:tcPr>
            <w:tcW w:w="1483" w:type="dxa"/>
            <w:vAlign w:val="top"/>
          </w:tcPr>
          <w:p w14:paraId="649A76D6">
            <w:pPr>
              <w:pStyle w:val="6"/>
              <w:spacing w:before="172" w:line="232" w:lineRule="auto"/>
              <w:ind w:left="572"/>
            </w:pPr>
            <w:r>
              <w:rPr>
                <w:spacing w:val="-3"/>
              </w:rPr>
              <w:t>300</w:t>
            </w:r>
          </w:p>
        </w:tc>
        <w:tc>
          <w:tcPr>
            <w:tcW w:w="1442" w:type="dxa"/>
            <w:vAlign w:val="top"/>
          </w:tcPr>
          <w:p w14:paraId="55C1EB66">
            <w:pPr>
              <w:pStyle w:val="6"/>
              <w:spacing w:before="172" w:line="232" w:lineRule="auto"/>
              <w:ind w:left="551"/>
            </w:pPr>
            <w:r>
              <w:rPr>
                <w:spacing w:val="-2"/>
              </w:rPr>
              <w:t>400</w:t>
            </w:r>
          </w:p>
        </w:tc>
        <w:tc>
          <w:tcPr>
            <w:tcW w:w="1247" w:type="dxa"/>
            <w:vAlign w:val="top"/>
          </w:tcPr>
          <w:p w14:paraId="4965A37A">
            <w:pPr>
              <w:pStyle w:val="6"/>
              <w:spacing w:before="172" w:line="232" w:lineRule="auto"/>
              <w:ind w:left="417"/>
            </w:pPr>
            <w:r>
              <w:rPr>
                <w:spacing w:val="-8"/>
              </w:rPr>
              <w:t>1000</w:t>
            </w:r>
          </w:p>
        </w:tc>
      </w:tr>
      <w:tr w14:paraId="6114C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868" w:type="dxa"/>
            <w:vMerge w:val="continue"/>
            <w:tcBorders>
              <w:top w:val="nil"/>
              <w:bottom w:val="nil"/>
            </w:tcBorders>
            <w:vAlign w:val="top"/>
          </w:tcPr>
          <w:p w14:paraId="27D35861">
            <w:pPr>
              <w:rPr>
                <w:rFonts w:ascii="Arial"/>
                <w:sz w:val="21"/>
              </w:rPr>
            </w:pPr>
          </w:p>
        </w:tc>
        <w:tc>
          <w:tcPr>
            <w:tcW w:w="521" w:type="dxa"/>
            <w:vAlign w:val="top"/>
          </w:tcPr>
          <w:p w14:paraId="707F7EF4">
            <w:pPr>
              <w:pStyle w:val="6"/>
              <w:spacing w:before="120" w:line="235" w:lineRule="auto"/>
              <w:ind w:left="203"/>
            </w:pPr>
            <w:r>
              <w:t>2</w:t>
            </w:r>
          </w:p>
        </w:tc>
        <w:tc>
          <w:tcPr>
            <w:tcW w:w="3351" w:type="dxa"/>
            <w:vAlign w:val="top"/>
          </w:tcPr>
          <w:p w14:paraId="6D7C075E">
            <w:pPr>
              <w:pStyle w:val="6"/>
              <w:spacing w:before="119" w:line="209" w:lineRule="auto"/>
              <w:ind w:left="1160"/>
            </w:pPr>
            <w:r>
              <w:rPr>
                <w:spacing w:val="-3"/>
              </w:rPr>
              <w:t>工业增加值</w:t>
            </w:r>
          </w:p>
        </w:tc>
        <w:tc>
          <w:tcPr>
            <w:tcW w:w="1075" w:type="dxa"/>
            <w:vAlign w:val="top"/>
          </w:tcPr>
          <w:p w14:paraId="0BF27427">
            <w:pPr>
              <w:pStyle w:val="6"/>
              <w:spacing w:before="120" w:line="209" w:lineRule="auto"/>
              <w:ind w:left="328"/>
            </w:pPr>
            <w:r>
              <w:rPr>
                <w:spacing w:val="-1"/>
              </w:rPr>
              <w:t>亿元</w:t>
            </w:r>
          </w:p>
        </w:tc>
        <w:tc>
          <w:tcPr>
            <w:tcW w:w="1483" w:type="dxa"/>
            <w:vAlign w:val="top"/>
          </w:tcPr>
          <w:p w14:paraId="48E81DF3">
            <w:pPr>
              <w:pStyle w:val="6"/>
              <w:spacing w:before="120" w:line="232" w:lineRule="auto"/>
              <w:ind w:left="594"/>
            </w:pPr>
            <w:r>
              <w:rPr>
                <w:spacing w:val="-10"/>
              </w:rPr>
              <w:t>150</w:t>
            </w:r>
          </w:p>
        </w:tc>
        <w:tc>
          <w:tcPr>
            <w:tcW w:w="1442" w:type="dxa"/>
            <w:vAlign w:val="top"/>
          </w:tcPr>
          <w:p w14:paraId="56467D33">
            <w:pPr>
              <w:pStyle w:val="6"/>
              <w:spacing w:before="120" w:line="232" w:lineRule="auto"/>
              <w:ind w:left="552"/>
            </w:pPr>
            <w:r>
              <w:rPr>
                <w:spacing w:val="-2"/>
              </w:rPr>
              <w:t>250</w:t>
            </w:r>
          </w:p>
        </w:tc>
        <w:tc>
          <w:tcPr>
            <w:tcW w:w="1247" w:type="dxa"/>
            <w:vAlign w:val="top"/>
          </w:tcPr>
          <w:p w14:paraId="1E44AC36">
            <w:pPr>
              <w:pStyle w:val="6"/>
              <w:spacing w:before="120" w:line="232" w:lineRule="auto"/>
              <w:ind w:left="459"/>
            </w:pPr>
            <w:r>
              <w:rPr>
                <w:spacing w:val="-5"/>
              </w:rPr>
              <w:t>600</w:t>
            </w:r>
          </w:p>
        </w:tc>
      </w:tr>
      <w:tr w14:paraId="32532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868" w:type="dxa"/>
            <w:vMerge w:val="continue"/>
            <w:tcBorders>
              <w:top w:val="nil"/>
              <w:bottom w:val="nil"/>
            </w:tcBorders>
            <w:vAlign w:val="top"/>
          </w:tcPr>
          <w:p w14:paraId="00C9A9BC">
            <w:pPr>
              <w:rPr>
                <w:rFonts w:ascii="Arial"/>
                <w:sz w:val="21"/>
              </w:rPr>
            </w:pPr>
          </w:p>
        </w:tc>
        <w:tc>
          <w:tcPr>
            <w:tcW w:w="521" w:type="dxa"/>
            <w:vAlign w:val="top"/>
          </w:tcPr>
          <w:p w14:paraId="7F8B7071">
            <w:pPr>
              <w:pStyle w:val="6"/>
              <w:spacing w:before="123" w:line="232" w:lineRule="auto"/>
              <w:ind w:left="204"/>
            </w:pPr>
            <w:r>
              <w:t>3</w:t>
            </w:r>
          </w:p>
        </w:tc>
        <w:tc>
          <w:tcPr>
            <w:tcW w:w="3351" w:type="dxa"/>
            <w:vAlign w:val="top"/>
          </w:tcPr>
          <w:p w14:paraId="0AF2939F">
            <w:pPr>
              <w:pStyle w:val="6"/>
              <w:spacing w:before="123" w:line="208" w:lineRule="auto"/>
              <w:ind w:left="1267"/>
            </w:pPr>
            <w:r>
              <w:rPr>
                <w:spacing w:val="-4"/>
              </w:rPr>
              <w:t>主营收入</w:t>
            </w:r>
          </w:p>
        </w:tc>
        <w:tc>
          <w:tcPr>
            <w:tcW w:w="1075" w:type="dxa"/>
            <w:vAlign w:val="top"/>
          </w:tcPr>
          <w:p w14:paraId="09FB7DAB">
            <w:pPr>
              <w:pStyle w:val="6"/>
              <w:spacing w:before="123" w:line="209" w:lineRule="auto"/>
              <w:ind w:left="328"/>
            </w:pPr>
            <w:r>
              <w:rPr>
                <w:spacing w:val="-1"/>
              </w:rPr>
              <w:t>亿元</w:t>
            </w:r>
          </w:p>
        </w:tc>
        <w:tc>
          <w:tcPr>
            <w:tcW w:w="1483" w:type="dxa"/>
            <w:vAlign w:val="top"/>
          </w:tcPr>
          <w:p w14:paraId="0EF58BF5">
            <w:pPr>
              <w:pStyle w:val="6"/>
              <w:spacing w:before="123" w:line="232" w:lineRule="auto"/>
              <w:ind w:left="571"/>
            </w:pPr>
            <w:r>
              <w:rPr>
                <w:spacing w:val="-2"/>
              </w:rPr>
              <w:t>240</w:t>
            </w:r>
          </w:p>
        </w:tc>
        <w:tc>
          <w:tcPr>
            <w:tcW w:w="1442" w:type="dxa"/>
            <w:vAlign w:val="top"/>
          </w:tcPr>
          <w:p w14:paraId="482C8942">
            <w:pPr>
              <w:pStyle w:val="6"/>
              <w:spacing w:before="123" w:line="232" w:lineRule="auto"/>
              <w:ind w:left="553"/>
            </w:pPr>
            <w:r>
              <w:rPr>
                <w:spacing w:val="-3"/>
              </w:rPr>
              <w:t>320</w:t>
            </w:r>
          </w:p>
        </w:tc>
        <w:tc>
          <w:tcPr>
            <w:tcW w:w="1247" w:type="dxa"/>
            <w:vAlign w:val="top"/>
          </w:tcPr>
          <w:p w14:paraId="71EBD4E0">
            <w:pPr>
              <w:pStyle w:val="6"/>
              <w:spacing w:before="123" w:line="232" w:lineRule="auto"/>
              <w:ind w:left="452"/>
            </w:pPr>
            <w:r>
              <w:rPr>
                <w:spacing w:val="-2"/>
              </w:rPr>
              <w:t>850</w:t>
            </w:r>
          </w:p>
        </w:tc>
      </w:tr>
      <w:tr w14:paraId="7EC49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68" w:type="dxa"/>
            <w:vMerge w:val="continue"/>
            <w:tcBorders>
              <w:top w:val="nil"/>
              <w:bottom w:val="nil"/>
            </w:tcBorders>
            <w:vAlign w:val="top"/>
          </w:tcPr>
          <w:p w14:paraId="05FDE269">
            <w:pPr>
              <w:rPr>
                <w:rFonts w:ascii="Arial"/>
                <w:sz w:val="21"/>
              </w:rPr>
            </w:pPr>
          </w:p>
        </w:tc>
        <w:tc>
          <w:tcPr>
            <w:tcW w:w="521" w:type="dxa"/>
            <w:vAlign w:val="top"/>
          </w:tcPr>
          <w:p w14:paraId="1BCA4267">
            <w:pPr>
              <w:pStyle w:val="6"/>
              <w:spacing w:before="108" w:line="229" w:lineRule="auto"/>
              <w:ind w:left="202"/>
            </w:pPr>
            <w:r>
              <w:t>4</w:t>
            </w:r>
          </w:p>
        </w:tc>
        <w:tc>
          <w:tcPr>
            <w:tcW w:w="3351" w:type="dxa"/>
            <w:vAlign w:val="top"/>
          </w:tcPr>
          <w:p w14:paraId="6D971FFF">
            <w:pPr>
              <w:pStyle w:val="6"/>
              <w:spacing w:before="110" w:line="207" w:lineRule="auto"/>
              <w:ind w:left="1471"/>
            </w:pPr>
            <w:r>
              <w:rPr>
                <w:spacing w:val="-2"/>
              </w:rPr>
              <w:t>税收</w:t>
            </w:r>
          </w:p>
        </w:tc>
        <w:tc>
          <w:tcPr>
            <w:tcW w:w="1075" w:type="dxa"/>
            <w:vAlign w:val="top"/>
          </w:tcPr>
          <w:p w14:paraId="7F3D6B1D">
            <w:pPr>
              <w:pStyle w:val="6"/>
              <w:spacing w:before="109" w:line="209" w:lineRule="auto"/>
              <w:ind w:left="328"/>
            </w:pPr>
            <w:r>
              <w:rPr>
                <w:spacing w:val="-1"/>
              </w:rPr>
              <w:t>亿元</w:t>
            </w:r>
          </w:p>
        </w:tc>
        <w:tc>
          <w:tcPr>
            <w:tcW w:w="1483" w:type="dxa"/>
            <w:vAlign w:val="top"/>
          </w:tcPr>
          <w:p w14:paraId="2A3DF350">
            <w:pPr>
              <w:pStyle w:val="6"/>
              <w:spacing w:before="108" w:line="229" w:lineRule="auto"/>
              <w:ind w:left="652"/>
            </w:pPr>
            <w:r>
              <w:rPr>
                <w:spacing w:val="-8"/>
              </w:rPr>
              <w:t>11</w:t>
            </w:r>
          </w:p>
        </w:tc>
        <w:tc>
          <w:tcPr>
            <w:tcW w:w="1442" w:type="dxa"/>
            <w:vAlign w:val="top"/>
          </w:tcPr>
          <w:p w14:paraId="58131BA7">
            <w:pPr>
              <w:pStyle w:val="6"/>
              <w:spacing w:before="108" w:line="229" w:lineRule="auto"/>
              <w:ind w:left="633"/>
            </w:pPr>
            <w:r>
              <w:rPr>
                <w:spacing w:val="-8"/>
              </w:rPr>
              <w:t>15</w:t>
            </w:r>
          </w:p>
        </w:tc>
        <w:tc>
          <w:tcPr>
            <w:tcW w:w="1247" w:type="dxa"/>
            <w:vAlign w:val="top"/>
          </w:tcPr>
          <w:p w14:paraId="0A57C2F2">
            <w:pPr>
              <w:pStyle w:val="6"/>
              <w:spacing w:before="108" w:line="229" w:lineRule="auto"/>
              <w:ind w:left="510"/>
            </w:pPr>
            <w:r>
              <w:rPr>
                <w:spacing w:val="-2"/>
              </w:rPr>
              <w:t>30</w:t>
            </w:r>
          </w:p>
        </w:tc>
      </w:tr>
      <w:tr w14:paraId="09D1A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868" w:type="dxa"/>
            <w:vMerge w:val="continue"/>
            <w:tcBorders>
              <w:top w:val="nil"/>
            </w:tcBorders>
            <w:vAlign w:val="top"/>
          </w:tcPr>
          <w:p w14:paraId="044351F5">
            <w:pPr>
              <w:rPr>
                <w:rFonts w:ascii="Arial"/>
                <w:sz w:val="21"/>
              </w:rPr>
            </w:pPr>
          </w:p>
        </w:tc>
        <w:tc>
          <w:tcPr>
            <w:tcW w:w="521" w:type="dxa"/>
            <w:vAlign w:val="top"/>
          </w:tcPr>
          <w:p w14:paraId="69F7D564">
            <w:pPr>
              <w:pStyle w:val="6"/>
              <w:spacing w:before="117" w:line="232" w:lineRule="auto"/>
              <w:ind w:left="206"/>
            </w:pPr>
            <w:r>
              <w:t>5</w:t>
            </w:r>
          </w:p>
        </w:tc>
        <w:tc>
          <w:tcPr>
            <w:tcW w:w="3351" w:type="dxa"/>
            <w:vAlign w:val="top"/>
          </w:tcPr>
          <w:p w14:paraId="132CCE58">
            <w:pPr>
              <w:pStyle w:val="6"/>
              <w:spacing w:before="116" w:line="208" w:lineRule="auto"/>
              <w:ind w:left="1258"/>
            </w:pPr>
            <w:r>
              <w:rPr>
                <w:spacing w:val="-1"/>
              </w:rPr>
              <w:t>招商引资</w:t>
            </w:r>
          </w:p>
        </w:tc>
        <w:tc>
          <w:tcPr>
            <w:tcW w:w="1075" w:type="dxa"/>
            <w:vAlign w:val="top"/>
          </w:tcPr>
          <w:p w14:paraId="642306A9">
            <w:pPr>
              <w:pStyle w:val="6"/>
              <w:spacing w:before="117" w:line="209" w:lineRule="auto"/>
              <w:ind w:left="328"/>
            </w:pPr>
            <w:r>
              <w:rPr>
                <w:spacing w:val="-1"/>
              </w:rPr>
              <w:t>亿元</w:t>
            </w:r>
          </w:p>
        </w:tc>
        <w:tc>
          <w:tcPr>
            <w:tcW w:w="1483" w:type="dxa"/>
            <w:vAlign w:val="top"/>
          </w:tcPr>
          <w:p w14:paraId="523A2BBC">
            <w:pPr>
              <w:pStyle w:val="6"/>
              <w:spacing w:before="117" w:line="232" w:lineRule="auto"/>
              <w:ind w:left="594"/>
            </w:pPr>
            <w:r>
              <w:rPr>
                <w:spacing w:val="-10"/>
              </w:rPr>
              <w:t>180</w:t>
            </w:r>
          </w:p>
        </w:tc>
        <w:tc>
          <w:tcPr>
            <w:tcW w:w="1442" w:type="dxa"/>
            <w:vAlign w:val="top"/>
          </w:tcPr>
          <w:p w14:paraId="453E1589">
            <w:pPr>
              <w:pStyle w:val="6"/>
              <w:spacing w:before="117" w:line="232" w:lineRule="auto"/>
              <w:ind w:left="552"/>
            </w:pPr>
            <w:r>
              <w:rPr>
                <w:spacing w:val="-2"/>
              </w:rPr>
              <w:t>260</w:t>
            </w:r>
          </w:p>
        </w:tc>
        <w:tc>
          <w:tcPr>
            <w:tcW w:w="1247" w:type="dxa"/>
            <w:vAlign w:val="top"/>
          </w:tcPr>
          <w:p w14:paraId="2FEF11EF">
            <w:pPr>
              <w:pStyle w:val="6"/>
              <w:spacing w:before="117" w:line="232" w:lineRule="auto"/>
              <w:ind w:left="452"/>
            </w:pPr>
            <w:r>
              <w:rPr>
                <w:spacing w:val="-2"/>
              </w:rPr>
              <w:t>800</w:t>
            </w:r>
          </w:p>
        </w:tc>
      </w:tr>
      <w:tr w14:paraId="1C64C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68" w:type="dxa"/>
            <w:vAlign w:val="top"/>
          </w:tcPr>
          <w:p w14:paraId="3882D127">
            <w:pPr>
              <w:pStyle w:val="6"/>
              <w:spacing w:before="65" w:line="207" w:lineRule="auto"/>
              <w:ind w:left="226"/>
            </w:pPr>
            <w:r>
              <w:rPr>
                <w:spacing w:val="-1"/>
              </w:rPr>
              <w:t>基础</w:t>
            </w:r>
          </w:p>
          <w:p w14:paraId="70D24053">
            <w:pPr>
              <w:pStyle w:val="6"/>
              <w:spacing w:before="41" w:line="194" w:lineRule="auto"/>
              <w:ind w:left="227"/>
            </w:pPr>
            <w:r>
              <w:rPr>
                <w:spacing w:val="-2"/>
              </w:rPr>
              <w:t>建设</w:t>
            </w:r>
          </w:p>
        </w:tc>
        <w:tc>
          <w:tcPr>
            <w:tcW w:w="521" w:type="dxa"/>
            <w:vAlign w:val="top"/>
          </w:tcPr>
          <w:p w14:paraId="48EB4076">
            <w:pPr>
              <w:pStyle w:val="6"/>
              <w:spacing w:before="214" w:line="232" w:lineRule="auto"/>
              <w:ind w:left="211"/>
            </w:pPr>
            <w:r>
              <w:t>6</w:t>
            </w:r>
          </w:p>
        </w:tc>
        <w:tc>
          <w:tcPr>
            <w:tcW w:w="3351" w:type="dxa"/>
            <w:vAlign w:val="top"/>
          </w:tcPr>
          <w:p w14:paraId="062DE22B">
            <w:pPr>
              <w:pStyle w:val="6"/>
              <w:spacing w:before="214" w:line="207" w:lineRule="auto"/>
              <w:ind w:left="1055"/>
            </w:pPr>
            <w:r>
              <w:rPr>
                <w:spacing w:val="-2"/>
              </w:rPr>
              <w:t>新增入驻企业</w:t>
            </w:r>
          </w:p>
        </w:tc>
        <w:tc>
          <w:tcPr>
            <w:tcW w:w="1075" w:type="dxa"/>
            <w:vAlign w:val="top"/>
          </w:tcPr>
          <w:p w14:paraId="073A27C0">
            <w:pPr>
              <w:pStyle w:val="6"/>
              <w:spacing w:before="213" w:line="208" w:lineRule="auto"/>
              <w:ind w:left="448"/>
            </w:pPr>
            <w:r>
              <w:t>家</w:t>
            </w:r>
          </w:p>
        </w:tc>
        <w:tc>
          <w:tcPr>
            <w:tcW w:w="1483" w:type="dxa"/>
            <w:vAlign w:val="top"/>
          </w:tcPr>
          <w:p w14:paraId="7DC36ACE">
            <w:pPr>
              <w:pStyle w:val="6"/>
              <w:spacing w:before="214" w:line="232" w:lineRule="auto"/>
              <w:ind w:left="652"/>
            </w:pPr>
            <w:r>
              <w:rPr>
                <w:spacing w:val="-8"/>
              </w:rPr>
              <w:t>15</w:t>
            </w:r>
          </w:p>
        </w:tc>
        <w:tc>
          <w:tcPr>
            <w:tcW w:w="1442" w:type="dxa"/>
            <w:vAlign w:val="top"/>
          </w:tcPr>
          <w:p w14:paraId="7F85DA01">
            <w:pPr>
              <w:pStyle w:val="6"/>
              <w:spacing w:before="214" w:line="232" w:lineRule="auto"/>
              <w:ind w:left="608"/>
            </w:pPr>
            <w:r>
              <w:rPr>
                <w:spacing w:val="-1"/>
              </w:rPr>
              <w:t>40</w:t>
            </w:r>
          </w:p>
        </w:tc>
        <w:tc>
          <w:tcPr>
            <w:tcW w:w="1247" w:type="dxa"/>
            <w:vAlign w:val="top"/>
          </w:tcPr>
          <w:p w14:paraId="7E746FDE">
            <w:pPr>
              <w:pStyle w:val="6"/>
              <w:spacing w:before="214" w:line="232" w:lineRule="auto"/>
              <w:ind w:left="511"/>
            </w:pPr>
            <w:r>
              <w:rPr>
                <w:spacing w:val="-2"/>
              </w:rPr>
              <w:t>50</w:t>
            </w:r>
          </w:p>
        </w:tc>
      </w:tr>
      <w:tr w14:paraId="46D2B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68" w:type="dxa"/>
            <w:vMerge w:val="restart"/>
            <w:tcBorders>
              <w:bottom w:val="nil"/>
            </w:tcBorders>
            <w:vAlign w:val="top"/>
          </w:tcPr>
          <w:p w14:paraId="43C029F8">
            <w:pPr>
              <w:spacing w:line="298" w:lineRule="auto"/>
              <w:rPr>
                <w:rFonts w:ascii="Arial"/>
                <w:sz w:val="21"/>
              </w:rPr>
            </w:pPr>
          </w:p>
          <w:p w14:paraId="452766DB">
            <w:pPr>
              <w:pStyle w:val="6"/>
              <w:spacing w:before="74" w:line="243" w:lineRule="auto"/>
              <w:ind w:left="228" w:right="220" w:hanging="1"/>
            </w:pPr>
            <w:r>
              <w:rPr>
                <w:spacing w:val="-3"/>
              </w:rPr>
              <w:t>社会</w:t>
            </w:r>
            <w:r>
              <w:rPr>
                <w:spacing w:val="-4"/>
              </w:rPr>
              <w:t>发展</w:t>
            </w:r>
          </w:p>
        </w:tc>
        <w:tc>
          <w:tcPr>
            <w:tcW w:w="521" w:type="dxa"/>
            <w:vAlign w:val="top"/>
          </w:tcPr>
          <w:p w14:paraId="19B4E01C">
            <w:pPr>
              <w:pStyle w:val="6"/>
              <w:spacing w:before="70" w:line="196" w:lineRule="auto"/>
              <w:ind w:left="212"/>
            </w:pPr>
            <w:r>
              <w:t>7</w:t>
            </w:r>
          </w:p>
        </w:tc>
        <w:tc>
          <w:tcPr>
            <w:tcW w:w="3351" w:type="dxa"/>
            <w:vAlign w:val="top"/>
          </w:tcPr>
          <w:p w14:paraId="5B8B13D6">
            <w:pPr>
              <w:pStyle w:val="6"/>
              <w:spacing w:before="70" w:line="196" w:lineRule="auto"/>
              <w:ind w:left="1257"/>
            </w:pPr>
            <w:r>
              <w:rPr>
                <w:spacing w:val="-1"/>
              </w:rPr>
              <w:t>社会就业</w:t>
            </w:r>
          </w:p>
        </w:tc>
        <w:tc>
          <w:tcPr>
            <w:tcW w:w="1075" w:type="dxa"/>
            <w:vAlign w:val="top"/>
          </w:tcPr>
          <w:p w14:paraId="34769907">
            <w:pPr>
              <w:pStyle w:val="6"/>
              <w:spacing w:before="70" w:line="196" w:lineRule="auto"/>
              <w:ind w:left="336"/>
            </w:pPr>
            <w:r>
              <w:rPr>
                <w:spacing w:val="-3"/>
              </w:rPr>
              <w:t>万人</w:t>
            </w:r>
          </w:p>
        </w:tc>
        <w:tc>
          <w:tcPr>
            <w:tcW w:w="1483" w:type="dxa"/>
            <w:vAlign w:val="top"/>
          </w:tcPr>
          <w:p w14:paraId="3C3850AB">
            <w:pPr>
              <w:pStyle w:val="6"/>
              <w:spacing w:before="70" w:line="196" w:lineRule="auto"/>
              <w:ind w:left="688"/>
            </w:pPr>
            <w:r>
              <w:t>2</w:t>
            </w:r>
          </w:p>
        </w:tc>
        <w:tc>
          <w:tcPr>
            <w:tcW w:w="1442" w:type="dxa"/>
            <w:vAlign w:val="top"/>
          </w:tcPr>
          <w:p w14:paraId="635D439B">
            <w:pPr>
              <w:pStyle w:val="6"/>
              <w:spacing w:before="70" w:line="196" w:lineRule="auto"/>
              <w:ind w:left="668"/>
            </w:pPr>
            <w:r>
              <w:t>3</w:t>
            </w:r>
          </w:p>
        </w:tc>
        <w:tc>
          <w:tcPr>
            <w:tcW w:w="1247" w:type="dxa"/>
            <w:vAlign w:val="top"/>
          </w:tcPr>
          <w:p w14:paraId="6C85385A">
            <w:pPr>
              <w:pStyle w:val="6"/>
              <w:spacing w:before="70" w:line="196" w:lineRule="auto"/>
              <w:ind w:left="571"/>
            </w:pPr>
            <w:r>
              <w:t>5</w:t>
            </w:r>
          </w:p>
        </w:tc>
      </w:tr>
      <w:tr w14:paraId="1E3F1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68" w:type="dxa"/>
            <w:vMerge w:val="continue"/>
            <w:tcBorders>
              <w:top w:val="nil"/>
              <w:bottom w:val="nil"/>
            </w:tcBorders>
            <w:vAlign w:val="top"/>
          </w:tcPr>
          <w:p w14:paraId="6AFFBB4C">
            <w:pPr>
              <w:rPr>
                <w:rFonts w:ascii="Arial"/>
                <w:sz w:val="21"/>
              </w:rPr>
            </w:pPr>
          </w:p>
        </w:tc>
        <w:tc>
          <w:tcPr>
            <w:tcW w:w="521" w:type="dxa"/>
            <w:vAlign w:val="top"/>
          </w:tcPr>
          <w:p w14:paraId="6B6CD92B">
            <w:pPr>
              <w:pStyle w:val="6"/>
              <w:spacing w:before="145" w:line="232" w:lineRule="auto"/>
              <w:ind w:left="204"/>
            </w:pPr>
            <w:r>
              <w:t>8</w:t>
            </w:r>
          </w:p>
        </w:tc>
        <w:tc>
          <w:tcPr>
            <w:tcW w:w="3351" w:type="dxa"/>
            <w:vAlign w:val="top"/>
          </w:tcPr>
          <w:p w14:paraId="56F48D45">
            <w:pPr>
              <w:pStyle w:val="6"/>
              <w:spacing w:before="145" w:line="207" w:lineRule="auto"/>
              <w:ind w:left="529"/>
            </w:pPr>
            <w:r>
              <w:rPr>
                <w:spacing w:val="-1"/>
              </w:rPr>
              <w:t>万元工业增加值能耗降低</w:t>
            </w:r>
          </w:p>
        </w:tc>
        <w:tc>
          <w:tcPr>
            <w:tcW w:w="1075" w:type="dxa"/>
            <w:vAlign w:val="top"/>
          </w:tcPr>
          <w:p w14:paraId="23E91D0E">
            <w:pPr>
              <w:rPr>
                <w:rFonts w:ascii="Arial"/>
                <w:sz w:val="21"/>
              </w:rPr>
            </w:pPr>
          </w:p>
        </w:tc>
        <w:tc>
          <w:tcPr>
            <w:tcW w:w="1483" w:type="dxa"/>
            <w:vAlign w:val="top"/>
          </w:tcPr>
          <w:p w14:paraId="6BC1298E">
            <w:pPr>
              <w:pStyle w:val="6"/>
              <w:spacing w:before="144" w:line="227" w:lineRule="auto"/>
              <w:ind w:left="570"/>
            </w:pPr>
            <w:r>
              <w:rPr>
                <w:spacing w:val="-6"/>
              </w:rPr>
              <w:t>15%</w:t>
            </w:r>
          </w:p>
        </w:tc>
        <w:tc>
          <w:tcPr>
            <w:tcW w:w="1442" w:type="dxa"/>
            <w:vAlign w:val="top"/>
          </w:tcPr>
          <w:p w14:paraId="7934BA72">
            <w:pPr>
              <w:pStyle w:val="6"/>
              <w:spacing w:before="144" w:line="227" w:lineRule="auto"/>
              <w:ind w:left="551"/>
            </w:pPr>
            <w:r>
              <w:rPr>
                <w:spacing w:val="-6"/>
              </w:rPr>
              <w:t>15%</w:t>
            </w:r>
          </w:p>
        </w:tc>
        <w:tc>
          <w:tcPr>
            <w:tcW w:w="1247" w:type="dxa"/>
            <w:vAlign w:val="top"/>
          </w:tcPr>
          <w:p w14:paraId="72366B29">
            <w:pPr>
              <w:pStyle w:val="6"/>
              <w:spacing w:before="144" w:line="227" w:lineRule="auto"/>
              <w:ind w:left="451"/>
            </w:pPr>
            <w:r>
              <w:rPr>
                <w:spacing w:val="-6"/>
              </w:rPr>
              <w:t>10%</w:t>
            </w:r>
          </w:p>
        </w:tc>
      </w:tr>
      <w:tr w14:paraId="7C51A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868" w:type="dxa"/>
            <w:vMerge w:val="continue"/>
            <w:tcBorders>
              <w:top w:val="nil"/>
            </w:tcBorders>
            <w:vAlign w:val="top"/>
          </w:tcPr>
          <w:p w14:paraId="3D0AE53D">
            <w:pPr>
              <w:rPr>
                <w:rFonts w:ascii="Arial"/>
                <w:sz w:val="21"/>
              </w:rPr>
            </w:pPr>
          </w:p>
        </w:tc>
        <w:tc>
          <w:tcPr>
            <w:tcW w:w="521" w:type="dxa"/>
            <w:vAlign w:val="top"/>
          </w:tcPr>
          <w:p w14:paraId="5CF4C5DA">
            <w:pPr>
              <w:pStyle w:val="6"/>
              <w:spacing w:before="119" w:line="232" w:lineRule="auto"/>
              <w:ind w:left="207"/>
            </w:pPr>
            <w:r>
              <w:t>9</w:t>
            </w:r>
          </w:p>
        </w:tc>
        <w:tc>
          <w:tcPr>
            <w:tcW w:w="3351" w:type="dxa"/>
            <w:vAlign w:val="top"/>
          </w:tcPr>
          <w:p w14:paraId="4175A9C1">
            <w:pPr>
              <w:pStyle w:val="6"/>
              <w:spacing w:before="119" w:line="206" w:lineRule="auto"/>
              <w:ind w:left="646"/>
            </w:pPr>
            <w:r>
              <w:rPr>
                <w:spacing w:val="-3"/>
              </w:rPr>
              <w:t>固体废弃物综合利用率</w:t>
            </w:r>
          </w:p>
        </w:tc>
        <w:tc>
          <w:tcPr>
            <w:tcW w:w="1075" w:type="dxa"/>
            <w:vAlign w:val="top"/>
          </w:tcPr>
          <w:p w14:paraId="5C971DC6">
            <w:pPr>
              <w:rPr>
                <w:rFonts w:ascii="Arial"/>
                <w:sz w:val="21"/>
              </w:rPr>
            </w:pPr>
          </w:p>
        </w:tc>
        <w:tc>
          <w:tcPr>
            <w:tcW w:w="1483" w:type="dxa"/>
            <w:vAlign w:val="top"/>
          </w:tcPr>
          <w:p w14:paraId="5529F37A">
            <w:pPr>
              <w:pStyle w:val="6"/>
              <w:spacing w:before="119" w:line="227" w:lineRule="auto"/>
              <w:ind w:left="556"/>
            </w:pPr>
            <w:r>
              <w:rPr>
                <w:spacing w:val="-3"/>
              </w:rPr>
              <w:t>75%</w:t>
            </w:r>
          </w:p>
        </w:tc>
        <w:tc>
          <w:tcPr>
            <w:tcW w:w="1442" w:type="dxa"/>
            <w:vAlign w:val="top"/>
          </w:tcPr>
          <w:p w14:paraId="4024FE8A">
            <w:pPr>
              <w:pStyle w:val="6"/>
              <w:spacing w:before="119" w:line="227" w:lineRule="auto"/>
              <w:ind w:left="537"/>
            </w:pPr>
            <w:r>
              <w:rPr>
                <w:spacing w:val="-3"/>
              </w:rPr>
              <w:t>75%</w:t>
            </w:r>
          </w:p>
        </w:tc>
        <w:tc>
          <w:tcPr>
            <w:tcW w:w="1247" w:type="dxa"/>
            <w:vAlign w:val="top"/>
          </w:tcPr>
          <w:p w14:paraId="24684B99">
            <w:pPr>
              <w:pStyle w:val="6"/>
              <w:spacing w:before="119" w:line="227" w:lineRule="auto"/>
              <w:ind w:left="428"/>
            </w:pPr>
            <w:r>
              <w:rPr>
                <w:spacing w:val="-1"/>
              </w:rPr>
              <w:t>80%</w:t>
            </w:r>
          </w:p>
        </w:tc>
      </w:tr>
    </w:tbl>
    <w:p w14:paraId="347F52AD">
      <w:pPr>
        <w:spacing w:before="315" w:line="219" w:lineRule="auto"/>
        <w:ind w:left="390"/>
        <w:rPr>
          <w:rFonts w:ascii="黑体" w:hAnsi="黑体" w:eastAsia="黑体" w:cs="黑体"/>
          <w:sz w:val="28"/>
          <w:szCs w:val="28"/>
        </w:rPr>
      </w:pPr>
      <w:r>
        <w:rPr>
          <w:rFonts w:ascii="黑体" w:hAnsi="黑体" w:eastAsia="黑体" w:cs="黑体"/>
          <w:spacing w:val="-3"/>
          <w:sz w:val="28"/>
          <w:szCs w:val="28"/>
        </w:rPr>
        <w:t>第十一条</w:t>
      </w:r>
      <w:r>
        <w:rPr>
          <w:rFonts w:ascii="黑体" w:hAnsi="黑体" w:eastAsia="黑体" w:cs="黑体"/>
          <w:spacing w:val="85"/>
          <w:sz w:val="28"/>
          <w:szCs w:val="28"/>
        </w:rPr>
        <w:t xml:space="preserve"> </w:t>
      </w:r>
      <w:r>
        <w:rPr>
          <w:rFonts w:ascii="黑体" w:hAnsi="黑体" w:eastAsia="黑体" w:cs="黑体"/>
          <w:spacing w:val="-3"/>
          <w:sz w:val="28"/>
          <w:szCs w:val="28"/>
        </w:rPr>
        <w:t>发展规模</w:t>
      </w:r>
    </w:p>
    <w:p w14:paraId="407CF3A3">
      <w:pPr>
        <w:spacing w:line="312" w:lineRule="auto"/>
        <w:rPr>
          <w:rFonts w:ascii="Arial"/>
          <w:sz w:val="21"/>
        </w:rPr>
      </w:pPr>
    </w:p>
    <w:p w14:paraId="06CBDD70">
      <w:pPr>
        <w:pStyle w:val="2"/>
        <w:spacing w:before="78" w:line="376" w:lineRule="auto"/>
        <w:ind w:left="39" w:right="750" w:firstLine="480"/>
        <w:jc w:val="both"/>
      </w:pPr>
      <w:r>
        <w:rPr>
          <w:spacing w:val="-1"/>
        </w:rPr>
        <w:t>规划钒钛产业开发区规划建设范围为</w:t>
      </w:r>
      <w:r>
        <w:rPr>
          <w:spacing w:val="-33"/>
        </w:rPr>
        <w:t xml:space="preserve"> </w:t>
      </w:r>
      <w:r>
        <w:rPr>
          <w:rFonts w:ascii="Times New Roman" w:hAnsi="Times New Roman" w:eastAsia="Times New Roman" w:cs="Times New Roman"/>
          <w:spacing w:val="-1"/>
        </w:rPr>
        <w:t>34.81</w:t>
      </w:r>
      <w:r>
        <w:rPr>
          <w:rFonts w:ascii="Times New Roman" w:hAnsi="Times New Roman" w:eastAsia="Times New Roman" w:cs="Times New Roman"/>
          <w:spacing w:val="26"/>
        </w:rPr>
        <w:t xml:space="preserve"> </w:t>
      </w:r>
      <w:r>
        <w:rPr>
          <w:spacing w:val="-1"/>
        </w:rPr>
        <w:t>平方</w:t>
      </w:r>
      <w:r>
        <w:rPr>
          <w:spacing w:val="-2"/>
        </w:rPr>
        <w:t>公里，</w:t>
      </w:r>
      <w:r>
        <w:rPr>
          <w:b/>
          <w:bCs/>
          <w:spacing w:val="-2"/>
          <w:u w:val="single" w:color="auto"/>
        </w:rPr>
        <w:t>建设用地规模控制在</w:t>
      </w:r>
      <w:r>
        <w:rPr>
          <w:spacing w:val="-33"/>
          <w:u w:val="single" w:color="auto"/>
        </w:rPr>
        <w:t xml:space="preserve"> </w:t>
      </w:r>
      <w:r>
        <w:rPr>
          <w:rFonts w:ascii="Times New Roman" w:hAnsi="Times New Roman" w:eastAsia="Times New Roman" w:cs="Times New Roman"/>
          <w:b/>
          <w:bCs/>
          <w:spacing w:val="-2"/>
          <w:u w:val="single" w:color="auto"/>
        </w:rPr>
        <w:t>20.79</w:t>
      </w:r>
      <w:r>
        <w:rPr>
          <w:rFonts w:ascii="Times New Roman" w:hAnsi="Times New Roman" w:eastAsia="Times New Roman" w:cs="Times New Roman"/>
          <w:b/>
          <w:bCs/>
          <w:spacing w:val="25"/>
          <w:w w:val="101"/>
          <w:u w:val="single" w:color="auto"/>
        </w:rPr>
        <w:t xml:space="preserve"> </w:t>
      </w:r>
      <w:r>
        <w:rPr>
          <w:b/>
          <w:bCs/>
          <w:spacing w:val="-2"/>
          <w:u w:val="single" w:color="auto"/>
        </w:rPr>
        <w:t>平方公里以内，</w:t>
      </w:r>
      <w:r>
        <w:rPr>
          <w:spacing w:val="-2"/>
        </w:rPr>
        <w:t xml:space="preserve">工业用地面积 </w:t>
      </w:r>
      <w:r>
        <w:rPr>
          <w:rFonts w:ascii="Times New Roman" w:hAnsi="Times New Roman" w:eastAsia="Times New Roman" w:cs="Times New Roman"/>
          <w:spacing w:val="-2"/>
        </w:rPr>
        <w:t>15.46</w:t>
      </w:r>
      <w:r>
        <w:rPr>
          <w:rFonts w:ascii="Times New Roman" w:hAnsi="Times New Roman" w:eastAsia="Times New Roman" w:cs="Times New Roman"/>
          <w:spacing w:val="27"/>
          <w:w w:val="101"/>
        </w:rPr>
        <w:t xml:space="preserve"> </w:t>
      </w:r>
      <w:r>
        <w:rPr>
          <w:spacing w:val="-2"/>
        </w:rPr>
        <w:t>平方公里。其中安宁</w:t>
      </w:r>
      <w:r>
        <w:rPr>
          <w:spacing w:val="-3"/>
        </w:rPr>
        <w:t xml:space="preserve">片区规划建设范围为 </w:t>
      </w:r>
      <w:r>
        <w:rPr>
          <w:rFonts w:ascii="Times New Roman" w:hAnsi="Times New Roman" w:eastAsia="Times New Roman" w:cs="Times New Roman"/>
          <w:spacing w:val="-3"/>
        </w:rPr>
        <w:t>14.91</w:t>
      </w:r>
      <w:r>
        <w:rPr>
          <w:rFonts w:ascii="Times New Roman" w:hAnsi="Times New Roman" w:eastAsia="Times New Roman" w:cs="Times New Roman"/>
          <w:spacing w:val="27"/>
          <w:w w:val="101"/>
        </w:rPr>
        <w:t xml:space="preserve"> </w:t>
      </w:r>
      <w:r>
        <w:rPr>
          <w:spacing w:val="-3"/>
        </w:rPr>
        <w:t>平方公里，</w:t>
      </w:r>
      <w:r>
        <w:rPr>
          <w:b/>
          <w:bCs/>
          <w:spacing w:val="-3"/>
          <w:u w:val="single" w:color="auto"/>
        </w:rPr>
        <w:t>建设用地</w:t>
      </w:r>
      <w:r>
        <w:rPr>
          <w:rFonts w:hint="eastAsia"/>
          <w:b/>
          <w:bCs/>
          <w:spacing w:val="-3"/>
          <w:u w:val="single" w:color="auto"/>
          <w:lang w:eastAsia="zh-CN"/>
        </w:rPr>
        <w:t>规模</w:t>
      </w:r>
      <w:r>
        <w:rPr>
          <w:b/>
          <w:bCs/>
          <w:spacing w:val="-1"/>
          <w:u w:val="single" w:color="auto"/>
        </w:rPr>
        <w:t>控制在</w:t>
      </w:r>
      <w:r>
        <w:rPr>
          <w:spacing w:val="-1"/>
          <w:u w:val="single" w:color="auto"/>
        </w:rPr>
        <w:t xml:space="preserve"> </w:t>
      </w:r>
      <w:r>
        <w:rPr>
          <w:rFonts w:ascii="Times New Roman" w:hAnsi="Times New Roman" w:eastAsia="Times New Roman" w:cs="Times New Roman"/>
          <w:b/>
          <w:bCs/>
          <w:spacing w:val="-1"/>
          <w:u w:val="single" w:color="auto"/>
        </w:rPr>
        <w:t xml:space="preserve">10.41  </w:t>
      </w:r>
      <w:r>
        <w:rPr>
          <w:b/>
          <w:bCs/>
          <w:spacing w:val="-1"/>
          <w:u w:val="single" w:color="auto"/>
        </w:rPr>
        <w:t>平方公里以内，</w:t>
      </w:r>
      <w:r>
        <w:rPr>
          <w:spacing w:val="-2"/>
        </w:rPr>
        <w:t xml:space="preserve">工业用地规模为 </w:t>
      </w:r>
      <w:r>
        <w:rPr>
          <w:rFonts w:ascii="Times New Roman" w:hAnsi="Times New Roman" w:eastAsia="Times New Roman" w:cs="Times New Roman"/>
          <w:spacing w:val="-2"/>
        </w:rPr>
        <w:t>7.85</w:t>
      </w:r>
      <w:r>
        <w:rPr>
          <w:rFonts w:ascii="Times New Roman" w:hAnsi="Times New Roman" w:eastAsia="Times New Roman" w:cs="Times New Roman"/>
          <w:spacing w:val="57"/>
          <w:w w:val="101"/>
        </w:rPr>
        <w:t xml:space="preserve"> </w:t>
      </w:r>
      <w:r>
        <w:rPr>
          <w:spacing w:val="-2"/>
        </w:rPr>
        <w:t>平方公里；新九片区规划建设范围为</w:t>
      </w:r>
      <w:r>
        <w:rPr>
          <w:rFonts w:ascii="Times New Roman" w:hAnsi="Times New Roman" w:eastAsia="Times New Roman" w:cs="Times New Roman"/>
          <w:spacing w:val="-2"/>
        </w:rPr>
        <w:t xml:space="preserve">19.90 </w:t>
      </w:r>
      <w:r>
        <w:rPr>
          <w:spacing w:val="-2"/>
        </w:rPr>
        <w:t>平方公里，</w:t>
      </w:r>
      <w:r>
        <w:rPr>
          <w:b/>
          <w:bCs/>
          <w:spacing w:val="-2"/>
          <w:u w:val="single" w:color="auto"/>
        </w:rPr>
        <w:t>建设用地规模控制在</w:t>
      </w:r>
      <w:r>
        <w:rPr>
          <w:spacing w:val="-29"/>
          <w:u w:val="single" w:color="auto"/>
        </w:rPr>
        <w:t xml:space="preserve"> </w:t>
      </w:r>
      <w:r>
        <w:rPr>
          <w:rFonts w:ascii="Times New Roman" w:hAnsi="Times New Roman" w:eastAsia="Times New Roman" w:cs="Times New Roman"/>
          <w:b/>
          <w:bCs/>
          <w:spacing w:val="-2"/>
          <w:u w:val="single" w:color="auto"/>
        </w:rPr>
        <w:t xml:space="preserve">10.38 </w:t>
      </w:r>
      <w:r>
        <w:rPr>
          <w:b/>
          <w:bCs/>
          <w:spacing w:val="-2"/>
          <w:u w:val="single" w:color="auto"/>
        </w:rPr>
        <w:t>平方公里以内</w:t>
      </w:r>
      <w:r>
        <w:rPr>
          <w:spacing w:val="-2"/>
        </w:rPr>
        <w:t>，工业用地规模为</w:t>
      </w:r>
      <w:r>
        <w:rPr>
          <w:spacing w:val="-51"/>
        </w:rPr>
        <w:t xml:space="preserve"> </w:t>
      </w:r>
      <w:r>
        <w:rPr>
          <w:rFonts w:ascii="Times New Roman" w:hAnsi="Times New Roman" w:eastAsia="Times New Roman" w:cs="Times New Roman"/>
          <w:spacing w:val="-2"/>
        </w:rPr>
        <w:t xml:space="preserve">7.61 </w:t>
      </w:r>
      <w:r>
        <w:rPr>
          <w:spacing w:val="-2"/>
        </w:rPr>
        <w:t>平方公里。</w:t>
      </w:r>
    </w:p>
    <w:p w14:paraId="70856C8E">
      <w:pPr>
        <w:spacing w:line="14" w:lineRule="auto"/>
        <w:rPr>
          <w:rFonts w:ascii="Arial"/>
          <w:sz w:val="2"/>
        </w:rPr>
      </w:pPr>
      <w:r>
        <w:rPr>
          <w:rFonts w:ascii="Arial" w:hAnsi="Arial" w:eastAsia="Arial" w:cs="Arial"/>
          <w:sz w:val="2"/>
          <w:szCs w:val="2"/>
        </w:rPr>
        <w:br w:type="column"/>
      </w:r>
    </w:p>
    <w:p w14:paraId="43E5B7B5">
      <w:pPr>
        <w:spacing w:before="61" w:line="224" w:lineRule="auto"/>
        <w:ind w:left="3436"/>
        <w:rPr>
          <w:rFonts w:ascii="黑体" w:hAnsi="黑体" w:eastAsia="黑体" w:cs="黑体"/>
          <w:sz w:val="31"/>
          <w:szCs w:val="31"/>
        </w:rPr>
      </w:pPr>
      <w:bookmarkStart w:id="2" w:name="bookmark3"/>
      <w:bookmarkEnd w:id="2"/>
      <w:r>
        <w:rPr>
          <w:rFonts w:ascii="黑体" w:hAnsi="黑体" w:eastAsia="黑体" w:cs="黑体"/>
          <w:spacing w:val="7"/>
          <w:sz w:val="31"/>
          <w:szCs w:val="31"/>
        </w:rPr>
        <w:t>第三章</w:t>
      </w:r>
      <w:r>
        <w:rPr>
          <w:rFonts w:ascii="黑体" w:hAnsi="黑体" w:eastAsia="黑体" w:cs="黑体"/>
          <w:spacing w:val="1"/>
          <w:sz w:val="31"/>
          <w:szCs w:val="31"/>
        </w:rPr>
        <w:t xml:space="preserve">  </w:t>
      </w:r>
      <w:r>
        <w:rPr>
          <w:rFonts w:ascii="黑体" w:hAnsi="黑体" w:eastAsia="黑体" w:cs="黑体"/>
          <w:spacing w:val="7"/>
          <w:sz w:val="31"/>
          <w:szCs w:val="31"/>
        </w:rPr>
        <w:t>产业发展规划</w:t>
      </w:r>
    </w:p>
    <w:p w14:paraId="459C6F2F">
      <w:pPr>
        <w:spacing w:line="267" w:lineRule="auto"/>
        <w:rPr>
          <w:rFonts w:ascii="Arial"/>
          <w:sz w:val="21"/>
        </w:rPr>
      </w:pPr>
    </w:p>
    <w:p w14:paraId="1570E6A7">
      <w:pPr>
        <w:spacing w:line="267" w:lineRule="auto"/>
        <w:rPr>
          <w:rFonts w:ascii="Arial"/>
          <w:sz w:val="21"/>
        </w:rPr>
      </w:pPr>
    </w:p>
    <w:p w14:paraId="56FEF793">
      <w:pPr>
        <w:spacing w:before="91" w:line="219" w:lineRule="auto"/>
        <w:ind w:left="352"/>
        <w:rPr>
          <w:rFonts w:ascii="黑体" w:hAnsi="黑体" w:eastAsia="黑体" w:cs="黑体"/>
          <w:sz w:val="28"/>
          <w:szCs w:val="28"/>
        </w:rPr>
      </w:pPr>
      <w:r>
        <w:rPr>
          <w:rFonts w:ascii="黑体" w:hAnsi="黑体" w:eastAsia="黑体" w:cs="黑体"/>
          <w:spacing w:val="-2"/>
          <w:sz w:val="28"/>
          <w:szCs w:val="28"/>
        </w:rPr>
        <w:t>第十二条</w:t>
      </w:r>
      <w:r>
        <w:rPr>
          <w:rFonts w:ascii="黑体" w:hAnsi="黑体" w:eastAsia="黑体" w:cs="黑体"/>
          <w:spacing w:val="80"/>
          <w:sz w:val="28"/>
          <w:szCs w:val="28"/>
        </w:rPr>
        <w:t xml:space="preserve"> </w:t>
      </w:r>
      <w:r>
        <w:rPr>
          <w:rFonts w:ascii="黑体" w:hAnsi="黑体" w:eastAsia="黑体" w:cs="黑体"/>
          <w:spacing w:val="-2"/>
          <w:sz w:val="28"/>
          <w:szCs w:val="28"/>
        </w:rPr>
        <w:t>产业发展体系</w:t>
      </w:r>
    </w:p>
    <w:p w14:paraId="16F18547">
      <w:pPr>
        <w:spacing w:line="308" w:lineRule="auto"/>
        <w:rPr>
          <w:rFonts w:ascii="Arial"/>
          <w:sz w:val="21"/>
        </w:rPr>
      </w:pPr>
    </w:p>
    <w:p w14:paraId="232DFD01">
      <w:pPr>
        <w:pStyle w:val="2"/>
        <w:spacing w:before="78" w:line="374" w:lineRule="auto"/>
        <w:ind w:firstLine="484"/>
        <w:jc w:val="both"/>
      </w:pPr>
      <w:r>
        <w:rPr>
          <w:spacing w:val="-2"/>
        </w:rPr>
        <w:t>打造“钒钛及新材料产业、高端机械制造产业、新型现代矿业精深加工产业</w:t>
      </w:r>
      <w:r>
        <w:rPr>
          <w:spacing w:val="-89"/>
        </w:rPr>
        <w:t xml:space="preserve"> </w:t>
      </w:r>
      <w:r>
        <w:rPr>
          <w:spacing w:val="-2"/>
        </w:rPr>
        <w:t>”三大</w:t>
      </w:r>
      <w:r>
        <w:rPr>
          <w:spacing w:val="-3"/>
        </w:rPr>
        <w:t>核心主导</w:t>
      </w:r>
      <w:r>
        <w:rPr>
          <w:spacing w:val="-2"/>
        </w:rPr>
        <w:t>产业，并加快发展“清洁能源循环经济产业、</w:t>
      </w:r>
      <w:r>
        <w:rPr>
          <w:rFonts w:hint="eastAsia"/>
          <w:spacing w:val="-2"/>
          <w:lang w:eastAsia="zh-CN"/>
        </w:rPr>
        <w:t>生产性服务业</w:t>
      </w:r>
      <w:r>
        <w:rPr>
          <w:spacing w:val="-2"/>
        </w:rPr>
        <w:t>”两大配套产业，整</w:t>
      </w:r>
      <w:r>
        <w:rPr>
          <w:spacing w:val="-3"/>
        </w:rPr>
        <w:t>体形成“</w:t>
      </w:r>
      <w:r>
        <w:rPr>
          <w:rFonts w:ascii="Times New Roman" w:hAnsi="Times New Roman" w:eastAsia="Times New Roman" w:cs="Times New Roman"/>
          <w:spacing w:val="-3"/>
        </w:rPr>
        <w:t>3+2</w:t>
      </w:r>
      <w:r>
        <w:rPr>
          <w:rFonts w:ascii="Times New Roman" w:hAnsi="Times New Roman" w:eastAsia="Times New Roman" w:cs="Times New Roman"/>
          <w:spacing w:val="-28"/>
        </w:rPr>
        <w:t xml:space="preserve"> </w:t>
      </w:r>
      <w:r>
        <w:rPr>
          <w:spacing w:val="-3"/>
        </w:rPr>
        <w:t>”的盐边钒钛产业开发区产业体系。</w:t>
      </w:r>
    </w:p>
    <w:p w14:paraId="6167A513">
      <w:pPr>
        <w:spacing w:before="201" w:line="219" w:lineRule="auto"/>
        <w:ind w:left="352"/>
        <w:rPr>
          <w:rFonts w:ascii="黑体" w:hAnsi="黑体" w:eastAsia="黑体" w:cs="黑体"/>
          <w:sz w:val="28"/>
          <w:szCs w:val="28"/>
        </w:rPr>
      </w:pPr>
      <w:r>
        <w:rPr>
          <w:rFonts w:ascii="黑体" w:hAnsi="黑体" w:eastAsia="黑体" w:cs="黑体"/>
          <w:spacing w:val="-2"/>
          <w:sz w:val="28"/>
          <w:szCs w:val="28"/>
        </w:rPr>
        <w:t>第十三条</w:t>
      </w:r>
      <w:r>
        <w:rPr>
          <w:rFonts w:ascii="黑体" w:hAnsi="黑体" w:eastAsia="黑体" w:cs="黑体"/>
          <w:spacing w:val="80"/>
          <w:sz w:val="28"/>
          <w:szCs w:val="28"/>
        </w:rPr>
        <w:t xml:space="preserve"> </w:t>
      </w:r>
      <w:r>
        <w:rPr>
          <w:rFonts w:ascii="黑体" w:hAnsi="黑体" w:eastAsia="黑体" w:cs="黑体"/>
          <w:spacing w:val="-2"/>
          <w:sz w:val="28"/>
          <w:szCs w:val="28"/>
        </w:rPr>
        <w:t>产业空间布局</w:t>
      </w:r>
    </w:p>
    <w:p w14:paraId="5C29C935">
      <w:pPr>
        <w:spacing w:line="440" w:lineRule="auto"/>
        <w:rPr>
          <w:rFonts w:ascii="Arial"/>
          <w:sz w:val="21"/>
        </w:rPr>
      </w:pPr>
    </w:p>
    <w:p w14:paraId="66F1CAA7">
      <w:pPr>
        <w:spacing w:before="78" w:line="218" w:lineRule="auto"/>
        <w:ind w:left="485"/>
        <w:rPr>
          <w:rFonts w:ascii="黑体" w:hAnsi="黑体" w:eastAsia="黑体" w:cs="黑体"/>
          <w:sz w:val="24"/>
          <w:szCs w:val="24"/>
        </w:rPr>
      </w:pPr>
      <w:r>
        <w:rPr>
          <w:rFonts w:ascii="黑体" w:hAnsi="黑体" w:eastAsia="黑体" w:cs="黑体"/>
          <w:spacing w:val="-2"/>
          <w:sz w:val="24"/>
          <w:szCs w:val="24"/>
        </w:rPr>
        <w:t>一、钒钛及新材料产业</w:t>
      </w:r>
    </w:p>
    <w:p w14:paraId="5B03687B">
      <w:pPr>
        <w:spacing w:line="384" w:lineRule="auto"/>
        <w:rPr>
          <w:rFonts w:ascii="Arial"/>
          <w:sz w:val="21"/>
        </w:rPr>
      </w:pPr>
    </w:p>
    <w:p w14:paraId="722ECA29">
      <w:pPr>
        <w:pStyle w:val="2"/>
        <w:spacing w:before="78" w:line="377" w:lineRule="auto"/>
        <w:ind w:right="118" w:firstLine="483"/>
      </w:pPr>
      <w:r>
        <w:rPr>
          <w:spacing w:val="-7"/>
        </w:rPr>
        <w:t>主要布局于安宁片区南部与中部，将着力加强科技研发，积极延伸产业链，重点发展钛原</w:t>
      </w:r>
      <w:r>
        <w:rPr>
          <w:spacing w:val="-8"/>
        </w:rPr>
        <w:t>料、</w:t>
      </w:r>
      <w:r>
        <w:rPr>
          <w:spacing w:val="-1"/>
        </w:rPr>
        <w:t>钛化工、钛金属及钛精深加工等产品。加快培育钒钛及石墨新材料产业集群。同时加强</w:t>
      </w:r>
      <w:r>
        <w:rPr>
          <w:spacing w:val="-2"/>
        </w:rPr>
        <w:t>钒钛产业</w:t>
      </w:r>
      <w:r>
        <w:rPr>
          <w:spacing w:val="-1"/>
        </w:rPr>
        <w:t>链的发展，推进钛化工产业，发展氯化钛白粉、硫酸钛白粉等。新九片区可根据未来需</w:t>
      </w:r>
      <w:r>
        <w:rPr>
          <w:spacing w:val="-2"/>
        </w:rPr>
        <w:t>求发展包含氯化钛白、硫酸钛白等钛化工在内的钒钛及新材料产业。</w:t>
      </w:r>
    </w:p>
    <w:p w14:paraId="365CD98D">
      <w:pPr>
        <w:spacing w:before="259" w:line="218" w:lineRule="auto"/>
        <w:ind w:left="485"/>
        <w:rPr>
          <w:rFonts w:ascii="黑体" w:hAnsi="黑体" w:eastAsia="黑体" w:cs="黑体"/>
          <w:sz w:val="24"/>
          <w:szCs w:val="24"/>
        </w:rPr>
      </w:pPr>
      <w:r>
        <w:rPr>
          <w:rFonts w:ascii="黑体" w:hAnsi="黑体" w:eastAsia="黑体" w:cs="黑体"/>
          <w:spacing w:val="-1"/>
          <w:sz w:val="24"/>
          <w:szCs w:val="24"/>
        </w:rPr>
        <w:t>二、新型现代矿业精深加工产业</w:t>
      </w:r>
    </w:p>
    <w:p w14:paraId="330351B1">
      <w:pPr>
        <w:spacing w:line="382" w:lineRule="auto"/>
        <w:rPr>
          <w:rFonts w:ascii="Arial"/>
          <w:sz w:val="21"/>
        </w:rPr>
      </w:pPr>
    </w:p>
    <w:p w14:paraId="11133E57">
      <w:pPr>
        <w:pStyle w:val="2"/>
        <w:spacing w:before="78" w:line="219" w:lineRule="auto"/>
        <w:ind w:left="441"/>
      </w:pPr>
      <w:r>
        <w:rPr>
          <w:spacing w:val="-5"/>
        </w:rPr>
        <w:t>1.</w:t>
      </w:r>
      <w:r>
        <w:rPr>
          <w:spacing w:val="71"/>
        </w:rPr>
        <w:t xml:space="preserve"> </w:t>
      </w:r>
      <w:r>
        <w:rPr>
          <w:spacing w:val="-5"/>
        </w:rPr>
        <w:t>精深加工产业</w:t>
      </w:r>
    </w:p>
    <w:p w14:paraId="53181931">
      <w:pPr>
        <w:pStyle w:val="2"/>
        <w:spacing w:before="204" w:line="376" w:lineRule="auto"/>
        <w:ind w:left="4" w:right="167" w:firstLine="503"/>
      </w:pPr>
      <w:r>
        <w:rPr>
          <w:spacing w:val="-9"/>
        </w:rPr>
        <w:t>以建设攀西地区钒钛资源原料供应基地为目标，整合、扩大采选及球团产能，通过技术创新，</w:t>
      </w:r>
      <w:r>
        <w:rPr>
          <w:spacing w:val="-2"/>
        </w:rPr>
        <w:t>发展矿产资源的适度延伸加工、精细化、精深加工。</w:t>
      </w:r>
    </w:p>
    <w:p w14:paraId="0BB9331A">
      <w:pPr>
        <w:pStyle w:val="2"/>
        <w:spacing w:before="1" w:line="218" w:lineRule="auto"/>
        <w:ind w:left="426"/>
      </w:pPr>
      <w:r>
        <w:rPr>
          <w:spacing w:val="-2"/>
        </w:rPr>
        <w:t>2.</w:t>
      </w:r>
      <w:r>
        <w:rPr>
          <w:spacing w:val="68"/>
        </w:rPr>
        <w:t xml:space="preserve"> </w:t>
      </w:r>
      <w:r>
        <w:rPr>
          <w:spacing w:val="-2"/>
        </w:rPr>
        <w:t>钒钛磁铁矿采矿业</w:t>
      </w:r>
    </w:p>
    <w:p w14:paraId="1A879AD0">
      <w:pPr>
        <w:pStyle w:val="2"/>
        <w:spacing w:before="208" w:line="376" w:lineRule="auto"/>
        <w:ind w:left="1" w:right="118" w:firstLine="506"/>
      </w:pPr>
      <w:r>
        <w:rPr>
          <w:spacing w:val="-9"/>
        </w:rPr>
        <w:t>以新九片区东部和南部矿区为主体，重点发展钒钛磁铁矿开采、洗选、尾矿处理等产业项目；</w:t>
      </w:r>
      <w:r>
        <w:rPr>
          <w:spacing w:val="-1"/>
        </w:rPr>
        <w:t>区域内严格控制其大气和粉尘的排放，整合采矿和洗选能力，改善生产、排放、尾</w:t>
      </w:r>
      <w:r>
        <w:rPr>
          <w:spacing w:val="-2"/>
        </w:rPr>
        <w:t>矿处理工艺和</w:t>
      </w:r>
      <w:r>
        <w:rPr>
          <w:spacing w:val="-1"/>
        </w:rPr>
        <w:t>技术，鼓励发展循环经济，注重生态环保。对环境影响较大的现状企业应逐步搬迁</w:t>
      </w:r>
      <w:r>
        <w:rPr>
          <w:spacing w:val="-2"/>
        </w:rPr>
        <w:t>或关闭；在规</w:t>
      </w:r>
      <w:r>
        <w:rPr>
          <w:spacing w:val="-1"/>
        </w:rPr>
        <w:t>范矿藏开采，充分利用表外矿，提高资源利用率的同时，强化废弃矿山的生态</w:t>
      </w:r>
      <w:r>
        <w:rPr>
          <w:spacing w:val="-2"/>
        </w:rPr>
        <w:t>恢复和治理，推进</w:t>
      </w:r>
      <w:r>
        <w:rPr>
          <w:spacing w:val="-8"/>
        </w:rPr>
        <w:t>绿色发展。</w:t>
      </w:r>
    </w:p>
    <w:p w14:paraId="71CA11B1">
      <w:pPr>
        <w:pStyle w:val="2"/>
        <w:spacing w:line="219" w:lineRule="auto"/>
        <w:ind w:left="428"/>
      </w:pPr>
      <w:r>
        <w:rPr>
          <w:spacing w:val="-3"/>
        </w:rPr>
        <w:t>3.</w:t>
      </w:r>
      <w:r>
        <w:rPr>
          <w:spacing w:val="68"/>
        </w:rPr>
        <w:t xml:space="preserve"> </w:t>
      </w:r>
      <w:r>
        <w:rPr>
          <w:spacing w:val="-3"/>
        </w:rPr>
        <w:t>矿业洗选业</w:t>
      </w:r>
    </w:p>
    <w:p w14:paraId="6F7FA8BA">
      <w:pPr>
        <w:pStyle w:val="2"/>
        <w:spacing w:before="202" w:line="281" w:lineRule="auto"/>
        <w:ind w:right="115" w:firstLine="483"/>
      </w:pPr>
      <w:r>
        <w:rPr>
          <w:spacing w:val="-1"/>
        </w:rPr>
        <w:t>主要布局于新九片区中部和北部较低地段以及芦林区域，依托现有大中型企业</w:t>
      </w:r>
      <w:r>
        <w:rPr>
          <w:spacing w:val="-2"/>
        </w:rPr>
        <w:t>，引导相关企</w:t>
      </w:r>
      <w:r>
        <w:rPr>
          <w:spacing w:val="-5"/>
        </w:rPr>
        <w:t>业逐步整合、规模化发展。加强环境保护和污染治理，将矿产洗选产业做大、做强、做优。</w:t>
      </w:r>
      <w:r>
        <w:rPr>
          <w:spacing w:val="48"/>
        </w:rPr>
        <w:t xml:space="preserve"> </w:t>
      </w:r>
      <w:r>
        <w:rPr>
          <w:spacing w:val="-5"/>
        </w:rPr>
        <w:t>安宁</w:t>
      </w:r>
    </w:p>
    <w:p w14:paraId="6C30E23E">
      <w:pPr>
        <w:spacing w:line="281" w:lineRule="auto"/>
        <w:sectPr>
          <w:type w:val="continuous"/>
          <w:pgSz w:w="23811" w:h="16839"/>
          <w:pgMar w:top="1274" w:right="1320" w:bottom="1613" w:left="1411" w:header="838" w:footer="1386" w:gutter="0"/>
          <w:cols w:equalWidth="0" w:num="2">
            <w:col w:w="10825" w:space="100"/>
            <w:col w:w="10155"/>
          </w:cols>
        </w:sectPr>
      </w:pPr>
    </w:p>
    <w:p w14:paraId="681B7699">
      <w:pPr>
        <w:spacing w:line="22" w:lineRule="exact"/>
      </w:pPr>
    </w:p>
    <w:p w14:paraId="206C7DEF">
      <w:pPr>
        <w:spacing w:line="22" w:lineRule="exact"/>
        <w:sectPr>
          <w:headerReference r:id="rId13" w:type="default"/>
          <w:footerReference r:id="rId14" w:type="default"/>
          <w:pgSz w:w="23811" w:h="16839"/>
          <w:pgMar w:top="1274" w:right="1253" w:bottom="1613" w:left="1411" w:header="838" w:footer="1385" w:gutter="0"/>
          <w:cols w:equalWidth="0" w:num="1">
            <w:col w:w="21147"/>
          </w:cols>
        </w:sectPr>
      </w:pPr>
    </w:p>
    <w:p w14:paraId="11BC9216">
      <w:pPr>
        <w:pStyle w:val="2"/>
        <w:spacing w:before="63" w:line="220" w:lineRule="auto"/>
        <w:ind w:left="43"/>
      </w:pPr>
      <w:r>
        <w:rPr>
          <w:spacing w:val="-1"/>
        </w:rPr>
        <w:t>片区可根据未来需求发展矿业洗选业。</w:t>
      </w:r>
    </w:p>
    <w:p w14:paraId="61EB8D71">
      <w:pPr>
        <w:spacing w:line="385" w:lineRule="auto"/>
        <w:rPr>
          <w:rFonts w:ascii="Arial"/>
          <w:sz w:val="21"/>
        </w:rPr>
      </w:pPr>
    </w:p>
    <w:p w14:paraId="1FCC1AB5">
      <w:pPr>
        <w:spacing w:before="78" w:line="218" w:lineRule="auto"/>
        <w:ind w:left="522"/>
        <w:rPr>
          <w:rFonts w:ascii="黑体" w:hAnsi="黑体" w:eastAsia="黑体" w:cs="黑体"/>
          <w:sz w:val="24"/>
          <w:szCs w:val="24"/>
        </w:rPr>
      </w:pPr>
      <w:r>
        <w:rPr>
          <w:rFonts w:ascii="黑体" w:hAnsi="黑体" w:eastAsia="黑体" w:cs="黑体"/>
          <w:spacing w:val="-2"/>
          <w:sz w:val="24"/>
          <w:szCs w:val="24"/>
        </w:rPr>
        <w:t>三、高端机械制造产业</w:t>
      </w:r>
    </w:p>
    <w:p w14:paraId="26CEC61C">
      <w:pPr>
        <w:spacing w:line="381" w:lineRule="auto"/>
        <w:rPr>
          <w:rFonts w:ascii="Arial"/>
          <w:sz w:val="21"/>
        </w:rPr>
      </w:pPr>
    </w:p>
    <w:p w14:paraId="3DBF8C83">
      <w:pPr>
        <w:pStyle w:val="2"/>
        <w:spacing w:before="78" w:line="377" w:lineRule="auto"/>
        <w:ind w:left="37" w:right="628" w:firstLine="480"/>
        <w:jc w:val="both"/>
      </w:pPr>
      <w:r>
        <w:rPr>
          <w:spacing w:val="-1"/>
        </w:rPr>
        <w:t>位于安宁片区中北部，重点发展战略性高端钢材、特种钢与锻件产业、高端</w:t>
      </w:r>
      <w:r>
        <w:rPr>
          <w:spacing w:val="-2"/>
        </w:rPr>
        <w:t>耐磨铸件及含钒</w:t>
      </w:r>
      <w:r>
        <w:rPr>
          <w:spacing w:val="-6"/>
        </w:rPr>
        <w:t>钛铸件产品、汽车零部件配套产品、冶金备品备件和选矿配套设备、压板等零配件；</w:t>
      </w:r>
      <w:r>
        <w:rPr>
          <w:spacing w:val="84"/>
        </w:rPr>
        <w:t xml:space="preserve"> </w:t>
      </w:r>
      <w:r>
        <w:rPr>
          <w:spacing w:val="-6"/>
        </w:rPr>
        <w:t>同时发展直</w:t>
      </w:r>
      <w:r>
        <w:rPr>
          <w:spacing w:val="-5"/>
        </w:rPr>
        <w:t>接还原铁、特种钢铁延伸加工业，</w:t>
      </w:r>
      <w:r>
        <w:rPr>
          <w:spacing w:val="57"/>
        </w:rPr>
        <w:t xml:space="preserve"> </w:t>
      </w:r>
      <w:r>
        <w:rPr>
          <w:spacing w:val="-5"/>
        </w:rPr>
        <w:t>包括延伸精深加工，突出发展优质钢、</w:t>
      </w:r>
      <w:r>
        <w:rPr>
          <w:spacing w:val="-6"/>
        </w:rPr>
        <w:t>合金钢、低合金钢、不</w:t>
      </w:r>
      <w:r>
        <w:rPr>
          <w:spacing w:val="-1"/>
        </w:rPr>
        <w:t>锈钢等高性能钢铁终端消费产品，突出打造</w:t>
      </w:r>
      <w:r>
        <w:rPr>
          <w:spacing w:val="-2"/>
        </w:rPr>
        <w:t>机械制造产业集群。</w:t>
      </w:r>
    </w:p>
    <w:p w14:paraId="083D24DC">
      <w:pPr>
        <w:spacing w:before="259" w:line="218" w:lineRule="auto"/>
        <w:ind w:left="532"/>
        <w:rPr>
          <w:rFonts w:ascii="黑体" w:hAnsi="黑体" w:eastAsia="黑体" w:cs="黑体"/>
          <w:sz w:val="24"/>
          <w:szCs w:val="24"/>
        </w:rPr>
      </w:pPr>
      <w:r>
        <w:rPr>
          <w:rFonts w:ascii="黑体" w:hAnsi="黑体" w:eastAsia="黑体" w:cs="黑体"/>
          <w:spacing w:val="-2"/>
          <w:sz w:val="24"/>
          <w:szCs w:val="24"/>
        </w:rPr>
        <w:t>四、清洁能源循环经济产业</w:t>
      </w:r>
    </w:p>
    <w:p w14:paraId="13B9FB56">
      <w:pPr>
        <w:spacing w:line="384" w:lineRule="auto"/>
        <w:rPr>
          <w:rFonts w:ascii="Arial"/>
          <w:sz w:val="21"/>
        </w:rPr>
      </w:pPr>
    </w:p>
    <w:p w14:paraId="27640E5F">
      <w:pPr>
        <w:pStyle w:val="2"/>
        <w:spacing w:before="78" w:line="376" w:lineRule="auto"/>
        <w:ind w:left="38" w:right="628" w:firstLine="480"/>
        <w:jc w:val="both"/>
      </w:pPr>
      <w:r>
        <w:rPr>
          <w:spacing w:val="-5"/>
        </w:rPr>
        <w:t>根据国家能源战略发展定位，结合风能、太阳能</w:t>
      </w:r>
      <w:r>
        <w:rPr>
          <w:spacing w:val="-6"/>
        </w:rPr>
        <w:t>等清洁能源的发展趋势，</w:t>
      </w:r>
      <w:r>
        <w:rPr>
          <w:spacing w:val="52"/>
        </w:rPr>
        <w:t xml:space="preserve"> </w:t>
      </w:r>
      <w:r>
        <w:rPr>
          <w:spacing w:val="-6"/>
        </w:rPr>
        <w:t>充分利用我县丰富</w:t>
      </w:r>
      <w:r>
        <w:rPr>
          <w:spacing w:val="-10"/>
        </w:rPr>
        <w:t>的风能、太阳能等资源，</w:t>
      </w:r>
      <w:r>
        <w:rPr>
          <w:spacing w:val="78"/>
        </w:rPr>
        <w:t xml:space="preserve"> </w:t>
      </w:r>
      <w:r>
        <w:rPr>
          <w:spacing w:val="-10"/>
        </w:rPr>
        <w:t>发展清洁能源产业，助力“绿色园区”的建设。同时，</w:t>
      </w:r>
      <w:r>
        <w:rPr>
          <w:spacing w:val="58"/>
        </w:rPr>
        <w:t xml:space="preserve"> </w:t>
      </w:r>
      <w:r>
        <w:rPr>
          <w:spacing w:val="-10"/>
        </w:rPr>
        <w:t>风电和太阳能光</w:t>
      </w:r>
      <w:r>
        <w:rPr>
          <w:spacing w:val="-1"/>
        </w:rPr>
        <w:t>伏发电项目建设用地，在符合土地利用总体规划的前提下，优先使用荒山、荒滩、荒</w:t>
      </w:r>
      <w:r>
        <w:rPr>
          <w:spacing w:val="-2"/>
        </w:rPr>
        <w:t>漠等难以利</w:t>
      </w:r>
      <w:r>
        <w:rPr>
          <w:spacing w:val="-5"/>
        </w:rPr>
        <w:t>用以及不适宜农业、生态、工业开发的土地，</w:t>
      </w:r>
      <w:r>
        <w:rPr>
          <w:spacing w:val="55"/>
        </w:rPr>
        <w:t xml:space="preserve"> </w:t>
      </w:r>
      <w:r>
        <w:rPr>
          <w:spacing w:val="-5"/>
        </w:rPr>
        <w:t>尽量不占或少占耕地。</w:t>
      </w:r>
      <w:r>
        <w:rPr>
          <w:spacing w:val="-6"/>
        </w:rPr>
        <w:t>鼓励太阳能光伏发电企业利</w:t>
      </w:r>
      <w:r>
        <w:rPr>
          <w:spacing w:val="-2"/>
        </w:rPr>
        <w:t>用屋顶或具有压覆矿产备采区的土地建设太阳</w:t>
      </w:r>
      <w:r>
        <w:rPr>
          <w:spacing w:val="-3"/>
        </w:rPr>
        <w:t>能光伏发电项目；</w:t>
      </w:r>
    </w:p>
    <w:p w14:paraId="29397ADD">
      <w:pPr>
        <w:pStyle w:val="2"/>
        <w:spacing w:line="368" w:lineRule="auto"/>
        <w:ind w:left="37" w:right="561" w:firstLine="508"/>
        <w:jc w:val="both"/>
      </w:pPr>
      <w:r>
        <w:rPr>
          <w:spacing w:val="-3"/>
        </w:rPr>
        <w:t>以龙蟒</w:t>
      </w:r>
      <w:r>
        <w:rPr>
          <w:spacing w:val="-48"/>
        </w:rPr>
        <w:t xml:space="preserve"> </w:t>
      </w:r>
      <w:r>
        <w:rPr>
          <w:rFonts w:ascii="Calibri" w:hAnsi="Calibri" w:eastAsia="Calibri" w:cs="Calibri"/>
          <w:spacing w:val="-3"/>
        </w:rPr>
        <w:t>50</w:t>
      </w:r>
      <w:r>
        <w:rPr>
          <w:rFonts w:ascii="Calibri" w:hAnsi="Calibri" w:eastAsia="Calibri" w:cs="Calibri"/>
          <w:spacing w:val="21"/>
          <w:w w:val="101"/>
        </w:rPr>
        <w:t xml:space="preserve"> </w:t>
      </w:r>
      <w:r>
        <w:rPr>
          <w:spacing w:val="-3"/>
        </w:rPr>
        <w:t>万吨攀西钛精矿升级转化氯化钛渣创新工程、新九</w:t>
      </w:r>
      <w:r>
        <w:rPr>
          <w:spacing w:val="-46"/>
        </w:rPr>
        <w:t xml:space="preserve"> </w:t>
      </w:r>
      <w:r>
        <w:rPr>
          <w:rFonts w:ascii="Calibri" w:hAnsi="Calibri" w:eastAsia="Calibri" w:cs="Calibri"/>
          <w:spacing w:val="-4"/>
        </w:rPr>
        <w:t>20</w:t>
      </w:r>
      <w:r>
        <w:rPr>
          <w:rFonts w:ascii="Calibri" w:hAnsi="Calibri" w:eastAsia="Calibri" w:cs="Calibri"/>
          <w:spacing w:val="21"/>
          <w:w w:val="101"/>
        </w:rPr>
        <w:t xml:space="preserve"> </w:t>
      </w:r>
      <w:r>
        <w:rPr>
          <w:spacing w:val="-4"/>
        </w:rPr>
        <w:t>万吨氯化钛白项目、乐乐能</w:t>
      </w:r>
      <w:r>
        <w:rPr>
          <w:spacing w:val="-3"/>
        </w:rPr>
        <w:t>源公司综合利用废物年产</w:t>
      </w:r>
      <w:r>
        <w:rPr>
          <w:spacing w:val="-31"/>
        </w:rPr>
        <w:t xml:space="preserve"> </w:t>
      </w:r>
      <w:r>
        <w:rPr>
          <w:rFonts w:ascii="Calibri" w:hAnsi="Calibri" w:eastAsia="Calibri" w:cs="Calibri"/>
          <w:spacing w:val="-3"/>
        </w:rPr>
        <w:t>45</w:t>
      </w:r>
      <w:r>
        <w:rPr>
          <w:rFonts w:ascii="Calibri" w:hAnsi="Calibri" w:eastAsia="Calibri" w:cs="Calibri"/>
          <w:spacing w:val="43"/>
        </w:rPr>
        <w:t xml:space="preserve"> </w:t>
      </w:r>
      <w:r>
        <w:rPr>
          <w:spacing w:val="-3"/>
        </w:rPr>
        <w:t xml:space="preserve">万 </w:t>
      </w:r>
      <w:r>
        <w:rPr>
          <w:rFonts w:ascii="Calibri" w:hAnsi="Calibri" w:eastAsia="Calibri" w:cs="Calibri"/>
          <w:spacing w:val="-3"/>
        </w:rPr>
        <w:t>m</w:t>
      </w:r>
      <w:r>
        <w:rPr>
          <w:rFonts w:ascii="Calibri" w:hAnsi="Calibri" w:eastAsia="Calibri" w:cs="Calibri"/>
          <w:spacing w:val="-3"/>
          <w:position w:val="10"/>
          <w:sz w:val="16"/>
          <w:szCs w:val="16"/>
        </w:rPr>
        <w:t>3</w:t>
      </w:r>
      <w:r>
        <w:rPr>
          <w:rFonts w:ascii="Calibri" w:hAnsi="Calibri" w:eastAsia="Calibri" w:cs="Calibri"/>
          <w:spacing w:val="16"/>
          <w:w w:val="102"/>
          <w:position w:val="10"/>
          <w:sz w:val="16"/>
          <w:szCs w:val="16"/>
        </w:rPr>
        <w:t xml:space="preserve"> </w:t>
      </w:r>
      <w:r>
        <w:rPr>
          <w:spacing w:val="-3"/>
        </w:rPr>
        <w:t>砌块项目、九道拐尾矿库</w:t>
      </w:r>
      <w:r>
        <w:rPr>
          <w:rFonts w:hint="eastAsia"/>
          <w:spacing w:val="-3"/>
          <w:lang w:eastAsia="zh-CN"/>
        </w:rPr>
        <w:t>以</w:t>
      </w:r>
      <w:r>
        <w:rPr>
          <w:spacing w:val="-3"/>
        </w:rPr>
        <w:t>及现有尾矿综合利用等项目为主，</w:t>
      </w:r>
      <w:r>
        <w:rPr>
          <w:spacing w:val="-5"/>
        </w:rPr>
        <w:t>建设开发区循环经济产业。注重区内产业之间的循环和产业内部的循环，</w:t>
      </w:r>
      <w:r>
        <w:rPr>
          <w:spacing w:val="51"/>
        </w:rPr>
        <w:t xml:space="preserve"> </w:t>
      </w:r>
      <w:r>
        <w:rPr>
          <w:spacing w:val="-5"/>
        </w:rPr>
        <w:t>高度重视开发</w:t>
      </w:r>
      <w:r>
        <w:rPr>
          <w:spacing w:val="-6"/>
        </w:rPr>
        <w:t>产业下游</w:t>
      </w:r>
      <w:r>
        <w:rPr>
          <w:spacing w:val="-2"/>
        </w:rPr>
        <w:t>产品，延长产业链，建立起具有循环经济特征的产业生态循环体系。</w:t>
      </w:r>
    </w:p>
    <w:p w14:paraId="0CC68117">
      <w:pPr>
        <w:spacing w:before="294" w:line="218" w:lineRule="auto"/>
        <w:ind w:left="524"/>
        <w:rPr>
          <w:rFonts w:ascii="黑体" w:hAnsi="黑体" w:eastAsia="黑体" w:cs="黑体"/>
          <w:sz w:val="24"/>
          <w:szCs w:val="24"/>
        </w:rPr>
      </w:pPr>
      <w:r>
        <w:rPr>
          <w:rFonts w:ascii="黑体" w:hAnsi="黑体" w:eastAsia="黑体" w:cs="黑体"/>
          <w:spacing w:val="-2"/>
          <w:sz w:val="24"/>
          <w:szCs w:val="24"/>
        </w:rPr>
        <w:t>五、</w:t>
      </w:r>
      <w:r>
        <w:rPr>
          <w:rFonts w:hint="eastAsia" w:ascii="黑体" w:hAnsi="黑体" w:eastAsia="黑体" w:cs="黑体"/>
          <w:spacing w:val="-2"/>
          <w:sz w:val="24"/>
          <w:szCs w:val="24"/>
          <w:lang w:eastAsia="zh-CN"/>
        </w:rPr>
        <w:t>生产性服务业</w:t>
      </w:r>
    </w:p>
    <w:p w14:paraId="6DD019B5">
      <w:pPr>
        <w:spacing w:line="385" w:lineRule="auto"/>
        <w:rPr>
          <w:rFonts w:ascii="Arial"/>
          <w:sz w:val="21"/>
        </w:rPr>
      </w:pPr>
    </w:p>
    <w:p w14:paraId="55AC703D">
      <w:pPr>
        <w:pStyle w:val="2"/>
        <w:spacing w:before="79" w:line="377" w:lineRule="auto"/>
        <w:ind w:left="41" w:right="627" w:firstLine="482"/>
        <w:jc w:val="both"/>
      </w:pPr>
      <w:r>
        <w:rPr>
          <w:spacing w:val="-1"/>
        </w:rPr>
        <w:t>结合新九服务中心，打造现代生产服务型产业，重点打造安宁片区北</w:t>
      </w:r>
      <w:r>
        <w:rPr>
          <w:spacing w:val="-2"/>
        </w:rPr>
        <w:t>部的开发区物流中心及</w:t>
      </w:r>
      <w:r>
        <w:rPr>
          <w:spacing w:val="-1"/>
        </w:rPr>
        <w:t>综合服务中心，主要发展现代生产服务型产业，建设现代物流仓储平台、金融</w:t>
      </w:r>
      <w:r>
        <w:rPr>
          <w:spacing w:val="-2"/>
        </w:rPr>
        <w:t>服务平台、数据信</w:t>
      </w:r>
      <w:r>
        <w:rPr>
          <w:spacing w:val="-5"/>
        </w:rPr>
        <w:t>息服务平台、市场销售管理平台、科技孵化研发平台和专业技术培</w:t>
      </w:r>
      <w:r>
        <w:rPr>
          <w:spacing w:val="-6"/>
        </w:rPr>
        <w:t>训平台，</w:t>
      </w:r>
      <w:r>
        <w:rPr>
          <w:spacing w:val="53"/>
        </w:rPr>
        <w:t xml:space="preserve"> </w:t>
      </w:r>
      <w:r>
        <w:rPr>
          <w:spacing w:val="-6"/>
        </w:rPr>
        <w:t>发展为企业产业服务</w:t>
      </w:r>
      <w:r>
        <w:rPr>
          <w:spacing w:val="-3"/>
        </w:rPr>
        <w:t>的智能互联网公共服务中心等。</w:t>
      </w:r>
    </w:p>
    <w:p w14:paraId="7E9C65F0">
      <w:pPr>
        <w:spacing w:line="14" w:lineRule="auto"/>
        <w:rPr>
          <w:rFonts w:ascii="Arial"/>
          <w:sz w:val="2"/>
        </w:rPr>
      </w:pPr>
      <w:r>
        <w:rPr>
          <w:rFonts w:ascii="Arial" w:hAnsi="Arial" w:eastAsia="Arial" w:cs="Arial"/>
          <w:sz w:val="2"/>
          <w:szCs w:val="2"/>
        </w:rPr>
        <w:br w:type="column"/>
      </w:r>
    </w:p>
    <w:p w14:paraId="1AFDCC3E">
      <w:pPr>
        <w:spacing w:before="100" w:line="224" w:lineRule="auto"/>
        <w:ind w:left="3077"/>
        <w:outlineLvl w:val="0"/>
        <w:rPr>
          <w:rFonts w:ascii="黑体" w:hAnsi="黑体" w:eastAsia="黑体" w:cs="黑体"/>
          <w:sz w:val="31"/>
          <w:szCs w:val="31"/>
        </w:rPr>
      </w:pPr>
      <w:bookmarkStart w:id="3" w:name="bookmark4"/>
      <w:bookmarkEnd w:id="3"/>
      <w:r>
        <w:rPr>
          <w:rFonts w:ascii="黑体" w:hAnsi="黑体" w:eastAsia="黑体" w:cs="黑体"/>
          <w:spacing w:val="6"/>
          <w:sz w:val="31"/>
          <w:szCs w:val="31"/>
        </w:rPr>
        <w:t>第四章  用地评价及空间管制</w:t>
      </w:r>
    </w:p>
    <w:p w14:paraId="3ED249E0">
      <w:pPr>
        <w:spacing w:line="267" w:lineRule="auto"/>
        <w:rPr>
          <w:rFonts w:ascii="Arial"/>
          <w:sz w:val="21"/>
        </w:rPr>
      </w:pPr>
    </w:p>
    <w:p w14:paraId="233E7EDE">
      <w:pPr>
        <w:spacing w:line="267" w:lineRule="auto"/>
        <w:rPr>
          <w:rFonts w:ascii="Arial"/>
          <w:sz w:val="21"/>
        </w:rPr>
      </w:pPr>
    </w:p>
    <w:p w14:paraId="59B9C2F8">
      <w:pPr>
        <w:spacing w:before="91" w:line="219" w:lineRule="auto"/>
        <w:ind w:left="474"/>
        <w:rPr>
          <w:rFonts w:ascii="黑体" w:hAnsi="黑体" w:eastAsia="黑体" w:cs="黑体"/>
          <w:sz w:val="28"/>
          <w:szCs w:val="28"/>
        </w:rPr>
      </w:pPr>
      <w:r>
        <w:rPr>
          <w:rFonts w:ascii="黑体" w:hAnsi="黑体" w:eastAsia="黑体" w:cs="黑体"/>
          <w:spacing w:val="-2"/>
          <w:sz w:val="28"/>
          <w:szCs w:val="28"/>
        </w:rPr>
        <w:t>第十四条</w:t>
      </w:r>
      <w:r>
        <w:rPr>
          <w:rFonts w:ascii="黑体" w:hAnsi="黑体" w:eastAsia="黑体" w:cs="黑体"/>
          <w:spacing w:val="83"/>
          <w:sz w:val="28"/>
          <w:szCs w:val="28"/>
        </w:rPr>
        <w:t xml:space="preserve"> </w:t>
      </w:r>
      <w:r>
        <w:rPr>
          <w:rFonts w:ascii="黑体" w:hAnsi="黑体" w:eastAsia="黑体" w:cs="黑体"/>
          <w:spacing w:val="-2"/>
          <w:sz w:val="28"/>
          <w:szCs w:val="28"/>
        </w:rPr>
        <w:t>用地适应性评价</w:t>
      </w:r>
    </w:p>
    <w:p w14:paraId="48AB018C">
      <w:pPr>
        <w:spacing w:line="308" w:lineRule="auto"/>
        <w:rPr>
          <w:rFonts w:ascii="Arial"/>
          <w:sz w:val="21"/>
        </w:rPr>
      </w:pPr>
    </w:p>
    <w:p w14:paraId="75BF3700">
      <w:pPr>
        <w:pStyle w:val="2"/>
        <w:spacing w:before="78" w:line="376" w:lineRule="auto"/>
        <w:ind w:left="122" w:firstLine="479"/>
        <w:jc w:val="both"/>
      </w:pPr>
      <w:r>
        <w:rPr>
          <w:spacing w:val="-6"/>
        </w:rPr>
        <w:t>钒钛产业开发区用地以低山沟谷为主，适宜建设用地</w:t>
      </w:r>
      <w:r>
        <w:rPr>
          <w:spacing w:val="-53"/>
        </w:rPr>
        <w:t xml:space="preserve"> </w:t>
      </w:r>
      <w:r>
        <w:rPr>
          <w:rFonts w:ascii="Calibri" w:hAnsi="Calibri" w:eastAsia="Calibri" w:cs="Calibri"/>
          <w:spacing w:val="-6"/>
        </w:rPr>
        <w:t xml:space="preserve">100.66 </w:t>
      </w:r>
      <w:r>
        <w:rPr>
          <w:spacing w:val="-6"/>
        </w:rPr>
        <w:t>公顷，占规划总用地面积的</w:t>
      </w:r>
      <w:r>
        <w:rPr>
          <w:rFonts w:ascii="Calibri" w:hAnsi="Calibri" w:eastAsia="Calibri" w:cs="Calibri"/>
          <w:spacing w:val="-6"/>
        </w:rPr>
        <w:t>2.89%</w:t>
      </w:r>
      <w:r>
        <w:rPr>
          <w:spacing w:val="-6"/>
        </w:rPr>
        <w:t>；</w:t>
      </w:r>
      <w:r>
        <w:rPr>
          <w:spacing w:val="-2"/>
        </w:rPr>
        <w:t>可建设用地</w:t>
      </w:r>
      <w:r>
        <w:rPr>
          <w:spacing w:val="-44"/>
        </w:rPr>
        <w:t xml:space="preserve"> </w:t>
      </w:r>
      <w:r>
        <w:rPr>
          <w:rFonts w:ascii="Calibri" w:hAnsi="Calibri" w:eastAsia="Calibri" w:cs="Calibri"/>
          <w:spacing w:val="-2"/>
        </w:rPr>
        <w:t>283.64</w:t>
      </w:r>
      <w:r>
        <w:rPr>
          <w:rFonts w:ascii="Calibri" w:hAnsi="Calibri" w:eastAsia="Calibri" w:cs="Calibri"/>
          <w:spacing w:val="25"/>
          <w:w w:val="101"/>
        </w:rPr>
        <w:t xml:space="preserve"> </w:t>
      </w:r>
      <w:r>
        <w:rPr>
          <w:spacing w:val="-2"/>
        </w:rPr>
        <w:t>公顷，占规划总用地面积的</w:t>
      </w:r>
      <w:r>
        <w:rPr>
          <w:spacing w:val="-48"/>
        </w:rPr>
        <w:t xml:space="preserve"> </w:t>
      </w:r>
      <w:r>
        <w:rPr>
          <w:rFonts w:ascii="Calibri" w:hAnsi="Calibri" w:eastAsia="Calibri" w:cs="Calibri"/>
          <w:spacing w:val="-2"/>
        </w:rPr>
        <w:t>8.15%</w:t>
      </w:r>
      <w:r>
        <w:rPr>
          <w:spacing w:val="-2"/>
        </w:rPr>
        <w:t>；不宜建设用地</w:t>
      </w:r>
      <w:r>
        <w:rPr>
          <w:spacing w:val="-28"/>
        </w:rPr>
        <w:t xml:space="preserve"> </w:t>
      </w:r>
      <w:r>
        <w:rPr>
          <w:rFonts w:ascii="Calibri" w:hAnsi="Calibri" w:eastAsia="Calibri" w:cs="Calibri"/>
          <w:spacing w:val="-2"/>
        </w:rPr>
        <w:t>1095.13</w:t>
      </w:r>
      <w:r>
        <w:rPr>
          <w:rFonts w:ascii="Calibri" w:hAnsi="Calibri" w:eastAsia="Calibri" w:cs="Calibri"/>
          <w:spacing w:val="26"/>
          <w:w w:val="101"/>
        </w:rPr>
        <w:t xml:space="preserve"> </w:t>
      </w:r>
      <w:r>
        <w:rPr>
          <w:spacing w:val="-2"/>
        </w:rPr>
        <w:t>公顷，占规划总用地面积的</w:t>
      </w:r>
      <w:r>
        <w:rPr>
          <w:spacing w:val="-32"/>
        </w:rPr>
        <w:t xml:space="preserve"> </w:t>
      </w:r>
      <w:r>
        <w:rPr>
          <w:rFonts w:ascii="Calibri" w:hAnsi="Calibri" w:eastAsia="Calibri" w:cs="Calibri"/>
          <w:spacing w:val="-2"/>
        </w:rPr>
        <w:t>31.46%</w:t>
      </w:r>
      <w:r>
        <w:rPr>
          <w:spacing w:val="-2"/>
        </w:rPr>
        <w:t>；不可建设用地</w:t>
      </w:r>
      <w:r>
        <w:rPr>
          <w:spacing w:val="-41"/>
        </w:rPr>
        <w:t xml:space="preserve"> </w:t>
      </w:r>
      <w:r>
        <w:rPr>
          <w:rFonts w:ascii="Calibri" w:hAnsi="Calibri" w:eastAsia="Calibri" w:cs="Calibri"/>
          <w:spacing w:val="-2"/>
        </w:rPr>
        <w:t>892.86</w:t>
      </w:r>
      <w:r>
        <w:rPr>
          <w:rFonts w:ascii="Calibri" w:hAnsi="Calibri" w:eastAsia="Calibri" w:cs="Calibri"/>
          <w:spacing w:val="23"/>
          <w:w w:val="101"/>
        </w:rPr>
        <w:t xml:space="preserve"> </w:t>
      </w:r>
      <w:r>
        <w:rPr>
          <w:spacing w:val="-2"/>
        </w:rPr>
        <w:t>公顷，占规划总用地面积的</w:t>
      </w:r>
      <w:r>
        <w:rPr>
          <w:spacing w:val="-46"/>
        </w:rPr>
        <w:t xml:space="preserve"> </w:t>
      </w:r>
      <w:r>
        <w:rPr>
          <w:rFonts w:ascii="Calibri" w:hAnsi="Calibri" w:eastAsia="Calibri" w:cs="Calibri"/>
          <w:spacing w:val="-2"/>
        </w:rPr>
        <w:t>25.65%</w:t>
      </w:r>
      <w:r>
        <w:rPr>
          <w:spacing w:val="-2"/>
        </w:rPr>
        <w:t>。</w:t>
      </w:r>
    </w:p>
    <w:p w14:paraId="7B7FA064">
      <w:pPr>
        <w:pStyle w:val="2"/>
        <w:spacing w:before="2" w:line="378" w:lineRule="auto"/>
        <w:ind w:left="141" w:right="110" w:firstLine="459"/>
      </w:pPr>
      <w:r>
        <w:rPr>
          <w:spacing w:val="-1"/>
        </w:rPr>
        <w:t>在用地适宜性评价的基础上，合理选取建设用地，避免大规模的开挖方建设，</w:t>
      </w:r>
      <w:r>
        <w:rPr>
          <w:spacing w:val="-2"/>
        </w:rPr>
        <w:t>确保用地建设</w:t>
      </w:r>
      <w:r>
        <w:t>的可操作性。同时，充分考虑市政设施配套要求及运营成本，结合用地破碎度，成片开发建设。</w:t>
      </w:r>
    </w:p>
    <w:p w14:paraId="15C2E108">
      <w:pPr>
        <w:spacing w:before="227" w:line="206" w:lineRule="auto"/>
        <w:ind w:left="3327"/>
        <w:rPr>
          <w:rFonts w:ascii="华文细黑" w:hAnsi="华文细黑" w:eastAsia="华文细黑" w:cs="华文细黑"/>
          <w:sz w:val="21"/>
          <w:szCs w:val="21"/>
        </w:rPr>
      </w:pPr>
      <w:r>
        <w:rPr>
          <w:rFonts w:ascii="华文细黑" w:hAnsi="华文细黑" w:eastAsia="华文细黑" w:cs="华文细黑"/>
          <w:spacing w:val="-1"/>
          <w:sz w:val="21"/>
          <w:szCs w:val="21"/>
        </w:rPr>
        <w:t>表格 2  建设用地适宜性评价结果一览表</w:t>
      </w:r>
    </w:p>
    <w:p w14:paraId="01F70D1E">
      <w:pPr>
        <w:spacing w:line="130" w:lineRule="exact"/>
      </w:pPr>
    </w:p>
    <w:tbl>
      <w:tblPr>
        <w:tblStyle w:val="5"/>
        <w:tblW w:w="10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9"/>
        <w:gridCol w:w="1449"/>
        <w:gridCol w:w="1449"/>
        <w:gridCol w:w="5628"/>
      </w:tblGrid>
      <w:tr w14:paraId="5C00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39" w:type="dxa"/>
            <w:vAlign w:val="top"/>
          </w:tcPr>
          <w:p w14:paraId="7B2201A8">
            <w:pPr>
              <w:pStyle w:val="6"/>
              <w:spacing w:before="68" w:line="206" w:lineRule="auto"/>
              <w:ind w:left="459"/>
            </w:pPr>
            <w:r>
              <w:rPr>
                <w:spacing w:val="-3"/>
              </w:rPr>
              <w:t>用地类别</w:t>
            </w:r>
          </w:p>
        </w:tc>
        <w:tc>
          <w:tcPr>
            <w:tcW w:w="1449" w:type="dxa"/>
            <w:vAlign w:val="top"/>
          </w:tcPr>
          <w:p w14:paraId="741F30C4">
            <w:pPr>
              <w:pStyle w:val="6"/>
              <w:spacing w:before="68" w:line="205" w:lineRule="auto"/>
              <w:ind w:left="236"/>
            </w:pPr>
            <w:r>
              <w:rPr>
                <w:spacing w:val="-7"/>
              </w:rPr>
              <w:t>面积</w:t>
            </w:r>
            <w:r>
              <w:rPr>
                <w:spacing w:val="-25"/>
              </w:rPr>
              <w:t xml:space="preserve"> </w:t>
            </w:r>
            <w:r>
              <w:rPr>
                <w:rFonts w:hint="eastAsia"/>
                <w:spacing w:val="-25"/>
                <w:lang w:eastAsia="zh-CN"/>
              </w:rPr>
              <w:t>（</w:t>
            </w:r>
            <w:r>
              <w:rPr>
                <w:spacing w:val="-7"/>
              </w:rPr>
              <w:t>公顷</w:t>
            </w:r>
            <w:r>
              <w:rPr>
                <w:rFonts w:hint="eastAsia"/>
                <w:spacing w:val="-7"/>
                <w:lang w:eastAsia="zh-CN"/>
              </w:rPr>
              <w:t>）</w:t>
            </w:r>
          </w:p>
        </w:tc>
        <w:tc>
          <w:tcPr>
            <w:tcW w:w="1449" w:type="dxa"/>
            <w:vAlign w:val="top"/>
          </w:tcPr>
          <w:p w14:paraId="21D267CA">
            <w:pPr>
              <w:pStyle w:val="6"/>
              <w:spacing w:before="69" w:line="208" w:lineRule="auto"/>
              <w:ind w:left="245"/>
            </w:pPr>
            <w:r>
              <w:rPr>
                <w:spacing w:val="-5"/>
              </w:rPr>
              <w:t>比例（%）</w:t>
            </w:r>
          </w:p>
        </w:tc>
        <w:tc>
          <w:tcPr>
            <w:tcW w:w="5628" w:type="dxa"/>
            <w:vAlign w:val="top"/>
          </w:tcPr>
          <w:p w14:paraId="4721A315">
            <w:pPr>
              <w:pStyle w:val="6"/>
              <w:spacing w:before="68" w:line="209" w:lineRule="auto"/>
              <w:ind w:left="2400"/>
            </w:pPr>
            <w:r>
              <w:rPr>
                <w:spacing w:val="-5"/>
              </w:rPr>
              <w:t>备</w:t>
            </w:r>
            <w:r>
              <w:rPr>
                <w:spacing w:val="1"/>
              </w:rPr>
              <w:t xml:space="preserve">        </w:t>
            </w:r>
            <w:r>
              <w:rPr>
                <w:spacing w:val="-5"/>
              </w:rPr>
              <w:t>注</w:t>
            </w:r>
          </w:p>
        </w:tc>
      </w:tr>
      <w:tr w14:paraId="46AFC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739" w:type="dxa"/>
            <w:vAlign w:val="top"/>
          </w:tcPr>
          <w:p w14:paraId="3259BEAB">
            <w:pPr>
              <w:pStyle w:val="6"/>
              <w:spacing w:before="64" w:line="208" w:lineRule="auto"/>
              <w:ind w:left="350"/>
            </w:pPr>
            <w:r>
              <w:rPr>
                <w:spacing w:val="-2"/>
              </w:rPr>
              <w:t>现状建成区</w:t>
            </w:r>
          </w:p>
        </w:tc>
        <w:tc>
          <w:tcPr>
            <w:tcW w:w="1449" w:type="dxa"/>
            <w:vAlign w:val="top"/>
          </w:tcPr>
          <w:p w14:paraId="1CF8D373">
            <w:pPr>
              <w:pStyle w:val="6"/>
              <w:spacing w:before="64" w:line="208" w:lineRule="auto"/>
              <w:ind w:left="464"/>
            </w:pPr>
            <w:r>
              <w:rPr>
                <w:spacing w:val="-1"/>
              </w:rPr>
              <w:t>488.9</w:t>
            </w:r>
          </w:p>
        </w:tc>
        <w:tc>
          <w:tcPr>
            <w:tcW w:w="1449" w:type="dxa"/>
            <w:vAlign w:val="top"/>
          </w:tcPr>
          <w:p w14:paraId="76965820">
            <w:pPr>
              <w:pStyle w:val="6"/>
              <w:spacing w:before="64" w:line="208" w:lineRule="auto"/>
              <w:ind w:left="487"/>
            </w:pPr>
            <w:r>
              <w:rPr>
                <w:spacing w:val="-6"/>
              </w:rPr>
              <w:t>14.04</w:t>
            </w:r>
          </w:p>
        </w:tc>
        <w:tc>
          <w:tcPr>
            <w:tcW w:w="5628" w:type="dxa"/>
            <w:vAlign w:val="top"/>
          </w:tcPr>
          <w:p w14:paraId="090ADADD">
            <w:pPr>
              <w:pStyle w:val="6"/>
              <w:spacing w:before="64" w:line="206" w:lineRule="auto"/>
              <w:ind w:left="1138"/>
            </w:pPr>
            <w:r>
              <w:rPr>
                <w:spacing w:val="-1"/>
              </w:rPr>
              <w:t>含农宅、建设用地、公路、厂矿用地</w:t>
            </w:r>
          </w:p>
        </w:tc>
      </w:tr>
      <w:tr w14:paraId="671F6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739" w:type="dxa"/>
            <w:vAlign w:val="top"/>
          </w:tcPr>
          <w:p w14:paraId="643518FE">
            <w:pPr>
              <w:pStyle w:val="6"/>
              <w:spacing w:before="65" w:line="206" w:lineRule="auto"/>
              <w:ind w:left="247"/>
            </w:pPr>
            <w:r>
              <w:rPr>
                <w:spacing w:val="-2"/>
              </w:rPr>
              <w:t>适宜建设用地</w:t>
            </w:r>
          </w:p>
        </w:tc>
        <w:tc>
          <w:tcPr>
            <w:tcW w:w="1449" w:type="dxa"/>
            <w:vAlign w:val="top"/>
          </w:tcPr>
          <w:p w14:paraId="6FDC1684">
            <w:pPr>
              <w:pStyle w:val="6"/>
              <w:spacing w:before="65" w:line="207" w:lineRule="auto"/>
              <w:ind w:left="429"/>
            </w:pPr>
            <w:r>
              <w:rPr>
                <w:spacing w:val="-5"/>
              </w:rPr>
              <w:t>100.66</w:t>
            </w:r>
          </w:p>
        </w:tc>
        <w:tc>
          <w:tcPr>
            <w:tcW w:w="1449" w:type="dxa"/>
            <w:vAlign w:val="top"/>
          </w:tcPr>
          <w:p w14:paraId="4778EF6D">
            <w:pPr>
              <w:pStyle w:val="6"/>
              <w:spacing w:before="65" w:line="207" w:lineRule="auto"/>
              <w:ind w:left="524"/>
            </w:pPr>
            <w:r>
              <w:rPr>
                <w:spacing w:val="-1"/>
              </w:rPr>
              <w:t>2.89</w:t>
            </w:r>
          </w:p>
        </w:tc>
        <w:tc>
          <w:tcPr>
            <w:tcW w:w="5628" w:type="dxa"/>
            <w:vAlign w:val="top"/>
          </w:tcPr>
          <w:p w14:paraId="3FD7825A">
            <w:pPr>
              <w:pStyle w:val="6"/>
              <w:spacing w:before="65" w:line="207" w:lineRule="auto"/>
              <w:ind w:left="1579"/>
            </w:pPr>
            <w:r>
              <w:rPr>
                <w:spacing w:val="-2"/>
              </w:rPr>
              <w:t>坡度在</w:t>
            </w:r>
            <w:r>
              <w:rPr>
                <w:spacing w:val="17"/>
              </w:rPr>
              <w:t xml:space="preserve"> </w:t>
            </w:r>
            <w:r>
              <w:rPr>
                <w:spacing w:val="-2"/>
              </w:rPr>
              <w:t>6°以下，高程适宜</w:t>
            </w:r>
          </w:p>
        </w:tc>
      </w:tr>
      <w:tr w14:paraId="4018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739" w:type="dxa"/>
            <w:vAlign w:val="top"/>
          </w:tcPr>
          <w:p w14:paraId="4A2C2075">
            <w:pPr>
              <w:pStyle w:val="6"/>
              <w:spacing w:before="66" w:line="206" w:lineRule="auto"/>
              <w:ind w:left="352"/>
            </w:pPr>
            <w:r>
              <w:rPr>
                <w:spacing w:val="-2"/>
              </w:rPr>
              <w:t>可建设用地</w:t>
            </w:r>
          </w:p>
        </w:tc>
        <w:tc>
          <w:tcPr>
            <w:tcW w:w="1449" w:type="dxa"/>
            <w:vAlign w:val="top"/>
          </w:tcPr>
          <w:p w14:paraId="6D626B0E">
            <w:pPr>
              <w:pStyle w:val="6"/>
              <w:spacing w:before="65" w:line="207" w:lineRule="auto"/>
              <w:ind w:left="405"/>
            </w:pPr>
            <w:r>
              <w:rPr>
                <w:spacing w:val="-1"/>
              </w:rPr>
              <w:t>283.64</w:t>
            </w:r>
          </w:p>
        </w:tc>
        <w:tc>
          <w:tcPr>
            <w:tcW w:w="1449" w:type="dxa"/>
            <w:vAlign w:val="top"/>
          </w:tcPr>
          <w:p w14:paraId="7EEA7C74">
            <w:pPr>
              <w:pStyle w:val="6"/>
              <w:spacing w:before="65" w:line="207" w:lineRule="auto"/>
              <w:ind w:left="524"/>
            </w:pPr>
            <w:r>
              <w:rPr>
                <w:spacing w:val="-1"/>
              </w:rPr>
              <w:t>8.15</w:t>
            </w:r>
          </w:p>
        </w:tc>
        <w:tc>
          <w:tcPr>
            <w:tcW w:w="5628" w:type="dxa"/>
            <w:vAlign w:val="top"/>
          </w:tcPr>
          <w:p w14:paraId="43818231">
            <w:pPr>
              <w:pStyle w:val="6"/>
              <w:spacing w:before="65" w:line="207" w:lineRule="auto"/>
              <w:ind w:left="112"/>
            </w:pPr>
            <w:r>
              <w:rPr>
                <w:spacing w:val="-3"/>
              </w:rPr>
              <w:t>坡度在</w:t>
            </w:r>
            <w:r>
              <w:rPr>
                <w:spacing w:val="21"/>
                <w:w w:val="101"/>
              </w:rPr>
              <w:t xml:space="preserve"> </w:t>
            </w:r>
            <w:r>
              <w:rPr>
                <w:spacing w:val="-3"/>
              </w:rPr>
              <w:t>6</w:t>
            </w:r>
            <w:r>
              <w:rPr>
                <w:spacing w:val="-27"/>
              </w:rPr>
              <w:t xml:space="preserve"> </w:t>
            </w:r>
            <w:r>
              <w:rPr>
                <w:spacing w:val="-3"/>
              </w:rPr>
              <w:t>°—15°之间，高程基本适宜；局部地段高程较高</w:t>
            </w:r>
          </w:p>
        </w:tc>
      </w:tr>
      <w:tr w14:paraId="2B0F8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739" w:type="dxa"/>
            <w:vAlign w:val="top"/>
          </w:tcPr>
          <w:p w14:paraId="7C8E9CD4">
            <w:pPr>
              <w:pStyle w:val="6"/>
              <w:spacing w:before="67" w:line="206" w:lineRule="auto"/>
              <w:ind w:left="245"/>
            </w:pPr>
            <w:r>
              <w:rPr>
                <w:spacing w:val="-1"/>
              </w:rPr>
              <w:t>不宜建设用地</w:t>
            </w:r>
          </w:p>
        </w:tc>
        <w:tc>
          <w:tcPr>
            <w:tcW w:w="1449" w:type="dxa"/>
            <w:vAlign w:val="top"/>
          </w:tcPr>
          <w:p w14:paraId="4E8AE242">
            <w:pPr>
              <w:pStyle w:val="6"/>
              <w:spacing w:before="66" w:line="207" w:lineRule="auto"/>
              <w:ind w:left="371"/>
            </w:pPr>
            <w:r>
              <w:rPr>
                <w:spacing w:val="-4"/>
              </w:rPr>
              <w:t>1095.13</w:t>
            </w:r>
          </w:p>
        </w:tc>
        <w:tc>
          <w:tcPr>
            <w:tcW w:w="1449" w:type="dxa"/>
            <w:vAlign w:val="top"/>
          </w:tcPr>
          <w:p w14:paraId="4BCE0467">
            <w:pPr>
              <w:pStyle w:val="6"/>
              <w:spacing w:before="66" w:line="207" w:lineRule="auto"/>
              <w:ind w:left="465"/>
            </w:pPr>
            <w:r>
              <w:rPr>
                <w:spacing w:val="-1"/>
              </w:rPr>
              <w:t>31.46</w:t>
            </w:r>
          </w:p>
        </w:tc>
        <w:tc>
          <w:tcPr>
            <w:tcW w:w="5628" w:type="dxa"/>
            <w:vAlign w:val="top"/>
          </w:tcPr>
          <w:p w14:paraId="4669E196">
            <w:pPr>
              <w:pStyle w:val="6"/>
              <w:spacing w:before="66" w:line="207" w:lineRule="auto"/>
              <w:ind w:left="979"/>
            </w:pPr>
            <w:r>
              <w:rPr>
                <w:spacing w:val="-5"/>
              </w:rPr>
              <w:t>坡度在</w:t>
            </w:r>
            <w:r>
              <w:rPr>
                <w:spacing w:val="43"/>
              </w:rPr>
              <w:t xml:space="preserve"> </w:t>
            </w:r>
            <w:r>
              <w:rPr>
                <w:spacing w:val="-5"/>
              </w:rPr>
              <w:t>15</w:t>
            </w:r>
            <w:r>
              <w:rPr>
                <w:spacing w:val="-24"/>
              </w:rPr>
              <w:t xml:space="preserve"> </w:t>
            </w:r>
            <w:r>
              <w:rPr>
                <w:spacing w:val="-5"/>
              </w:rPr>
              <w:t>°-30°,   或高程在</w:t>
            </w:r>
            <w:r>
              <w:rPr>
                <w:spacing w:val="27"/>
                <w:w w:val="101"/>
              </w:rPr>
              <w:t xml:space="preserve"> </w:t>
            </w:r>
            <w:r>
              <w:rPr>
                <w:spacing w:val="-5"/>
              </w:rPr>
              <w:t>1600</w:t>
            </w:r>
            <w:r>
              <w:rPr>
                <w:spacing w:val="20"/>
              </w:rPr>
              <w:t xml:space="preserve"> </w:t>
            </w:r>
            <w:r>
              <w:rPr>
                <w:spacing w:val="-5"/>
              </w:rPr>
              <w:t>以上</w:t>
            </w:r>
          </w:p>
        </w:tc>
      </w:tr>
      <w:tr w14:paraId="0C311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739" w:type="dxa"/>
            <w:vMerge w:val="restart"/>
            <w:tcBorders>
              <w:bottom w:val="nil"/>
            </w:tcBorders>
            <w:vAlign w:val="top"/>
          </w:tcPr>
          <w:p w14:paraId="14C69C45">
            <w:pPr>
              <w:pStyle w:val="6"/>
              <w:spacing w:before="235" w:line="206" w:lineRule="auto"/>
              <w:ind w:left="245"/>
            </w:pPr>
            <w:r>
              <w:rPr>
                <w:spacing w:val="-1"/>
              </w:rPr>
              <w:t>不可建设用地</w:t>
            </w:r>
          </w:p>
        </w:tc>
        <w:tc>
          <w:tcPr>
            <w:tcW w:w="1449" w:type="dxa"/>
            <w:vMerge w:val="restart"/>
            <w:tcBorders>
              <w:bottom w:val="nil"/>
            </w:tcBorders>
            <w:vAlign w:val="top"/>
          </w:tcPr>
          <w:p w14:paraId="2E7D0892">
            <w:pPr>
              <w:pStyle w:val="6"/>
              <w:spacing w:before="236" w:line="232" w:lineRule="auto"/>
              <w:ind w:left="406"/>
            </w:pPr>
            <w:r>
              <w:rPr>
                <w:spacing w:val="-1"/>
              </w:rPr>
              <w:t>892.86</w:t>
            </w:r>
          </w:p>
        </w:tc>
        <w:tc>
          <w:tcPr>
            <w:tcW w:w="1449" w:type="dxa"/>
            <w:vMerge w:val="restart"/>
            <w:tcBorders>
              <w:bottom w:val="nil"/>
            </w:tcBorders>
            <w:vAlign w:val="top"/>
          </w:tcPr>
          <w:p w14:paraId="377EDAF9">
            <w:pPr>
              <w:pStyle w:val="6"/>
              <w:spacing w:before="236" w:line="232" w:lineRule="auto"/>
              <w:ind w:left="464"/>
            </w:pPr>
            <w:r>
              <w:rPr>
                <w:spacing w:val="-1"/>
              </w:rPr>
              <w:t>25.65</w:t>
            </w:r>
          </w:p>
        </w:tc>
        <w:tc>
          <w:tcPr>
            <w:tcW w:w="5628" w:type="dxa"/>
            <w:vAlign w:val="top"/>
          </w:tcPr>
          <w:p w14:paraId="2ED4B2A7">
            <w:pPr>
              <w:pStyle w:val="6"/>
              <w:spacing w:before="66" w:line="207" w:lineRule="auto"/>
              <w:ind w:left="1025"/>
            </w:pPr>
            <w:r>
              <w:rPr>
                <w:spacing w:val="-3"/>
              </w:rPr>
              <w:t>坡度在 30°以上，或高程在</w:t>
            </w:r>
            <w:r>
              <w:rPr>
                <w:spacing w:val="42"/>
                <w:w w:val="101"/>
              </w:rPr>
              <w:t xml:space="preserve"> </w:t>
            </w:r>
            <w:r>
              <w:rPr>
                <w:spacing w:val="-3"/>
              </w:rPr>
              <w:t>1600</w:t>
            </w:r>
            <w:r>
              <w:rPr>
                <w:spacing w:val="21"/>
                <w:w w:val="101"/>
              </w:rPr>
              <w:t xml:space="preserve"> </w:t>
            </w:r>
            <w:r>
              <w:rPr>
                <w:spacing w:val="-3"/>
              </w:rPr>
              <w:t>以上</w:t>
            </w:r>
          </w:p>
        </w:tc>
      </w:tr>
      <w:tr w14:paraId="1C0F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739" w:type="dxa"/>
            <w:vMerge w:val="continue"/>
            <w:tcBorders>
              <w:top w:val="nil"/>
            </w:tcBorders>
            <w:vAlign w:val="top"/>
          </w:tcPr>
          <w:p w14:paraId="67353F96">
            <w:pPr>
              <w:rPr>
                <w:rFonts w:ascii="Arial"/>
                <w:sz w:val="21"/>
              </w:rPr>
            </w:pPr>
          </w:p>
        </w:tc>
        <w:tc>
          <w:tcPr>
            <w:tcW w:w="1449" w:type="dxa"/>
            <w:vMerge w:val="continue"/>
            <w:tcBorders>
              <w:top w:val="nil"/>
            </w:tcBorders>
            <w:vAlign w:val="top"/>
          </w:tcPr>
          <w:p w14:paraId="17DBC8D6">
            <w:pPr>
              <w:rPr>
                <w:rFonts w:ascii="Arial"/>
                <w:sz w:val="21"/>
              </w:rPr>
            </w:pPr>
          </w:p>
        </w:tc>
        <w:tc>
          <w:tcPr>
            <w:tcW w:w="1449" w:type="dxa"/>
            <w:vMerge w:val="continue"/>
            <w:tcBorders>
              <w:top w:val="nil"/>
            </w:tcBorders>
            <w:vAlign w:val="top"/>
          </w:tcPr>
          <w:p w14:paraId="4BB4751E">
            <w:pPr>
              <w:rPr>
                <w:rFonts w:ascii="Arial"/>
                <w:sz w:val="21"/>
              </w:rPr>
            </w:pPr>
          </w:p>
        </w:tc>
        <w:tc>
          <w:tcPr>
            <w:tcW w:w="5628" w:type="dxa"/>
            <w:vAlign w:val="top"/>
          </w:tcPr>
          <w:p w14:paraId="139BC875">
            <w:pPr>
              <w:pStyle w:val="6"/>
              <w:spacing w:before="67" w:line="206" w:lineRule="auto"/>
              <w:ind w:left="190"/>
            </w:pPr>
            <w:r>
              <w:t>基本农田、高压走廊区域、水域两侧洪水淹没线内的区域</w:t>
            </w:r>
          </w:p>
        </w:tc>
      </w:tr>
      <w:tr w14:paraId="06559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739" w:type="dxa"/>
            <w:vAlign w:val="top"/>
          </w:tcPr>
          <w:p w14:paraId="0CF51838">
            <w:pPr>
              <w:pStyle w:val="6"/>
              <w:spacing w:before="68" w:line="205" w:lineRule="auto"/>
              <w:ind w:left="664"/>
            </w:pPr>
            <w:r>
              <w:rPr>
                <w:spacing w:val="-1"/>
              </w:rPr>
              <w:t>水域</w:t>
            </w:r>
          </w:p>
        </w:tc>
        <w:tc>
          <w:tcPr>
            <w:tcW w:w="1449" w:type="dxa"/>
            <w:vAlign w:val="top"/>
          </w:tcPr>
          <w:p w14:paraId="09CA26BA">
            <w:pPr>
              <w:pStyle w:val="6"/>
              <w:spacing w:before="68" w:line="205" w:lineRule="auto"/>
              <w:ind w:left="466"/>
            </w:pPr>
            <w:r>
              <w:rPr>
                <w:spacing w:val="-1"/>
              </w:rPr>
              <w:t>35.17</w:t>
            </w:r>
          </w:p>
        </w:tc>
        <w:tc>
          <w:tcPr>
            <w:tcW w:w="1449" w:type="dxa"/>
            <w:vAlign w:val="top"/>
          </w:tcPr>
          <w:p w14:paraId="38954ECA">
            <w:pPr>
              <w:pStyle w:val="6"/>
              <w:spacing w:before="68" w:line="205" w:lineRule="auto"/>
              <w:ind w:left="547"/>
            </w:pPr>
            <w:r>
              <w:rPr>
                <w:spacing w:val="-5"/>
              </w:rPr>
              <w:t>1.01</w:t>
            </w:r>
          </w:p>
        </w:tc>
        <w:tc>
          <w:tcPr>
            <w:tcW w:w="5628" w:type="dxa"/>
            <w:vAlign w:val="top"/>
          </w:tcPr>
          <w:p w14:paraId="0C598CED">
            <w:pPr>
              <w:rPr>
                <w:rFonts w:ascii="Arial"/>
                <w:sz w:val="21"/>
              </w:rPr>
            </w:pPr>
          </w:p>
        </w:tc>
      </w:tr>
      <w:tr w14:paraId="1FBDF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739" w:type="dxa"/>
            <w:vAlign w:val="top"/>
          </w:tcPr>
          <w:p w14:paraId="37FE4F83">
            <w:pPr>
              <w:pStyle w:val="6"/>
              <w:spacing w:before="69" w:line="205" w:lineRule="auto"/>
              <w:ind w:left="352"/>
            </w:pPr>
            <w:r>
              <w:rPr>
                <w:spacing w:val="-2"/>
              </w:rPr>
              <w:t>分析总用地</w:t>
            </w:r>
          </w:p>
        </w:tc>
        <w:tc>
          <w:tcPr>
            <w:tcW w:w="1449" w:type="dxa"/>
            <w:vAlign w:val="top"/>
          </w:tcPr>
          <w:p w14:paraId="5F6FDCEA">
            <w:pPr>
              <w:pStyle w:val="6"/>
              <w:spacing w:before="69" w:line="205" w:lineRule="auto"/>
              <w:ind w:left="348"/>
            </w:pPr>
            <w:r>
              <w:rPr>
                <w:spacing w:val="-1"/>
              </w:rPr>
              <w:t>2896.36</w:t>
            </w:r>
          </w:p>
        </w:tc>
        <w:tc>
          <w:tcPr>
            <w:tcW w:w="1449" w:type="dxa"/>
            <w:vAlign w:val="top"/>
          </w:tcPr>
          <w:p w14:paraId="2011A1D8">
            <w:pPr>
              <w:pStyle w:val="6"/>
              <w:spacing w:before="69" w:line="205" w:lineRule="auto"/>
              <w:ind w:left="464"/>
            </w:pPr>
            <w:r>
              <w:rPr>
                <w:spacing w:val="-1"/>
              </w:rPr>
              <w:t>83.19</w:t>
            </w:r>
          </w:p>
        </w:tc>
        <w:tc>
          <w:tcPr>
            <w:tcW w:w="5628" w:type="dxa"/>
            <w:vAlign w:val="top"/>
          </w:tcPr>
          <w:p w14:paraId="64E2B0E2">
            <w:pPr>
              <w:rPr>
                <w:rFonts w:ascii="Arial"/>
                <w:sz w:val="21"/>
              </w:rPr>
            </w:pPr>
          </w:p>
        </w:tc>
      </w:tr>
      <w:tr w14:paraId="02A7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739" w:type="dxa"/>
            <w:vAlign w:val="top"/>
          </w:tcPr>
          <w:p w14:paraId="2B0A0090">
            <w:pPr>
              <w:pStyle w:val="6"/>
              <w:spacing w:before="68" w:line="206" w:lineRule="auto"/>
              <w:ind w:left="347"/>
            </w:pPr>
            <w:r>
              <w:rPr>
                <w:spacing w:val="-1"/>
              </w:rPr>
              <w:t>未分析用地</w:t>
            </w:r>
          </w:p>
        </w:tc>
        <w:tc>
          <w:tcPr>
            <w:tcW w:w="1449" w:type="dxa"/>
            <w:vAlign w:val="top"/>
          </w:tcPr>
          <w:p w14:paraId="449CE325">
            <w:pPr>
              <w:pStyle w:val="6"/>
              <w:spacing w:before="68" w:line="209" w:lineRule="auto"/>
              <w:ind w:left="408"/>
            </w:pPr>
            <w:r>
              <w:rPr>
                <w:spacing w:val="-2"/>
              </w:rPr>
              <w:t>557.36</w:t>
            </w:r>
          </w:p>
        </w:tc>
        <w:tc>
          <w:tcPr>
            <w:tcW w:w="1449" w:type="dxa"/>
            <w:vAlign w:val="top"/>
          </w:tcPr>
          <w:p w14:paraId="04CEE5EC">
            <w:pPr>
              <w:pStyle w:val="6"/>
              <w:spacing w:before="68" w:line="209" w:lineRule="auto"/>
              <w:ind w:left="487"/>
            </w:pPr>
            <w:r>
              <w:rPr>
                <w:spacing w:val="-6"/>
              </w:rPr>
              <w:t>16.01</w:t>
            </w:r>
          </w:p>
        </w:tc>
        <w:tc>
          <w:tcPr>
            <w:tcW w:w="5628" w:type="dxa"/>
            <w:vAlign w:val="top"/>
          </w:tcPr>
          <w:p w14:paraId="0A46879F">
            <w:pPr>
              <w:rPr>
                <w:rFonts w:ascii="Arial"/>
                <w:sz w:val="21"/>
              </w:rPr>
            </w:pPr>
          </w:p>
        </w:tc>
      </w:tr>
    </w:tbl>
    <w:p w14:paraId="7E528848">
      <w:pPr>
        <w:spacing w:before="316" w:line="219" w:lineRule="auto"/>
        <w:ind w:left="474"/>
        <w:rPr>
          <w:rFonts w:ascii="黑体" w:hAnsi="黑体" w:eastAsia="黑体" w:cs="黑体"/>
          <w:sz w:val="28"/>
          <w:szCs w:val="28"/>
        </w:rPr>
      </w:pPr>
      <w:r>
        <w:rPr>
          <w:rFonts w:ascii="黑体" w:hAnsi="黑体" w:eastAsia="黑体" w:cs="黑体"/>
          <w:spacing w:val="-3"/>
          <w:sz w:val="28"/>
          <w:szCs w:val="28"/>
        </w:rPr>
        <w:t>第十五条</w:t>
      </w:r>
      <w:r>
        <w:rPr>
          <w:rFonts w:ascii="黑体" w:hAnsi="黑体" w:eastAsia="黑体" w:cs="黑体"/>
          <w:spacing w:val="88"/>
          <w:sz w:val="28"/>
          <w:szCs w:val="28"/>
        </w:rPr>
        <w:t xml:space="preserve"> </w:t>
      </w:r>
      <w:r>
        <w:rPr>
          <w:rFonts w:ascii="黑体" w:hAnsi="黑体" w:eastAsia="黑体" w:cs="黑体"/>
          <w:spacing w:val="-3"/>
          <w:sz w:val="28"/>
          <w:szCs w:val="28"/>
        </w:rPr>
        <w:t>空间管制</w:t>
      </w:r>
    </w:p>
    <w:p w14:paraId="7B94AE0F">
      <w:pPr>
        <w:spacing w:line="309" w:lineRule="auto"/>
        <w:rPr>
          <w:rFonts w:ascii="Arial"/>
          <w:sz w:val="21"/>
        </w:rPr>
      </w:pPr>
    </w:p>
    <w:p w14:paraId="69537637">
      <w:pPr>
        <w:pStyle w:val="2"/>
        <w:spacing w:before="78" w:line="377" w:lineRule="auto"/>
        <w:ind w:left="129" w:right="184" w:firstLine="471"/>
      </w:pPr>
      <w:r>
        <w:rPr>
          <w:spacing w:val="-1"/>
        </w:rPr>
        <w:t>划定盐边钒钛产业开发区已建区、适建区、限建区和禁建区，并制定相应管控策</w:t>
      </w:r>
      <w:r>
        <w:rPr>
          <w:spacing w:val="-2"/>
        </w:rPr>
        <w:t>略，具体如</w:t>
      </w:r>
      <w:r>
        <w:rPr>
          <w:spacing w:val="-4"/>
        </w:rPr>
        <w:t>下表所示。</w:t>
      </w:r>
    </w:p>
    <w:p w14:paraId="0FEFCDDA">
      <w:pPr>
        <w:spacing w:before="63" w:line="207" w:lineRule="auto"/>
        <w:ind w:left="3853"/>
        <w:rPr>
          <w:rFonts w:ascii="华文细黑" w:hAnsi="华文细黑" w:eastAsia="华文细黑" w:cs="华文细黑"/>
          <w:sz w:val="21"/>
          <w:szCs w:val="21"/>
        </w:rPr>
      </w:pPr>
      <w:r>
        <w:rPr>
          <w:rFonts w:ascii="华文细黑" w:hAnsi="华文细黑" w:eastAsia="华文细黑" w:cs="华文细黑"/>
          <w:spacing w:val="-2"/>
          <w:sz w:val="21"/>
          <w:szCs w:val="21"/>
        </w:rPr>
        <w:t>表格 3</w:t>
      </w:r>
      <w:r>
        <w:rPr>
          <w:rFonts w:ascii="华文细黑" w:hAnsi="华文细黑" w:eastAsia="华文细黑" w:cs="华文细黑"/>
          <w:spacing w:val="8"/>
          <w:sz w:val="21"/>
          <w:szCs w:val="21"/>
        </w:rPr>
        <w:t xml:space="preserve">  </w:t>
      </w:r>
      <w:r>
        <w:rPr>
          <w:rFonts w:ascii="华文细黑" w:hAnsi="华文细黑" w:eastAsia="华文细黑" w:cs="华文细黑"/>
          <w:spacing w:val="-2"/>
          <w:sz w:val="21"/>
          <w:szCs w:val="21"/>
        </w:rPr>
        <w:t>空间管制分区一览表</w:t>
      </w:r>
    </w:p>
    <w:p w14:paraId="0FFECBC9">
      <w:pPr>
        <w:spacing w:line="85" w:lineRule="exact"/>
      </w:pPr>
    </w:p>
    <w:tbl>
      <w:tblPr>
        <w:tblStyle w:val="5"/>
        <w:tblW w:w="5035" w:type="dxa"/>
        <w:tblInd w:w="26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4"/>
        <w:gridCol w:w="1297"/>
        <w:gridCol w:w="1724"/>
      </w:tblGrid>
      <w:tr w14:paraId="522F0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014" w:type="dxa"/>
            <w:vAlign w:val="top"/>
          </w:tcPr>
          <w:p w14:paraId="07A70568">
            <w:pPr>
              <w:pStyle w:val="6"/>
              <w:spacing w:before="51" w:line="197" w:lineRule="auto"/>
              <w:ind w:left="595"/>
            </w:pPr>
            <w:r>
              <w:rPr>
                <w:spacing w:val="-3"/>
              </w:rPr>
              <w:t>用地类别</w:t>
            </w:r>
          </w:p>
        </w:tc>
        <w:tc>
          <w:tcPr>
            <w:tcW w:w="1297" w:type="dxa"/>
            <w:vAlign w:val="top"/>
          </w:tcPr>
          <w:p w14:paraId="6816161C">
            <w:pPr>
              <w:pStyle w:val="6"/>
              <w:spacing w:before="51" w:line="197" w:lineRule="auto"/>
              <w:ind w:left="160"/>
            </w:pPr>
            <w:r>
              <w:rPr>
                <w:spacing w:val="-7"/>
              </w:rPr>
              <w:t>面积</w:t>
            </w:r>
            <w:r>
              <w:rPr>
                <w:spacing w:val="-24"/>
              </w:rPr>
              <w:t xml:space="preserve"> </w:t>
            </w:r>
            <w:r>
              <w:rPr>
                <w:rFonts w:hint="eastAsia"/>
                <w:spacing w:val="-24"/>
                <w:lang w:eastAsia="zh-CN"/>
              </w:rPr>
              <w:t>（</w:t>
            </w:r>
            <w:r>
              <w:rPr>
                <w:spacing w:val="-7"/>
              </w:rPr>
              <w:t>公顷</w:t>
            </w:r>
            <w:r>
              <w:rPr>
                <w:rFonts w:hint="eastAsia"/>
                <w:spacing w:val="-7"/>
                <w:lang w:eastAsia="zh-CN"/>
              </w:rPr>
              <w:t>）</w:t>
            </w:r>
          </w:p>
        </w:tc>
        <w:tc>
          <w:tcPr>
            <w:tcW w:w="1724" w:type="dxa"/>
            <w:vAlign w:val="top"/>
          </w:tcPr>
          <w:p w14:paraId="304B38E8">
            <w:pPr>
              <w:pStyle w:val="6"/>
              <w:spacing w:before="51" w:line="197" w:lineRule="auto"/>
              <w:ind w:left="382"/>
            </w:pPr>
            <w:r>
              <w:rPr>
                <w:spacing w:val="-5"/>
              </w:rPr>
              <w:t>比例（%）</w:t>
            </w:r>
          </w:p>
        </w:tc>
      </w:tr>
      <w:tr w14:paraId="72346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14" w:type="dxa"/>
            <w:vAlign w:val="top"/>
          </w:tcPr>
          <w:p w14:paraId="5334FEB7">
            <w:pPr>
              <w:pStyle w:val="6"/>
              <w:spacing w:before="48" w:line="196" w:lineRule="auto"/>
              <w:ind w:left="714"/>
            </w:pPr>
            <w:r>
              <w:rPr>
                <w:spacing w:val="-6"/>
              </w:rPr>
              <w:t>已建区</w:t>
            </w:r>
          </w:p>
        </w:tc>
        <w:tc>
          <w:tcPr>
            <w:tcW w:w="1297" w:type="dxa"/>
            <w:vAlign w:val="top"/>
          </w:tcPr>
          <w:p w14:paraId="069A6D92">
            <w:pPr>
              <w:pStyle w:val="6"/>
              <w:spacing w:before="48" w:line="196" w:lineRule="auto"/>
              <w:ind w:left="328"/>
            </w:pPr>
            <w:r>
              <w:rPr>
                <w:spacing w:val="-1"/>
              </w:rPr>
              <w:t>486.85</w:t>
            </w:r>
          </w:p>
        </w:tc>
        <w:tc>
          <w:tcPr>
            <w:tcW w:w="1724" w:type="dxa"/>
            <w:vAlign w:val="top"/>
          </w:tcPr>
          <w:p w14:paraId="475346C4">
            <w:pPr>
              <w:pStyle w:val="6"/>
              <w:spacing w:before="48" w:line="196" w:lineRule="auto"/>
              <w:ind w:left="626"/>
            </w:pPr>
            <w:r>
              <w:rPr>
                <w:spacing w:val="-6"/>
              </w:rPr>
              <w:t>13.98</w:t>
            </w:r>
          </w:p>
        </w:tc>
      </w:tr>
      <w:tr w14:paraId="33478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14" w:type="dxa"/>
            <w:vAlign w:val="top"/>
          </w:tcPr>
          <w:p w14:paraId="020E33A2">
            <w:pPr>
              <w:pStyle w:val="6"/>
              <w:spacing w:before="48" w:line="196" w:lineRule="auto"/>
              <w:ind w:left="695"/>
            </w:pPr>
            <w:r>
              <w:rPr>
                <w:spacing w:val="-2"/>
              </w:rPr>
              <w:t>适建区</w:t>
            </w:r>
          </w:p>
        </w:tc>
        <w:tc>
          <w:tcPr>
            <w:tcW w:w="1297" w:type="dxa"/>
            <w:vAlign w:val="top"/>
          </w:tcPr>
          <w:p w14:paraId="195AA2F2">
            <w:pPr>
              <w:pStyle w:val="6"/>
              <w:spacing w:before="48" w:line="196" w:lineRule="auto"/>
              <w:ind w:left="295"/>
            </w:pPr>
            <w:r>
              <w:rPr>
                <w:spacing w:val="-4"/>
              </w:rPr>
              <w:t>1105.24</w:t>
            </w:r>
          </w:p>
        </w:tc>
        <w:tc>
          <w:tcPr>
            <w:tcW w:w="1724" w:type="dxa"/>
            <w:vAlign w:val="top"/>
          </w:tcPr>
          <w:p w14:paraId="57BAF67D">
            <w:pPr>
              <w:pStyle w:val="6"/>
              <w:spacing w:before="48" w:line="196" w:lineRule="auto"/>
              <w:ind w:left="603"/>
            </w:pPr>
            <w:r>
              <w:rPr>
                <w:spacing w:val="-1"/>
              </w:rPr>
              <w:t>31.75</w:t>
            </w:r>
          </w:p>
        </w:tc>
      </w:tr>
      <w:tr w14:paraId="28441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14" w:type="dxa"/>
            <w:vAlign w:val="top"/>
          </w:tcPr>
          <w:p w14:paraId="441935A8">
            <w:pPr>
              <w:pStyle w:val="6"/>
              <w:spacing w:before="49" w:line="195" w:lineRule="auto"/>
              <w:ind w:left="707"/>
            </w:pPr>
            <w:r>
              <w:rPr>
                <w:spacing w:val="-4"/>
              </w:rPr>
              <w:t>限建区</w:t>
            </w:r>
          </w:p>
        </w:tc>
        <w:tc>
          <w:tcPr>
            <w:tcW w:w="1297" w:type="dxa"/>
            <w:vAlign w:val="top"/>
          </w:tcPr>
          <w:p w14:paraId="5AFD4310">
            <w:pPr>
              <w:pStyle w:val="6"/>
              <w:spacing w:before="49" w:line="195" w:lineRule="auto"/>
              <w:ind w:left="295"/>
            </w:pPr>
            <w:r>
              <w:rPr>
                <w:spacing w:val="-4"/>
              </w:rPr>
              <w:t>1508.77</w:t>
            </w:r>
          </w:p>
        </w:tc>
        <w:tc>
          <w:tcPr>
            <w:tcW w:w="1724" w:type="dxa"/>
            <w:vAlign w:val="top"/>
          </w:tcPr>
          <w:p w14:paraId="267617D5">
            <w:pPr>
              <w:pStyle w:val="6"/>
              <w:spacing w:before="49" w:line="195" w:lineRule="auto"/>
              <w:ind w:left="601"/>
            </w:pPr>
            <w:r>
              <w:rPr>
                <w:spacing w:val="-1"/>
              </w:rPr>
              <w:t>43.34</w:t>
            </w:r>
          </w:p>
        </w:tc>
      </w:tr>
      <w:tr w14:paraId="660C1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2014" w:type="dxa"/>
            <w:vAlign w:val="top"/>
          </w:tcPr>
          <w:p w14:paraId="225D8437">
            <w:pPr>
              <w:pStyle w:val="6"/>
              <w:spacing w:before="49" w:line="195" w:lineRule="auto"/>
              <w:ind w:left="697"/>
            </w:pPr>
            <w:r>
              <w:rPr>
                <w:spacing w:val="-2"/>
              </w:rPr>
              <w:t>禁建区</w:t>
            </w:r>
          </w:p>
        </w:tc>
        <w:tc>
          <w:tcPr>
            <w:tcW w:w="1297" w:type="dxa"/>
            <w:vAlign w:val="top"/>
          </w:tcPr>
          <w:p w14:paraId="349F4D86">
            <w:pPr>
              <w:pStyle w:val="6"/>
              <w:spacing w:before="49" w:line="195" w:lineRule="auto"/>
              <w:ind w:left="330"/>
            </w:pPr>
            <w:r>
              <w:rPr>
                <w:spacing w:val="-1"/>
              </w:rPr>
              <w:t>380.64</w:t>
            </w:r>
          </w:p>
        </w:tc>
        <w:tc>
          <w:tcPr>
            <w:tcW w:w="1724" w:type="dxa"/>
            <w:vAlign w:val="top"/>
          </w:tcPr>
          <w:p w14:paraId="333D6DCD">
            <w:pPr>
              <w:pStyle w:val="6"/>
              <w:spacing w:before="49" w:line="195" w:lineRule="auto"/>
              <w:ind w:left="626"/>
            </w:pPr>
            <w:r>
              <w:rPr>
                <w:spacing w:val="-6"/>
              </w:rPr>
              <w:t>10.93</w:t>
            </w:r>
          </w:p>
        </w:tc>
      </w:tr>
      <w:tr w14:paraId="2B9D2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014" w:type="dxa"/>
            <w:vAlign w:val="top"/>
          </w:tcPr>
          <w:p w14:paraId="4339DAE6">
            <w:pPr>
              <w:pStyle w:val="6"/>
              <w:spacing w:before="49" w:line="198" w:lineRule="auto"/>
              <w:ind w:left="274"/>
            </w:pPr>
            <w:r>
              <w:rPr>
                <w:spacing w:val="-1"/>
              </w:rPr>
              <w:t>规划范围总用地</w:t>
            </w:r>
          </w:p>
        </w:tc>
        <w:tc>
          <w:tcPr>
            <w:tcW w:w="1297" w:type="dxa"/>
            <w:vAlign w:val="top"/>
          </w:tcPr>
          <w:p w14:paraId="0C3EAA66">
            <w:pPr>
              <w:pStyle w:val="6"/>
              <w:spacing w:before="49" w:line="198" w:lineRule="auto"/>
              <w:ind w:left="330"/>
            </w:pPr>
            <w:r>
              <w:rPr>
                <w:spacing w:val="-1"/>
              </w:rPr>
              <w:t>3481.5</w:t>
            </w:r>
          </w:p>
        </w:tc>
        <w:tc>
          <w:tcPr>
            <w:tcW w:w="1724" w:type="dxa"/>
            <w:vAlign w:val="top"/>
          </w:tcPr>
          <w:p w14:paraId="275D0DFF">
            <w:pPr>
              <w:pStyle w:val="6"/>
              <w:spacing w:before="49" w:line="198" w:lineRule="auto"/>
              <w:ind w:left="715"/>
            </w:pPr>
            <w:r>
              <w:rPr>
                <w:spacing w:val="-10"/>
              </w:rPr>
              <w:t>100</w:t>
            </w:r>
          </w:p>
        </w:tc>
      </w:tr>
    </w:tbl>
    <w:p w14:paraId="20642026">
      <w:pPr>
        <w:spacing w:line="14" w:lineRule="auto"/>
        <w:rPr>
          <w:rFonts w:ascii="Arial"/>
          <w:sz w:val="2"/>
        </w:rPr>
      </w:pPr>
    </w:p>
    <w:p w14:paraId="20BF7CCC">
      <w:pPr>
        <w:spacing w:line="14" w:lineRule="auto"/>
        <w:rPr>
          <w:rFonts w:ascii="Arial" w:hAnsi="Arial" w:eastAsia="Arial" w:cs="Arial"/>
          <w:sz w:val="2"/>
          <w:szCs w:val="2"/>
        </w:rPr>
        <w:sectPr>
          <w:type w:val="continuous"/>
          <w:pgSz w:w="23811" w:h="16839"/>
          <w:pgMar w:top="1274" w:right="1253" w:bottom="1613" w:left="1411" w:header="838" w:footer="1385" w:gutter="0"/>
          <w:cols w:equalWidth="0" w:num="2">
            <w:col w:w="10704" w:space="100"/>
            <w:col w:w="10343"/>
          </w:cols>
        </w:sectPr>
      </w:pPr>
    </w:p>
    <w:p w14:paraId="41C65DC9">
      <w:pPr>
        <w:spacing w:line="34" w:lineRule="exact"/>
      </w:pPr>
    </w:p>
    <w:p w14:paraId="138B6109">
      <w:pPr>
        <w:spacing w:line="34" w:lineRule="exact"/>
        <w:sectPr>
          <w:headerReference r:id="rId15" w:type="default"/>
          <w:footerReference r:id="rId16" w:type="default"/>
          <w:pgSz w:w="23811" w:h="16839"/>
          <w:pgMar w:top="1274" w:right="1409" w:bottom="1613" w:left="1411" w:header="838" w:footer="1386" w:gutter="0"/>
          <w:cols w:equalWidth="0" w:num="1">
            <w:col w:w="20990"/>
          </w:cols>
        </w:sectPr>
      </w:pPr>
    </w:p>
    <w:p w14:paraId="76FA220F">
      <w:pPr>
        <w:spacing w:before="54" w:line="222" w:lineRule="auto"/>
        <w:ind w:left="522"/>
        <w:rPr>
          <w:rFonts w:ascii="黑体" w:hAnsi="黑体" w:eastAsia="黑体" w:cs="黑体"/>
          <w:sz w:val="24"/>
          <w:szCs w:val="24"/>
        </w:rPr>
      </w:pPr>
      <w:r>
        <w:rPr>
          <w:rFonts w:ascii="黑体" w:hAnsi="黑体" w:eastAsia="黑体" w:cs="黑体"/>
          <w:spacing w:val="-2"/>
          <w:sz w:val="24"/>
          <w:szCs w:val="24"/>
        </w:rPr>
        <w:t>一、已建区</w:t>
      </w:r>
    </w:p>
    <w:p w14:paraId="00ECCDD0">
      <w:pPr>
        <w:spacing w:line="377" w:lineRule="auto"/>
        <w:rPr>
          <w:rFonts w:ascii="Arial"/>
          <w:sz w:val="21"/>
        </w:rPr>
      </w:pPr>
    </w:p>
    <w:p w14:paraId="07257744">
      <w:pPr>
        <w:pStyle w:val="2"/>
        <w:spacing w:before="78" w:line="234" w:lineRule="auto"/>
        <w:ind w:left="479"/>
      </w:pPr>
      <w:r>
        <w:rPr>
          <w:rFonts w:ascii="Times New Roman" w:hAnsi="Times New Roman" w:eastAsia="Times New Roman" w:cs="Times New Roman"/>
          <w:spacing w:val="-10"/>
        </w:rPr>
        <w:t>1.</w:t>
      </w:r>
      <w:r>
        <w:rPr>
          <w:rFonts w:ascii="Times New Roman" w:hAnsi="Times New Roman" w:eastAsia="Times New Roman" w:cs="Times New Roman"/>
          <w:spacing w:val="7"/>
        </w:rPr>
        <w:t xml:space="preserve">    </w:t>
      </w:r>
      <w:r>
        <w:rPr>
          <w:spacing w:val="-10"/>
        </w:rPr>
        <w:t>区划范围</w:t>
      </w:r>
    </w:p>
    <w:p w14:paraId="456D8BA8">
      <w:pPr>
        <w:pStyle w:val="2"/>
        <w:spacing w:before="185" w:line="219" w:lineRule="auto"/>
        <w:ind w:left="544"/>
      </w:pPr>
      <w:r>
        <w:rPr>
          <w:spacing w:val="-2"/>
        </w:rPr>
        <w:t>已建区为已经建设的城市建设用地、村庄建设用地、区域交通设施用地和采矿用地。</w:t>
      </w:r>
    </w:p>
    <w:p w14:paraId="2412F5CC">
      <w:pPr>
        <w:pStyle w:val="2"/>
        <w:spacing w:before="205" w:line="233" w:lineRule="auto"/>
        <w:ind w:left="456"/>
      </w:pPr>
      <w:r>
        <w:rPr>
          <w:rFonts w:ascii="Times New Roman" w:hAnsi="Times New Roman" w:eastAsia="Times New Roman" w:cs="Times New Roman"/>
          <w:spacing w:val="-4"/>
        </w:rPr>
        <w:t>2.</w:t>
      </w:r>
      <w:r>
        <w:rPr>
          <w:rFonts w:ascii="Times New Roman" w:hAnsi="Times New Roman" w:eastAsia="Times New Roman" w:cs="Times New Roman"/>
          <w:spacing w:val="4"/>
        </w:rPr>
        <w:t xml:space="preserve">    </w:t>
      </w:r>
      <w:r>
        <w:rPr>
          <w:spacing w:val="-4"/>
        </w:rPr>
        <w:t>管制要求</w:t>
      </w:r>
    </w:p>
    <w:p w14:paraId="1C6E4B5F">
      <w:pPr>
        <w:pStyle w:val="2"/>
        <w:spacing w:before="184" w:line="219" w:lineRule="auto"/>
        <w:ind w:left="478"/>
      </w:pPr>
      <w:r>
        <w:rPr>
          <w:rFonts w:hint="eastAsia"/>
          <w:spacing w:val="-3"/>
          <w:lang w:eastAsia="zh-CN"/>
        </w:rPr>
        <w:t>1）</w:t>
      </w:r>
      <w:r>
        <w:rPr>
          <w:spacing w:val="73"/>
        </w:rPr>
        <w:t xml:space="preserve"> </w:t>
      </w:r>
      <w:r>
        <w:rPr>
          <w:spacing w:val="-3"/>
        </w:rPr>
        <w:t>综合协调已建区内功能布局，提高土地</w:t>
      </w:r>
      <w:r>
        <w:rPr>
          <w:spacing w:val="-4"/>
        </w:rPr>
        <w:t>利用率。</w:t>
      </w:r>
    </w:p>
    <w:p w14:paraId="1DA37C13">
      <w:pPr>
        <w:pStyle w:val="2"/>
        <w:spacing w:before="204" w:line="220" w:lineRule="auto"/>
        <w:ind w:left="463"/>
      </w:pPr>
      <w:r>
        <w:rPr>
          <w:rFonts w:hint="eastAsia"/>
          <w:spacing w:val="-4"/>
          <w:lang w:eastAsia="zh-CN"/>
        </w:rPr>
        <w:t>2）</w:t>
      </w:r>
      <w:r>
        <w:rPr>
          <w:spacing w:val="72"/>
        </w:rPr>
        <w:t xml:space="preserve"> </w:t>
      </w:r>
      <w:r>
        <w:rPr>
          <w:spacing w:val="-4"/>
        </w:rPr>
        <w:t>完善已建区内的配套设施。</w:t>
      </w:r>
    </w:p>
    <w:p w14:paraId="44C88E44">
      <w:pPr>
        <w:pStyle w:val="2"/>
        <w:spacing w:before="204" w:line="220" w:lineRule="auto"/>
        <w:ind w:left="465"/>
      </w:pPr>
      <w:r>
        <w:rPr>
          <w:rFonts w:hint="eastAsia"/>
          <w:spacing w:val="-2"/>
          <w:lang w:eastAsia="zh-CN"/>
        </w:rPr>
        <w:t>3）</w:t>
      </w:r>
      <w:r>
        <w:rPr>
          <w:spacing w:val="72"/>
        </w:rPr>
        <w:t xml:space="preserve"> </w:t>
      </w:r>
      <w:r>
        <w:rPr>
          <w:spacing w:val="-2"/>
        </w:rPr>
        <w:t>加强与规划用地的协调和环境综合整治，注重节约、集约用地。</w:t>
      </w:r>
    </w:p>
    <w:p w14:paraId="3071006F">
      <w:pPr>
        <w:pStyle w:val="2"/>
        <w:spacing w:before="205" w:line="377" w:lineRule="auto"/>
        <w:ind w:left="882" w:right="743" w:hanging="423"/>
      </w:pPr>
      <w:r>
        <w:rPr>
          <w:rFonts w:hint="eastAsia"/>
          <w:spacing w:val="1"/>
          <w:lang w:eastAsia="zh-CN"/>
        </w:rPr>
        <w:t>4）</w:t>
      </w:r>
      <w:r>
        <w:rPr>
          <w:spacing w:val="92"/>
        </w:rPr>
        <w:t xml:space="preserve"> </w:t>
      </w:r>
      <w:r>
        <w:rPr>
          <w:spacing w:val="1"/>
        </w:rPr>
        <w:t>区内现状用地位于已批法定规划确定的禁止建设区或经论证有安全隐患且不得开展建设</w:t>
      </w:r>
      <w:r>
        <w:rPr>
          <w:spacing w:val="2"/>
        </w:rPr>
        <w:t>的地震断裂带、地质灾害区、水体行洪区等生态控制区域和安全隐患</w:t>
      </w:r>
      <w:r>
        <w:rPr>
          <w:spacing w:val="1"/>
        </w:rPr>
        <w:t>区域的，应酌情逐</w:t>
      </w:r>
      <w:r>
        <w:rPr>
          <w:spacing w:val="-5"/>
        </w:rPr>
        <w:t>步拆除、搬迁或改造。</w:t>
      </w:r>
    </w:p>
    <w:p w14:paraId="39E679A8">
      <w:pPr>
        <w:spacing w:before="258" w:line="222" w:lineRule="auto"/>
        <w:ind w:left="522"/>
        <w:rPr>
          <w:rFonts w:ascii="黑体" w:hAnsi="黑体" w:eastAsia="黑体" w:cs="黑体"/>
          <w:sz w:val="24"/>
          <w:szCs w:val="24"/>
        </w:rPr>
      </w:pPr>
      <w:r>
        <w:rPr>
          <w:rFonts w:ascii="黑体" w:hAnsi="黑体" w:eastAsia="黑体" w:cs="黑体"/>
          <w:spacing w:val="-2"/>
          <w:sz w:val="24"/>
          <w:szCs w:val="24"/>
        </w:rPr>
        <w:t>二、适建区</w:t>
      </w:r>
    </w:p>
    <w:p w14:paraId="3ACF31BC">
      <w:pPr>
        <w:spacing w:line="377" w:lineRule="auto"/>
        <w:rPr>
          <w:rFonts w:ascii="Arial"/>
          <w:sz w:val="21"/>
        </w:rPr>
      </w:pPr>
    </w:p>
    <w:p w14:paraId="751E59B1">
      <w:pPr>
        <w:pStyle w:val="2"/>
        <w:spacing w:before="78" w:line="234" w:lineRule="auto"/>
        <w:ind w:left="479"/>
      </w:pPr>
      <w:r>
        <w:rPr>
          <w:rFonts w:ascii="Times New Roman" w:hAnsi="Times New Roman" w:eastAsia="Times New Roman" w:cs="Times New Roman"/>
          <w:spacing w:val="-9"/>
        </w:rPr>
        <w:t>1.</w:t>
      </w:r>
      <w:r>
        <w:rPr>
          <w:rFonts w:ascii="Times New Roman" w:hAnsi="Times New Roman" w:eastAsia="Times New Roman" w:cs="Times New Roman"/>
          <w:spacing w:val="7"/>
        </w:rPr>
        <w:t xml:space="preserve">    </w:t>
      </w:r>
      <w:r>
        <w:rPr>
          <w:spacing w:val="-9"/>
        </w:rPr>
        <w:t>区划范围</w:t>
      </w:r>
    </w:p>
    <w:p w14:paraId="3DE5509C">
      <w:pPr>
        <w:pStyle w:val="2"/>
        <w:spacing w:before="185" w:line="219" w:lineRule="auto"/>
        <w:ind w:left="518"/>
      </w:pPr>
      <w:r>
        <w:rPr>
          <w:spacing w:val="-2"/>
        </w:rPr>
        <w:t>适宜依法开展城乡建设用地利用和建设行为的空间区域。</w:t>
      </w:r>
    </w:p>
    <w:p w14:paraId="1C97CD9B">
      <w:pPr>
        <w:pStyle w:val="2"/>
        <w:spacing w:before="206" w:line="233" w:lineRule="auto"/>
        <w:ind w:left="456"/>
      </w:pPr>
      <w:r>
        <w:rPr>
          <w:rFonts w:ascii="Times New Roman" w:hAnsi="Times New Roman" w:eastAsia="Times New Roman" w:cs="Times New Roman"/>
          <w:spacing w:val="-3"/>
        </w:rPr>
        <w:t>2.</w:t>
      </w:r>
      <w:r>
        <w:rPr>
          <w:rFonts w:ascii="Times New Roman" w:hAnsi="Times New Roman" w:eastAsia="Times New Roman" w:cs="Times New Roman"/>
          <w:spacing w:val="3"/>
        </w:rPr>
        <w:t xml:space="preserve">    </w:t>
      </w:r>
      <w:r>
        <w:rPr>
          <w:spacing w:val="-3"/>
        </w:rPr>
        <w:t>管制要求</w:t>
      </w:r>
    </w:p>
    <w:p w14:paraId="6DBC8B48">
      <w:pPr>
        <w:pStyle w:val="2"/>
        <w:spacing w:before="186" w:line="376" w:lineRule="auto"/>
        <w:ind w:left="882" w:right="743" w:hanging="404"/>
      </w:pPr>
      <w:r>
        <w:rPr>
          <w:rFonts w:hint="eastAsia"/>
          <w:spacing w:val="1"/>
          <w:lang w:eastAsia="zh-CN"/>
        </w:rPr>
        <w:t>1）</w:t>
      </w:r>
      <w:r>
        <w:rPr>
          <w:spacing w:val="73"/>
        </w:rPr>
        <w:t xml:space="preserve"> </w:t>
      </w:r>
      <w:r>
        <w:rPr>
          <w:spacing w:val="1"/>
        </w:rPr>
        <w:t>必须明确划定规划建设用地范围，根据资源条件和环境容量，本着节约、集约用地的原</w:t>
      </w:r>
      <w:r>
        <w:rPr>
          <w:spacing w:val="2"/>
        </w:rPr>
        <w:t>则科学合理地确定建设模式、建设强度和建设时序，集约利用土地资源</w:t>
      </w:r>
      <w:r>
        <w:rPr>
          <w:spacing w:val="1"/>
        </w:rPr>
        <w:t>，合理的区域建</w:t>
      </w:r>
      <w:r>
        <w:rPr>
          <w:spacing w:val="-2"/>
        </w:rPr>
        <w:t>筑密度和建筑容积率，构建资源节约型、环境友好型产业开发区。</w:t>
      </w:r>
    </w:p>
    <w:p w14:paraId="15343FF3">
      <w:pPr>
        <w:pStyle w:val="2"/>
        <w:spacing w:before="1" w:line="376" w:lineRule="auto"/>
        <w:ind w:left="879" w:right="743" w:hanging="416"/>
      </w:pPr>
      <w:r>
        <w:rPr>
          <w:rFonts w:hint="eastAsia"/>
          <w:spacing w:val="1"/>
          <w:lang w:eastAsia="zh-CN"/>
        </w:rPr>
        <w:t>2）</w:t>
      </w:r>
      <w:r>
        <w:rPr>
          <w:spacing w:val="88"/>
        </w:rPr>
        <w:t xml:space="preserve"> </w:t>
      </w:r>
      <w:r>
        <w:rPr>
          <w:spacing w:val="1"/>
        </w:rPr>
        <w:t>地质灾害点及周边缓冲范围，若经评估并得到了较好的治理，经论证后适合建设才可作</w:t>
      </w:r>
      <w:r>
        <w:rPr>
          <w:spacing w:val="2"/>
        </w:rPr>
        <w:t>为备选建设用地。本次规划划定的适建区仅针对规划基期年的地质情况，不作</w:t>
      </w:r>
      <w:r>
        <w:rPr>
          <w:spacing w:val="1"/>
        </w:rPr>
        <w:t>为实际工</w:t>
      </w:r>
      <w:r>
        <w:rPr>
          <w:spacing w:val="2"/>
        </w:rPr>
        <w:t>程建设的依据。开展建设活动前，须结合当时情况，重新开展必要的地质灾害</w:t>
      </w:r>
      <w:r>
        <w:rPr>
          <w:spacing w:val="1"/>
        </w:rPr>
        <w:t>论证后建</w:t>
      </w:r>
      <w:r>
        <w:rPr>
          <w:spacing w:val="-11"/>
        </w:rPr>
        <w:t>设。</w:t>
      </w:r>
    </w:p>
    <w:p w14:paraId="2222F0FC">
      <w:pPr>
        <w:pStyle w:val="2"/>
        <w:spacing w:before="2" w:line="375" w:lineRule="auto"/>
        <w:ind w:left="881" w:right="743" w:hanging="416"/>
      </w:pPr>
      <w:r>
        <w:rPr>
          <w:rFonts w:hint="eastAsia"/>
          <w:spacing w:val="1"/>
          <w:lang w:eastAsia="zh-CN"/>
        </w:rPr>
        <w:t>3）</w:t>
      </w:r>
      <w:r>
        <w:rPr>
          <w:spacing w:val="86"/>
        </w:rPr>
        <w:t xml:space="preserve"> </w:t>
      </w:r>
      <w:r>
        <w:rPr>
          <w:spacing w:val="1"/>
        </w:rPr>
        <w:t>严格保护盐边钒钛产业开发区的景观风貌，保护各种自然景观要素，合理配置公园绿地</w:t>
      </w:r>
      <w:r>
        <w:rPr>
          <w:spacing w:val="-2"/>
        </w:rPr>
        <w:t>和生态用地，合理搭配植被物种结构，以乡土植被树种为主。</w:t>
      </w:r>
    </w:p>
    <w:p w14:paraId="4411AFAE">
      <w:pPr>
        <w:pStyle w:val="2"/>
        <w:spacing w:before="1" w:line="219" w:lineRule="auto"/>
        <w:ind w:left="459"/>
      </w:pPr>
      <w:r>
        <w:rPr>
          <w:rFonts w:hint="eastAsia"/>
          <w:spacing w:val="-2"/>
          <w:lang w:eastAsia="zh-CN"/>
        </w:rPr>
        <w:t>4）</w:t>
      </w:r>
      <w:r>
        <w:rPr>
          <w:spacing w:val="69"/>
        </w:rPr>
        <w:t xml:space="preserve"> </w:t>
      </w:r>
      <w:r>
        <w:rPr>
          <w:spacing w:val="-2"/>
        </w:rPr>
        <w:t>加强环境功能区划和环境基础设施建设，严格执行环境质量标准和污染物排放</w:t>
      </w:r>
      <w:r>
        <w:rPr>
          <w:spacing w:val="-3"/>
        </w:rPr>
        <w:t>控制标准。</w:t>
      </w:r>
    </w:p>
    <w:p w14:paraId="6C53DCB6">
      <w:pPr>
        <w:spacing w:line="385" w:lineRule="auto"/>
        <w:rPr>
          <w:rFonts w:ascii="Arial"/>
          <w:sz w:val="21"/>
        </w:rPr>
      </w:pPr>
    </w:p>
    <w:p w14:paraId="7E2A372E">
      <w:pPr>
        <w:spacing w:before="78" w:line="222" w:lineRule="auto"/>
        <w:ind w:left="522"/>
        <w:rPr>
          <w:rFonts w:ascii="黑体" w:hAnsi="黑体" w:eastAsia="黑体" w:cs="黑体"/>
          <w:sz w:val="24"/>
          <w:szCs w:val="24"/>
        </w:rPr>
      </w:pPr>
      <w:r>
        <w:rPr>
          <w:rFonts w:ascii="黑体" w:hAnsi="黑体" w:eastAsia="黑体" w:cs="黑体"/>
          <w:spacing w:val="-2"/>
          <w:sz w:val="24"/>
          <w:szCs w:val="24"/>
        </w:rPr>
        <w:t>三、限建区</w:t>
      </w:r>
    </w:p>
    <w:p w14:paraId="5582513D">
      <w:pPr>
        <w:spacing w:line="378" w:lineRule="auto"/>
        <w:rPr>
          <w:rFonts w:ascii="Arial"/>
          <w:sz w:val="21"/>
        </w:rPr>
      </w:pPr>
    </w:p>
    <w:p w14:paraId="5373FDB2">
      <w:pPr>
        <w:pStyle w:val="2"/>
        <w:spacing w:before="79" w:line="198" w:lineRule="auto"/>
        <w:ind w:left="479"/>
      </w:pPr>
      <w:r>
        <w:rPr>
          <w:rFonts w:ascii="Times New Roman" w:hAnsi="Times New Roman" w:eastAsia="Times New Roman" w:cs="Times New Roman"/>
          <w:spacing w:val="-9"/>
        </w:rPr>
        <w:t>1.</w:t>
      </w:r>
      <w:r>
        <w:rPr>
          <w:rFonts w:ascii="Times New Roman" w:hAnsi="Times New Roman" w:eastAsia="Times New Roman" w:cs="Times New Roman"/>
          <w:spacing w:val="7"/>
        </w:rPr>
        <w:t xml:space="preserve">    </w:t>
      </w:r>
      <w:r>
        <w:rPr>
          <w:spacing w:val="-9"/>
        </w:rPr>
        <w:t>区划范围</w:t>
      </w:r>
    </w:p>
    <w:p w14:paraId="52E5C775">
      <w:pPr>
        <w:spacing w:line="14" w:lineRule="auto"/>
        <w:rPr>
          <w:rFonts w:ascii="Arial"/>
          <w:sz w:val="2"/>
        </w:rPr>
      </w:pPr>
      <w:r>
        <w:rPr>
          <w:rFonts w:ascii="Arial" w:hAnsi="Arial" w:eastAsia="Arial" w:cs="Arial"/>
          <w:sz w:val="2"/>
          <w:szCs w:val="2"/>
        </w:rPr>
        <w:br w:type="column"/>
      </w:r>
    </w:p>
    <w:p w14:paraId="238A81B4">
      <w:pPr>
        <w:pStyle w:val="2"/>
        <w:spacing w:before="49" w:line="377" w:lineRule="auto"/>
        <w:ind w:left="12" w:right="26" w:firstLine="480"/>
      </w:pPr>
      <w:r>
        <w:rPr>
          <w:b/>
          <w:bCs/>
          <w:spacing w:val="-5"/>
          <w:u w:val="single" w:color="auto"/>
        </w:rPr>
        <w:t>规划将生态服务用地、生态农业用地、河流水体两侧</w:t>
      </w:r>
      <w:r>
        <w:rPr>
          <w:spacing w:val="-37"/>
          <w:u w:val="single" w:color="auto"/>
        </w:rPr>
        <w:t xml:space="preserve"> </w:t>
      </w:r>
      <w:r>
        <w:rPr>
          <w:rFonts w:ascii="Times New Roman" w:hAnsi="Times New Roman" w:eastAsia="Times New Roman" w:cs="Times New Roman"/>
          <w:b/>
          <w:bCs/>
          <w:spacing w:val="-5"/>
          <w:u w:val="single" w:color="auto"/>
        </w:rPr>
        <w:t>50m</w:t>
      </w:r>
      <w:r>
        <w:rPr>
          <w:rFonts w:ascii="Times New Roman" w:hAnsi="Times New Roman" w:eastAsia="Times New Roman" w:cs="Times New Roman"/>
          <w:b/>
          <w:bCs/>
          <w:spacing w:val="45"/>
          <w:u w:val="single" w:color="auto"/>
        </w:rPr>
        <w:t xml:space="preserve"> </w:t>
      </w:r>
      <w:r>
        <w:rPr>
          <w:b/>
          <w:bCs/>
          <w:spacing w:val="-5"/>
          <w:u w:val="single" w:color="auto"/>
        </w:rPr>
        <w:t>内用地</w:t>
      </w:r>
      <w:r>
        <w:rPr>
          <w:b/>
          <w:bCs/>
          <w:spacing w:val="-6"/>
          <w:u w:val="single" w:color="auto"/>
        </w:rPr>
        <w:t>、坡度在</w:t>
      </w:r>
      <w:r>
        <w:rPr>
          <w:spacing w:val="-31"/>
          <w:u w:val="single" w:color="auto"/>
        </w:rPr>
        <w:t xml:space="preserve"> </w:t>
      </w:r>
      <w:r>
        <w:rPr>
          <w:rFonts w:ascii="Times New Roman" w:hAnsi="Times New Roman" w:eastAsia="Times New Roman" w:cs="Times New Roman"/>
          <w:b/>
          <w:bCs/>
          <w:spacing w:val="-6"/>
          <w:u w:val="single" w:color="auto"/>
        </w:rPr>
        <w:t>15</w:t>
      </w:r>
      <w:r>
        <w:rPr>
          <w:rFonts w:ascii="Times New Roman" w:hAnsi="Times New Roman" w:eastAsia="Times New Roman" w:cs="Times New Roman"/>
          <w:b/>
          <w:bCs/>
          <w:spacing w:val="-29"/>
          <w:u w:val="single" w:color="auto"/>
        </w:rPr>
        <w:t xml:space="preserve"> </w:t>
      </w:r>
      <w:r>
        <w:rPr>
          <w:b/>
          <w:bCs/>
          <w:spacing w:val="-6"/>
          <w:u w:val="single" w:color="auto"/>
        </w:rPr>
        <w:t>°—</w:t>
      </w:r>
      <w:r>
        <w:rPr>
          <w:rFonts w:ascii="Times New Roman" w:hAnsi="Times New Roman" w:eastAsia="Times New Roman" w:cs="Times New Roman"/>
          <w:b/>
          <w:bCs/>
          <w:spacing w:val="-6"/>
          <w:u w:val="single" w:color="auto"/>
        </w:rPr>
        <w:t>30</w:t>
      </w:r>
      <w:r>
        <w:rPr>
          <w:rFonts w:ascii="Times New Roman" w:hAnsi="Times New Roman" w:eastAsia="Times New Roman" w:cs="Times New Roman"/>
          <w:b/>
          <w:bCs/>
          <w:spacing w:val="-29"/>
          <w:u w:val="single" w:color="auto"/>
        </w:rPr>
        <w:t xml:space="preserve"> </w:t>
      </w:r>
      <w:r>
        <w:rPr>
          <w:b/>
          <w:bCs/>
          <w:spacing w:val="-6"/>
          <w:u w:val="single" w:color="auto"/>
        </w:rPr>
        <w:t>°</w:t>
      </w:r>
      <w:r>
        <w:rPr>
          <w:spacing w:val="-91"/>
          <w:u w:val="single" w:color="auto"/>
        </w:rPr>
        <w:t xml:space="preserve"> </w:t>
      </w:r>
      <w:r>
        <w:rPr>
          <w:b/>
          <w:bCs/>
          <w:spacing w:val="-6"/>
          <w:u w:val="single" w:color="auto"/>
        </w:rPr>
        <w:t>的部</w:t>
      </w:r>
      <w:r>
        <w:rPr>
          <w:b/>
          <w:bCs/>
          <w:spacing w:val="-4"/>
          <w:u w:val="single" w:color="auto"/>
        </w:rPr>
        <w:t>分用地、蓄滞洪区、不活动断裂带两侧</w:t>
      </w:r>
      <w:r>
        <w:rPr>
          <w:spacing w:val="-33"/>
          <w:u w:val="single" w:color="auto"/>
        </w:rPr>
        <w:t xml:space="preserve"> </w:t>
      </w:r>
      <w:r>
        <w:rPr>
          <w:rFonts w:ascii="Times New Roman" w:hAnsi="Times New Roman" w:eastAsia="Times New Roman" w:cs="Times New Roman"/>
          <w:b/>
          <w:bCs/>
          <w:spacing w:val="-4"/>
          <w:u w:val="single" w:color="auto"/>
        </w:rPr>
        <w:t>200m</w:t>
      </w:r>
      <w:r>
        <w:rPr>
          <w:rFonts w:ascii="Times New Roman" w:hAnsi="Times New Roman" w:eastAsia="Times New Roman" w:cs="Times New Roman"/>
          <w:b/>
          <w:bCs/>
          <w:spacing w:val="35"/>
          <w:u w:val="single" w:color="auto"/>
        </w:rPr>
        <w:t xml:space="preserve"> </w:t>
      </w:r>
      <w:r>
        <w:rPr>
          <w:b/>
          <w:bCs/>
          <w:spacing w:val="-4"/>
          <w:u w:val="single" w:color="auto"/>
        </w:rPr>
        <w:t>内作为限建区。</w:t>
      </w:r>
    </w:p>
    <w:p w14:paraId="27625462">
      <w:pPr>
        <w:pStyle w:val="2"/>
        <w:spacing w:line="233" w:lineRule="auto"/>
        <w:ind w:left="427"/>
      </w:pPr>
      <w:r>
        <w:rPr>
          <w:rFonts w:ascii="Times New Roman" w:hAnsi="Times New Roman" w:eastAsia="Times New Roman" w:cs="Times New Roman"/>
          <w:spacing w:val="-3"/>
        </w:rPr>
        <w:t>2.</w:t>
      </w:r>
      <w:r>
        <w:rPr>
          <w:rFonts w:ascii="Times New Roman" w:hAnsi="Times New Roman" w:eastAsia="Times New Roman" w:cs="Times New Roman"/>
          <w:spacing w:val="3"/>
        </w:rPr>
        <w:t xml:space="preserve">    </w:t>
      </w:r>
      <w:r>
        <w:rPr>
          <w:spacing w:val="-3"/>
        </w:rPr>
        <w:t>管制要求</w:t>
      </w:r>
    </w:p>
    <w:p w14:paraId="0D199FDC">
      <w:pPr>
        <w:pStyle w:val="2"/>
        <w:spacing w:before="182" w:line="377" w:lineRule="auto"/>
        <w:ind w:left="850" w:right="29" w:hanging="401"/>
      </w:pPr>
      <w:r>
        <w:rPr>
          <w:rFonts w:hint="eastAsia"/>
          <w:b/>
          <w:bCs/>
          <w:spacing w:val="-1"/>
          <w:lang w:eastAsia="zh-CN"/>
        </w:rPr>
        <w:t>1）</w:t>
      </w:r>
      <w:r>
        <w:rPr>
          <w:spacing w:val="67"/>
        </w:rPr>
        <w:t xml:space="preserve"> </w:t>
      </w:r>
      <w:r>
        <w:rPr>
          <w:b/>
          <w:bCs/>
          <w:spacing w:val="-1"/>
          <w:u w:val="single" w:color="auto"/>
        </w:rPr>
        <w:t>通过植树造林和其他专项生态环境项目积极提高区域</w:t>
      </w:r>
      <w:r>
        <w:rPr>
          <w:b/>
          <w:bCs/>
          <w:spacing w:val="-2"/>
          <w:u w:val="single" w:color="auto"/>
        </w:rPr>
        <w:t>生态环境质量，提升其生态服务水</w:t>
      </w:r>
      <w:r>
        <w:rPr>
          <w:b/>
          <w:bCs/>
          <w:spacing w:val="-5"/>
          <w:u w:val="single" w:color="auto"/>
        </w:rPr>
        <w:t>平。</w:t>
      </w:r>
    </w:p>
    <w:p w14:paraId="1485DD09">
      <w:pPr>
        <w:pStyle w:val="2"/>
        <w:spacing w:before="3" w:line="375" w:lineRule="auto"/>
        <w:ind w:left="852" w:right="29" w:hanging="417"/>
      </w:pPr>
      <w:r>
        <w:rPr>
          <w:rFonts w:hint="eastAsia"/>
          <w:b/>
          <w:bCs/>
          <w:spacing w:val="-1"/>
          <w:lang w:eastAsia="zh-CN"/>
        </w:rPr>
        <w:t>2）</w:t>
      </w:r>
      <w:r>
        <w:rPr>
          <w:spacing w:val="67"/>
        </w:rPr>
        <w:t xml:space="preserve"> </w:t>
      </w:r>
      <w:r>
        <w:rPr>
          <w:b/>
          <w:bCs/>
          <w:spacing w:val="-1"/>
          <w:u w:val="single" w:color="auto"/>
        </w:rPr>
        <w:t>科学合理的引导开发建设行为，除市政基础设施和公益性项目以外，原则上禁止大规模</w:t>
      </w:r>
      <w:r>
        <w:rPr>
          <w:b/>
          <w:bCs/>
          <w:spacing w:val="-4"/>
          <w:u w:val="single" w:color="auto"/>
        </w:rPr>
        <w:t>城市建设。</w:t>
      </w:r>
    </w:p>
    <w:p w14:paraId="242A5656">
      <w:pPr>
        <w:pStyle w:val="2"/>
        <w:spacing w:line="376" w:lineRule="auto"/>
        <w:ind w:left="850" w:right="29" w:hanging="414"/>
      </w:pPr>
      <w:r>
        <w:rPr>
          <w:rFonts w:hint="eastAsia"/>
          <w:b/>
          <w:bCs/>
          <w:spacing w:val="-1"/>
          <w:lang w:eastAsia="zh-CN"/>
        </w:rPr>
        <w:t>3）</w:t>
      </w:r>
      <w:r>
        <w:rPr>
          <w:spacing w:val="67"/>
        </w:rPr>
        <w:t xml:space="preserve"> </w:t>
      </w:r>
      <w:r>
        <w:rPr>
          <w:b/>
          <w:bCs/>
          <w:spacing w:val="-1"/>
          <w:u w:val="single" w:color="auto"/>
        </w:rPr>
        <w:t>禁止在地灾易发区内进行可能诱发地质灾害的城乡建设活动，采取避让措施，停止</w:t>
      </w:r>
      <w:r>
        <w:rPr>
          <w:b/>
          <w:bCs/>
          <w:spacing w:val="-2"/>
          <w:u w:val="single" w:color="auto"/>
        </w:rPr>
        <w:t>一切</w:t>
      </w:r>
      <w:r>
        <w:rPr>
          <w:b/>
          <w:bCs/>
          <w:spacing w:val="-1"/>
          <w:u w:val="single" w:color="auto"/>
        </w:rPr>
        <w:t>不合理的经济活动，避开地质灾害易发区；分阶段、有重点的搬迁位于泥石流易发区、矿山采空区内居民点。由于地质条件处于动态变化中，开展建设活动前，须结合当时情</w:t>
      </w:r>
      <w:r>
        <w:rPr>
          <w:b/>
          <w:bCs/>
          <w:spacing w:val="-3"/>
          <w:u w:val="single" w:color="auto"/>
        </w:rPr>
        <w:t>况，开展必要的地质灾害论证。</w:t>
      </w:r>
    </w:p>
    <w:p w14:paraId="2AFEA55D">
      <w:pPr>
        <w:pStyle w:val="2"/>
        <w:spacing w:before="1" w:line="378" w:lineRule="auto"/>
        <w:ind w:left="852" w:right="29" w:hanging="421"/>
      </w:pPr>
      <w:r>
        <w:rPr>
          <w:rFonts w:hint="eastAsia"/>
          <w:b/>
          <w:bCs/>
          <w:spacing w:val="-7"/>
          <w:lang w:eastAsia="zh-CN"/>
        </w:rPr>
        <w:t>4）</w:t>
      </w:r>
      <w:r>
        <w:rPr>
          <w:spacing w:val="76"/>
        </w:rPr>
        <w:t xml:space="preserve"> </w:t>
      </w:r>
      <w:r>
        <w:rPr>
          <w:b/>
          <w:bCs/>
          <w:spacing w:val="-7"/>
          <w:u w:val="single" w:color="auto"/>
        </w:rPr>
        <w:t>控制线型基础设施建设，重大基础设施建设需经论证后酌情建设，保留必要的设施廊道。</w:t>
      </w:r>
      <w:r>
        <w:rPr>
          <w:b/>
          <w:bCs/>
          <w:spacing w:val="-2"/>
          <w:u w:val="single" w:color="auto"/>
        </w:rPr>
        <w:t>本规划重大设施廊道为引导型走向，在实施中根据实际情况经论证后方可调整。</w:t>
      </w:r>
    </w:p>
    <w:p w14:paraId="55386A1D">
      <w:pPr>
        <w:spacing w:before="257" w:line="220" w:lineRule="auto"/>
        <w:ind w:left="503"/>
        <w:rPr>
          <w:rFonts w:ascii="黑体" w:hAnsi="黑体" w:eastAsia="黑体" w:cs="黑体"/>
          <w:sz w:val="24"/>
          <w:szCs w:val="24"/>
        </w:rPr>
      </w:pPr>
      <w:r>
        <w:rPr>
          <w:rFonts w:ascii="黑体" w:hAnsi="黑体" w:eastAsia="黑体" w:cs="黑体"/>
          <w:spacing w:val="-4"/>
          <w:sz w:val="24"/>
          <w:szCs w:val="24"/>
        </w:rPr>
        <w:t>四、禁建区</w:t>
      </w:r>
    </w:p>
    <w:p w14:paraId="547D5A86">
      <w:pPr>
        <w:spacing w:line="380" w:lineRule="auto"/>
        <w:rPr>
          <w:rFonts w:ascii="Arial"/>
          <w:sz w:val="21"/>
        </w:rPr>
      </w:pPr>
    </w:p>
    <w:p w14:paraId="29674D41">
      <w:pPr>
        <w:pStyle w:val="2"/>
        <w:spacing w:before="79" w:line="234" w:lineRule="auto"/>
        <w:ind w:left="450"/>
      </w:pPr>
      <w:r>
        <w:rPr>
          <w:rFonts w:ascii="Times New Roman" w:hAnsi="Times New Roman" w:eastAsia="Times New Roman" w:cs="Times New Roman"/>
          <w:spacing w:val="-9"/>
        </w:rPr>
        <w:t>1.</w:t>
      </w:r>
      <w:r>
        <w:rPr>
          <w:rFonts w:ascii="Times New Roman" w:hAnsi="Times New Roman" w:eastAsia="Times New Roman" w:cs="Times New Roman"/>
          <w:spacing w:val="7"/>
        </w:rPr>
        <w:t xml:space="preserve">    </w:t>
      </w:r>
      <w:r>
        <w:rPr>
          <w:spacing w:val="-9"/>
        </w:rPr>
        <w:t>区划范围</w:t>
      </w:r>
    </w:p>
    <w:p w14:paraId="59A25398">
      <w:pPr>
        <w:pStyle w:val="2"/>
        <w:spacing w:before="186" w:line="367" w:lineRule="auto"/>
        <w:ind w:left="15" w:right="30" w:firstLine="477"/>
      </w:pPr>
      <w:r>
        <w:rPr>
          <w:b/>
          <w:bCs/>
          <w:spacing w:val="-5"/>
          <w:u w:val="single" w:color="auto"/>
        </w:rPr>
        <w:t>规划将半山、炭山和中梁山坡度大于</w:t>
      </w:r>
      <w:r>
        <w:rPr>
          <w:spacing w:val="-29"/>
          <w:u w:val="single" w:color="auto"/>
        </w:rPr>
        <w:t xml:space="preserve"> </w:t>
      </w:r>
      <w:r>
        <w:rPr>
          <w:rFonts w:ascii="Times New Roman" w:hAnsi="Times New Roman" w:eastAsia="Times New Roman" w:cs="Times New Roman"/>
          <w:b/>
          <w:bCs/>
          <w:spacing w:val="-5"/>
          <w:u w:val="single" w:color="auto"/>
        </w:rPr>
        <w:t>30</w:t>
      </w:r>
      <w:r>
        <w:rPr>
          <w:rFonts w:ascii="Times New Roman" w:hAnsi="Times New Roman" w:eastAsia="Times New Roman" w:cs="Times New Roman"/>
          <w:b/>
          <w:bCs/>
          <w:spacing w:val="-31"/>
          <w:u w:val="single" w:color="auto"/>
        </w:rPr>
        <w:t xml:space="preserve"> </w:t>
      </w:r>
      <w:r>
        <w:rPr>
          <w:b/>
          <w:bCs/>
          <w:spacing w:val="-5"/>
          <w:u w:val="single" w:color="auto"/>
        </w:rPr>
        <w:t>°</w:t>
      </w:r>
      <w:r>
        <w:rPr>
          <w:spacing w:val="-94"/>
          <w:u w:val="single" w:color="auto"/>
        </w:rPr>
        <w:t xml:space="preserve"> </w:t>
      </w:r>
      <w:r>
        <w:rPr>
          <w:b/>
          <w:bCs/>
          <w:spacing w:val="-5"/>
          <w:u w:val="single" w:color="auto"/>
        </w:rPr>
        <w:t>,</w:t>
      </w:r>
      <w:r>
        <w:rPr>
          <w:spacing w:val="70"/>
          <w:u w:val="single" w:color="auto"/>
        </w:rPr>
        <w:t xml:space="preserve"> </w:t>
      </w:r>
      <w:r>
        <w:rPr>
          <w:rFonts w:ascii="Times New Roman" w:hAnsi="Times New Roman" w:eastAsia="Times New Roman" w:cs="Times New Roman"/>
          <w:b/>
          <w:bCs/>
          <w:spacing w:val="-5"/>
          <w:u w:val="single" w:color="auto"/>
        </w:rPr>
        <w:t>1600</w:t>
      </w:r>
      <w:r>
        <w:rPr>
          <w:rFonts w:ascii="Times New Roman" w:hAnsi="Times New Roman" w:eastAsia="Times New Roman" w:cs="Times New Roman"/>
          <w:b/>
          <w:bCs/>
          <w:spacing w:val="34"/>
          <w:u w:val="single" w:color="auto"/>
        </w:rPr>
        <w:t xml:space="preserve"> </w:t>
      </w:r>
      <w:r>
        <w:rPr>
          <w:b/>
          <w:bCs/>
          <w:spacing w:val="-5"/>
          <w:u w:val="single" w:color="auto"/>
        </w:rPr>
        <w:t>米高程以上的山体以及各自然水体、</w:t>
      </w:r>
      <w:r>
        <w:rPr>
          <w:b/>
          <w:bCs/>
          <w:spacing w:val="-6"/>
          <w:u w:val="single" w:color="auto"/>
        </w:rPr>
        <w:t>大型</w:t>
      </w:r>
      <w:r>
        <w:rPr>
          <w:b/>
          <w:bCs/>
          <w:spacing w:val="-2"/>
          <w:u w:val="single" w:color="auto"/>
        </w:rPr>
        <w:t>市政工程通道控制带、绿线控制范围、河流、道路、基本农田划定为禁建区。</w:t>
      </w:r>
    </w:p>
    <w:p w14:paraId="5A90F493">
      <w:pPr>
        <w:pStyle w:val="2"/>
        <w:spacing w:before="22" w:line="233" w:lineRule="auto"/>
        <w:ind w:left="427"/>
      </w:pPr>
      <w:r>
        <w:rPr>
          <w:rFonts w:ascii="Times New Roman" w:hAnsi="Times New Roman" w:eastAsia="Times New Roman" w:cs="Times New Roman"/>
          <w:spacing w:val="-3"/>
        </w:rPr>
        <w:t>2.</w:t>
      </w:r>
      <w:r>
        <w:rPr>
          <w:rFonts w:ascii="Times New Roman" w:hAnsi="Times New Roman" w:eastAsia="Times New Roman" w:cs="Times New Roman"/>
          <w:spacing w:val="3"/>
        </w:rPr>
        <w:t xml:space="preserve">    </w:t>
      </w:r>
      <w:r>
        <w:rPr>
          <w:spacing w:val="-3"/>
        </w:rPr>
        <w:t>管制要求</w:t>
      </w:r>
    </w:p>
    <w:p w14:paraId="497460C0">
      <w:pPr>
        <w:pStyle w:val="2"/>
        <w:spacing w:before="186" w:line="220" w:lineRule="auto"/>
        <w:ind w:left="449"/>
      </w:pPr>
      <w:r>
        <w:rPr>
          <w:rFonts w:hint="eastAsia"/>
          <w:b/>
          <w:bCs/>
          <w:spacing w:val="-3"/>
          <w:lang w:eastAsia="zh-CN"/>
        </w:rPr>
        <w:t>1）</w:t>
      </w:r>
      <w:r>
        <w:rPr>
          <w:spacing w:val="82"/>
        </w:rPr>
        <w:t xml:space="preserve"> </w:t>
      </w:r>
      <w:r>
        <w:rPr>
          <w:b/>
          <w:bCs/>
          <w:spacing w:val="-3"/>
          <w:u w:val="single" w:color="auto"/>
        </w:rPr>
        <w:t>除法律法规另有规定外，规划区内禁止建设</w:t>
      </w:r>
      <w:r>
        <w:rPr>
          <w:b/>
          <w:bCs/>
          <w:spacing w:val="-4"/>
          <w:u w:val="single" w:color="auto"/>
        </w:rPr>
        <w:t>用地边界不得调整。</w:t>
      </w:r>
    </w:p>
    <w:p w14:paraId="48A91E8D">
      <w:pPr>
        <w:pStyle w:val="2"/>
        <w:spacing w:before="204" w:line="220" w:lineRule="auto"/>
        <w:ind w:left="435"/>
      </w:pPr>
      <w:r>
        <w:rPr>
          <w:rFonts w:hint="eastAsia"/>
          <w:b/>
          <w:bCs/>
          <w:spacing w:val="-2"/>
          <w:lang w:eastAsia="zh-CN"/>
        </w:rPr>
        <w:t>2）</w:t>
      </w:r>
      <w:r>
        <w:rPr>
          <w:spacing w:val="67"/>
        </w:rPr>
        <w:t xml:space="preserve"> </w:t>
      </w:r>
      <w:r>
        <w:rPr>
          <w:b/>
          <w:bCs/>
          <w:spacing w:val="-2"/>
          <w:u w:val="single" w:color="auto"/>
        </w:rPr>
        <w:t>应对区内生态环境实施严格保护，实施严</w:t>
      </w:r>
      <w:r>
        <w:rPr>
          <w:b/>
          <w:bCs/>
          <w:spacing w:val="-3"/>
          <w:u w:val="single" w:color="auto"/>
        </w:rPr>
        <w:t>格的生态保育政策。</w:t>
      </w:r>
    </w:p>
    <w:p w14:paraId="32142007">
      <w:pPr>
        <w:pStyle w:val="2"/>
        <w:spacing w:before="204" w:line="376" w:lineRule="auto"/>
        <w:ind w:left="852" w:right="29" w:hanging="416"/>
      </w:pPr>
      <w:r>
        <w:rPr>
          <w:rFonts w:hint="eastAsia"/>
          <w:b/>
          <w:bCs/>
          <w:spacing w:val="-1"/>
          <w:lang w:eastAsia="zh-CN"/>
        </w:rPr>
        <w:t>3）</w:t>
      </w:r>
      <w:r>
        <w:rPr>
          <w:spacing w:val="81"/>
        </w:rPr>
        <w:t xml:space="preserve"> </w:t>
      </w:r>
      <w:r>
        <w:rPr>
          <w:b/>
          <w:bCs/>
          <w:spacing w:val="-1"/>
          <w:u w:val="single" w:color="auto"/>
        </w:rPr>
        <w:t>除区域性重大市政基础设施建设外，原则上禁止任</w:t>
      </w:r>
      <w:r>
        <w:rPr>
          <w:b/>
          <w:bCs/>
          <w:spacing w:val="-2"/>
          <w:u w:val="single" w:color="auto"/>
        </w:rPr>
        <w:t>何城市建设行为，任何不符合资源环</w:t>
      </w:r>
      <w:r>
        <w:rPr>
          <w:b/>
          <w:bCs/>
          <w:spacing w:val="-3"/>
          <w:u w:val="single" w:color="auto"/>
        </w:rPr>
        <w:t>境保护要求的建筑必须限期搬迁。</w:t>
      </w:r>
    </w:p>
    <w:p w14:paraId="5ED3462B">
      <w:pPr>
        <w:pStyle w:val="2"/>
        <w:spacing w:before="1" w:line="378" w:lineRule="auto"/>
        <w:ind w:left="851" w:right="30" w:hanging="420"/>
      </w:pPr>
      <w:r>
        <w:pict>
          <v:shape id="_x0000_s1026" o:spid="_x0000_s1026" style="position:absolute;left:0pt;margin-left:0pt;margin-top:105.8pt;height:0.6pt;width:144.05pt;z-index:251659264;mso-width-relative:page;mso-height-relative:page;" fillcolor="#000000" filled="t" stroked="f" coordsize="2881,12" path="m0,11l2880,11,2880,0,0,0,0,11xe">
            <v:fill on="t" focussize="0,0"/>
            <v:stroke on="f"/>
            <v:imagedata o:title=""/>
            <o:lock v:ext="edit"/>
          </v:shape>
        </w:pict>
      </w:r>
      <w:r>
        <w:rPr>
          <w:rFonts w:hint="eastAsia"/>
          <w:lang w:eastAsia="zh-CN"/>
        </w:rPr>
        <w:t>4）</w:t>
      </w:r>
      <w:r>
        <w:rPr>
          <w:spacing w:val="70"/>
        </w:rPr>
        <w:t xml:space="preserve"> </w:t>
      </w:r>
      <w:r>
        <w:rPr>
          <w:b/>
          <w:bCs/>
          <w:spacing w:val="-4"/>
          <w:u w:val="single" w:color="auto"/>
        </w:rPr>
        <w:t>按照《城市用地分类与规划建设用地标准》（GB50137-2011</w:t>
      </w:r>
      <w:r>
        <w:rPr>
          <w:b/>
          <w:bCs/>
          <w:spacing w:val="-55"/>
          <w:u w:val="single" w:color="auto"/>
        </w:rPr>
        <w:t>），</w:t>
      </w:r>
      <w:r>
        <w:rPr>
          <w:b/>
          <w:bCs/>
          <w:spacing w:val="-4"/>
          <w:u w:val="single" w:color="auto"/>
        </w:rPr>
        <w:t>采矿用</w:t>
      </w:r>
      <w:r>
        <w:rPr>
          <w:b/>
          <w:bCs/>
          <w:spacing w:val="-5"/>
          <w:u w:val="single" w:color="auto"/>
        </w:rPr>
        <w:t>地（含采矿区、尾</w:t>
      </w:r>
      <w:r>
        <w:rPr>
          <w:b/>
          <w:bCs/>
          <w:spacing w:val="-3"/>
          <w:u w:val="single" w:color="auto"/>
        </w:rPr>
        <w:t>矿库、弃土场）不属于城市建设行为。</w:t>
      </w:r>
    </w:p>
    <w:p w14:paraId="7BD67588">
      <w:pPr>
        <w:spacing w:line="378" w:lineRule="auto"/>
        <w:sectPr>
          <w:type w:val="continuous"/>
          <w:pgSz w:w="23811" w:h="16839"/>
          <w:pgMar w:top="1274" w:right="1409" w:bottom="1613" w:left="1411" w:header="838" w:footer="1386" w:gutter="0"/>
          <w:cols w:equalWidth="0" w:num="2">
            <w:col w:w="10817" w:space="100"/>
            <w:col w:w="10074"/>
          </w:cols>
        </w:sectPr>
      </w:pPr>
    </w:p>
    <w:p w14:paraId="7CCA17D5">
      <w:pPr>
        <w:spacing w:line="16" w:lineRule="exact"/>
      </w:pPr>
    </w:p>
    <w:p w14:paraId="016E6C99">
      <w:pPr>
        <w:spacing w:line="16" w:lineRule="exact"/>
        <w:sectPr>
          <w:headerReference r:id="rId17" w:type="default"/>
          <w:footerReference r:id="rId18" w:type="default"/>
          <w:pgSz w:w="23811" w:h="16839"/>
          <w:pgMar w:top="1274" w:right="1325" w:bottom="1613" w:left="1411" w:header="838" w:footer="1386" w:gutter="0"/>
          <w:cols w:equalWidth="0" w:num="1">
            <w:col w:w="21074"/>
          </w:cols>
        </w:sectPr>
      </w:pPr>
    </w:p>
    <w:p w14:paraId="2C76CD96">
      <w:pPr>
        <w:spacing w:line="277" w:lineRule="auto"/>
        <w:rPr>
          <w:rFonts w:ascii="Arial"/>
          <w:sz w:val="21"/>
        </w:rPr>
      </w:pPr>
    </w:p>
    <w:p w14:paraId="7DF28CA1">
      <w:pPr>
        <w:spacing w:line="277" w:lineRule="auto"/>
        <w:rPr>
          <w:rFonts w:ascii="Arial"/>
          <w:sz w:val="21"/>
        </w:rPr>
      </w:pPr>
    </w:p>
    <w:p w14:paraId="6C8DBB1E">
      <w:pPr>
        <w:spacing w:line="277" w:lineRule="auto"/>
        <w:rPr>
          <w:rFonts w:ascii="Arial"/>
          <w:sz w:val="21"/>
        </w:rPr>
      </w:pPr>
    </w:p>
    <w:p w14:paraId="20B35AEC">
      <w:pPr>
        <w:spacing w:before="101" w:line="224" w:lineRule="auto"/>
        <w:ind w:left="2993"/>
        <w:outlineLvl w:val="0"/>
        <w:rPr>
          <w:rFonts w:ascii="黑体" w:hAnsi="黑体" w:eastAsia="黑体" w:cs="黑体"/>
          <w:sz w:val="31"/>
          <w:szCs w:val="31"/>
        </w:rPr>
      </w:pPr>
      <w:bookmarkStart w:id="4" w:name="bookmark5"/>
      <w:bookmarkEnd w:id="4"/>
      <w:r>
        <w:rPr>
          <w:rFonts w:ascii="黑体" w:hAnsi="黑体" w:eastAsia="黑体" w:cs="黑体"/>
          <w:spacing w:val="6"/>
          <w:sz w:val="31"/>
          <w:szCs w:val="31"/>
        </w:rPr>
        <w:t>第五章  空间发展与总体布局</w:t>
      </w:r>
    </w:p>
    <w:p w14:paraId="1D4F482B">
      <w:pPr>
        <w:spacing w:line="267" w:lineRule="auto"/>
        <w:rPr>
          <w:rFonts w:ascii="Arial"/>
          <w:sz w:val="21"/>
        </w:rPr>
      </w:pPr>
    </w:p>
    <w:p w14:paraId="2B0DDAC1">
      <w:pPr>
        <w:spacing w:line="268" w:lineRule="auto"/>
        <w:rPr>
          <w:rFonts w:ascii="Arial"/>
          <w:sz w:val="21"/>
        </w:rPr>
      </w:pPr>
    </w:p>
    <w:p w14:paraId="76B5E814">
      <w:pPr>
        <w:spacing w:before="91" w:line="219" w:lineRule="auto"/>
        <w:ind w:left="390"/>
        <w:rPr>
          <w:rFonts w:ascii="黑体" w:hAnsi="黑体" w:eastAsia="黑体" w:cs="黑体"/>
          <w:sz w:val="28"/>
          <w:szCs w:val="28"/>
        </w:rPr>
      </w:pPr>
      <w:r>
        <w:rPr>
          <w:rFonts w:ascii="黑体" w:hAnsi="黑体" w:eastAsia="黑体" w:cs="黑体"/>
          <w:spacing w:val="-3"/>
          <w:sz w:val="28"/>
          <w:szCs w:val="28"/>
        </w:rPr>
        <w:t>第十六条</w:t>
      </w:r>
      <w:r>
        <w:rPr>
          <w:rFonts w:ascii="黑体" w:hAnsi="黑体" w:eastAsia="黑体" w:cs="黑体"/>
          <w:spacing w:val="90"/>
          <w:sz w:val="28"/>
          <w:szCs w:val="28"/>
        </w:rPr>
        <w:t xml:space="preserve"> </w:t>
      </w:r>
      <w:r>
        <w:rPr>
          <w:rFonts w:ascii="黑体" w:hAnsi="黑体" w:eastAsia="黑体" w:cs="黑体"/>
          <w:spacing w:val="-3"/>
          <w:sz w:val="28"/>
          <w:szCs w:val="28"/>
        </w:rPr>
        <w:t>空间规划原则</w:t>
      </w:r>
    </w:p>
    <w:p w14:paraId="663C2477">
      <w:pPr>
        <w:spacing w:line="305" w:lineRule="auto"/>
        <w:rPr>
          <w:rFonts w:ascii="Arial"/>
          <w:sz w:val="21"/>
        </w:rPr>
      </w:pPr>
    </w:p>
    <w:p w14:paraId="32671908">
      <w:pPr>
        <w:pStyle w:val="2"/>
        <w:spacing w:before="78" w:line="220" w:lineRule="auto"/>
        <w:ind w:left="478"/>
      </w:pPr>
      <w:r>
        <w:rPr>
          <w:spacing w:val="-4"/>
        </w:rPr>
        <w:t>1.</w:t>
      </w:r>
      <w:r>
        <w:rPr>
          <w:spacing w:val="94"/>
        </w:rPr>
        <w:t xml:space="preserve"> </w:t>
      </w:r>
      <w:r>
        <w:rPr>
          <w:spacing w:val="-4"/>
        </w:rPr>
        <w:t>因地制宜开发，生态保护优先</w:t>
      </w:r>
    </w:p>
    <w:p w14:paraId="0200B626">
      <w:pPr>
        <w:pStyle w:val="2"/>
        <w:spacing w:before="204" w:line="220" w:lineRule="auto"/>
        <w:ind w:left="461"/>
      </w:pPr>
      <w:r>
        <w:rPr>
          <w:spacing w:val="-2"/>
        </w:rPr>
        <w:t>2.</w:t>
      </w:r>
      <w:r>
        <w:rPr>
          <w:spacing w:val="77"/>
        </w:rPr>
        <w:t xml:space="preserve"> </w:t>
      </w:r>
      <w:r>
        <w:rPr>
          <w:spacing w:val="-2"/>
        </w:rPr>
        <w:t>产业引领建设，组团模式开发</w:t>
      </w:r>
    </w:p>
    <w:p w14:paraId="0D2111B5">
      <w:pPr>
        <w:pStyle w:val="2"/>
        <w:spacing w:before="204" w:line="220" w:lineRule="auto"/>
        <w:ind w:left="462"/>
      </w:pPr>
      <w:r>
        <w:rPr>
          <w:spacing w:val="-3"/>
        </w:rPr>
        <w:t>3.</w:t>
      </w:r>
      <w:r>
        <w:rPr>
          <w:spacing w:val="82"/>
        </w:rPr>
        <w:t xml:space="preserve"> </w:t>
      </w:r>
      <w:r>
        <w:rPr>
          <w:spacing w:val="-3"/>
        </w:rPr>
        <w:t>对外交通便捷，内部道路畅通</w:t>
      </w:r>
    </w:p>
    <w:p w14:paraId="3C14AEC7">
      <w:pPr>
        <w:pStyle w:val="2"/>
        <w:spacing w:before="203" w:line="220" w:lineRule="auto"/>
        <w:ind w:left="457"/>
      </w:pPr>
      <w:r>
        <w:rPr>
          <w:spacing w:val="-2"/>
        </w:rPr>
        <w:t>4.</w:t>
      </w:r>
      <w:r>
        <w:rPr>
          <w:spacing w:val="81"/>
        </w:rPr>
        <w:t xml:space="preserve"> </w:t>
      </w:r>
      <w:r>
        <w:rPr>
          <w:spacing w:val="-2"/>
        </w:rPr>
        <w:t>尊重现状基础，落实重点项目</w:t>
      </w:r>
    </w:p>
    <w:p w14:paraId="6F73D6AA">
      <w:pPr>
        <w:spacing w:line="300" w:lineRule="auto"/>
        <w:rPr>
          <w:rFonts w:ascii="Arial"/>
          <w:sz w:val="21"/>
        </w:rPr>
      </w:pPr>
    </w:p>
    <w:p w14:paraId="19034B14">
      <w:pPr>
        <w:spacing w:before="92" w:line="219" w:lineRule="auto"/>
        <w:ind w:left="390"/>
        <w:rPr>
          <w:rFonts w:ascii="黑体" w:hAnsi="黑体" w:eastAsia="黑体" w:cs="黑体"/>
          <w:sz w:val="28"/>
          <w:szCs w:val="28"/>
        </w:rPr>
      </w:pPr>
      <w:r>
        <w:rPr>
          <w:rFonts w:ascii="黑体" w:hAnsi="黑体" w:eastAsia="黑体" w:cs="黑体"/>
          <w:spacing w:val="-2"/>
          <w:sz w:val="28"/>
          <w:szCs w:val="28"/>
        </w:rPr>
        <w:t>第十七条</w:t>
      </w:r>
      <w:r>
        <w:rPr>
          <w:rFonts w:ascii="黑体" w:hAnsi="黑体" w:eastAsia="黑体" w:cs="黑体"/>
          <w:spacing w:val="80"/>
          <w:sz w:val="28"/>
          <w:szCs w:val="28"/>
        </w:rPr>
        <w:t xml:space="preserve"> </w:t>
      </w:r>
      <w:r>
        <w:rPr>
          <w:rFonts w:ascii="黑体" w:hAnsi="黑体" w:eastAsia="黑体" w:cs="黑体"/>
          <w:spacing w:val="-2"/>
          <w:sz w:val="28"/>
          <w:szCs w:val="28"/>
        </w:rPr>
        <w:t>规划空间结构</w:t>
      </w:r>
    </w:p>
    <w:p w14:paraId="06103A3E">
      <w:pPr>
        <w:spacing w:line="309" w:lineRule="auto"/>
        <w:rPr>
          <w:rFonts w:ascii="Arial"/>
          <w:sz w:val="21"/>
        </w:rPr>
      </w:pPr>
    </w:p>
    <w:p w14:paraId="4879258D">
      <w:pPr>
        <w:pStyle w:val="2"/>
        <w:spacing w:before="78" w:line="220" w:lineRule="auto"/>
        <w:ind w:left="521"/>
      </w:pPr>
      <w:r>
        <w:rPr>
          <w:spacing w:val="-3"/>
        </w:rPr>
        <w:t>构建“一区两片三组团”的空间结构。</w:t>
      </w:r>
    </w:p>
    <w:p w14:paraId="38DB9C19">
      <w:pPr>
        <w:pStyle w:val="2"/>
        <w:spacing w:before="202" w:line="220" w:lineRule="auto"/>
        <w:ind w:left="499"/>
      </w:pPr>
      <w:r>
        <w:rPr>
          <w:spacing w:val="-7"/>
        </w:rPr>
        <w:t>“一区”：指盐边钒钛产业开发区；</w:t>
      </w:r>
    </w:p>
    <w:p w14:paraId="6550C1D8">
      <w:pPr>
        <w:pStyle w:val="2"/>
        <w:spacing w:before="205" w:line="220" w:lineRule="auto"/>
        <w:ind w:left="499"/>
      </w:pPr>
      <w:r>
        <w:rPr>
          <w:spacing w:val="-7"/>
        </w:rPr>
        <w:t>“两片”：指安宁片区、新九片区；</w:t>
      </w:r>
    </w:p>
    <w:p w14:paraId="0E67F955">
      <w:pPr>
        <w:pStyle w:val="2"/>
        <w:spacing w:before="203" w:line="219" w:lineRule="auto"/>
        <w:ind w:left="499"/>
      </w:pPr>
      <w:r>
        <w:rPr>
          <w:spacing w:val="-3"/>
        </w:rPr>
        <w:t>“三组团”：钒钛及新材料产业组团、高端机械制造组团、现代新型矿业精深加工组团。</w:t>
      </w:r>
    </w:p>
    <w:p w14:paraId="69CEF122">
      <w:pPr>
        <w:spacing w:line="300" w:lineRule="auto"/>
        <w:rPr>
          <w:rFonts w:ascii="Arial"/>
          <w:sz w:val="21"/>
        </w:rPr>
      </w:pPr>
    </w:p>
    <w:p w14:paraId="2C325B78">
      <w:pPr>
        <w:spacing w:before="92" w:line="219" w:lineRule="auto"/>
        <w:ind w:left="390"/>
        <w:rPr>
          <w:rFonts w:ascii="黑体" w:hAnsi="黑体" w:eastAsia="黑体" w:cs="黑体"/>
          <w:sz w:val="28"/>
          <w:szCs w:val="28"/>
        </w:rPr>
      </w:pPr>
      <w:r>
        <w:rPr>
          <w:rFonts w:ascii="黑体" w:hAnsi="黑体" w:eastAsia="黑体" w:cs="黑体"/>
          <w:spacing w:val="-3"/>
          <w:sz w:val="28"/>
          <w:szCs w:val="28"/>
        </w:rPr>
        <w:t>第十八条</w:t>
      </w:r>
      <w:r>
        <w:rPr>
          <w:rFonts w:ascii="黑体" w:hAnsi="黑体" w:eastAsia="黑体" w:cs="黑体"/>
          <w:spacing w:val="90"/>
          <w:sz w:val="28"/>
          <w:szCs w:val="28"/>
        </w:rPr>
        <w:t xml:space="preserve"> </w:t>
      </w:r>
      <w:r>
        <w:rPr>
          <w:rFonts w:ascii="黑体" w:hAnsi="黑体" w:eastAsia="黑体" w:cs="黑体"/>
          <w:spacing w:val="-3"/>
          <w:sz w:val="28"/>
          <w:szCs w:val="28"/>
        </w:rPr>
        <w:t>用地布局规划</w:t>
      </w:r>
    </w:p>
    <w:p w14:paraId="092427EA">
      <w:pPr>
        <w:spacing w:line="310" w:lineRule="auto"/>
        <w:rPr>
          <w:rFonts w:ascii="Arial"/>
          <w:sz w:val="21"/>
        </w:rPr>
      </w:pPr>
    </w:p>
    <w:p w14:paraId="60AF09AB">
      <w:pPr>
        <w:pStyle w:val="2"/>
        <w:spacing w:before="79" w:line="376" w:lineRule="auto"/>
        <w:ind w:left="41" w:right="629" w:firstLine="478"/>
        <w:jc w:val="both"/>
      </w:pPr>
      <w:r>
        <w:rPr>
          <w:spacing w:val="-3"/>
        </w:rPr>
        <w:t>规划至</w:t>
      </w:r>
      <w:r>
        <w:rPr>
          <w:spacing w:val="-39"/>
        </w:rPr>
        <w:t xml:space="preserve"> </w:t>
      </w:r>
      <w:r>
        <w:rPr>
          <w:rFonts w:ascii="Times New Roman" w:hAnsi="Times New Roman" w:eastAsia="Times New Roman" w:cs="Times New Roman"/>
          <w:spacing w:val="-3"/>
        </w:rPr>
        <w:t xml:space="preserve">2035 </w:t>
      </w:r>
      <w:r>
        <w:rPr>
          <w:spacing w:val="-3"/>
        </w:rPr>
        <w:t>年，盐边钒钛产业开发区规划城乡用地总面积为</w:t>
      </w:r>
      <w:r>
        <w:rPr>
          <w:spacing w:val="-50"/>
        </w:rPr>
        <w:t xml:space="preserve"> </w:t>
      </w:r>
      <w:r>
        <w:rPr>
          <w:rFonts w:ascii="Times New Roman" w:hAnsi="Times New Roman" w:eastAsia="Times New Roman" w:cs="Times New Roman"/>
          <w:spacing w:val="-3"/>
        </w:rPr>
        <w:t xml:space="preserve">34.81 </w:t>
      </w:r>
      <w:r>
        <w:rPr>
          <w:spacing w:val="-3"/>
        </w:rPr>
        <w:t>平方公里，其中建设用地</w:t>
      </w:r>
      <w:r>
        <w:rPr>
          <w:spacing w:val="-2"/>
        </w:rPr>
        <w:t>总面积为</w:t>
      </w:r>
      <w:r>
        <w:rPr>
          <w:spacing w:val="-42"/>
        </w:rPr>
        <w:t xml:space="preserve"> </w:t>
      </w:r>
      <w:r>
        <w:rPr>
          <w:rFonts w:ascii="Times New Roman" w:hAnsi="Times New Roman" w:eastAsia="Times New Roman" w:cs="Times New Roman"/>
          <w:spacing w:val="-2"/>
        </w:rPr>
        <w:t xml:space="preserve">25.55 </w:t>
      </w:r>
      <w:r>
        <w:rPr>
          <w:spacing w:val="-2"/>
        </w:rPr>
        <w:t>平方公里，占总城乡用地的</w:t>
      </w:r>
      <w:r>
        <w:rPr>
          <w:spacing w:val="-52"/>
        </w:rPr>
        <w:t xml:space="preserve"> </w:t>
      </w:r>
      <w:r>
        <w:rPr>
          <w:rFonts w:ascii="Times New Roman" w:hAnsi="Times New Roman" w:eastAsia="Times New Roman" w:cs="Times New Roman"/>
          <w:spacing w:val="-2"/>
        </w:rPr>
        <w:t>73.39%</w:t>
      </w:r>
      <w:r>
        <w:rPr>
          <w:spacing w:val="-2"/>
        </w:rPr>
        <w:t>，非建设用地包括水域和农林用地。建设用地</w:t>
      </w:r>
      <w:r>
        <w:rPr>
          <w:spacing w:val="-3"/>
        </w:rPr>
        <w:t>中城市建设用地为</w:t>
      </w:r>
      <w:r>
        <w:rPr>
          <w:spacing w:val="-51"/>
        </w:rPr>
        <w:t xml:space="preserve"> </w:t>
      </w:r>
      <w:r>
        <w:rPr>
          <w:rFonts w:ascii="Times New Roman" w:hAnsi="Times New Roman" w:eastAsia="Times New Roman" w:cs="Times New Roman"/>
          <w:spacing w:val="-3"/>
        </w:rPr>
        <w:t xml:space="preserve">20.79 </w:t>
      </w:r>
      <w:r>
        <w:rPr>
          <w:spacing w:val="-3"/>
        </w:rPr>
        <w:t>平方公里，占总城乡用地的</w:t>
      </w:r>
      <w:r>
        <w:rPr>
          <w:spacing w:val="-49"/>
        </w:rPr>
        <w:t xml:space="preserve"> </w:t>
      </w:r>
      <w:r>
        <w:rPr>
          <w:rFonts w:ascii="Times New Roman" w:hAnsi="Times New Roman" w:eastAsia="Times New Roman" w:cs="Times New Roman"/>
          <w:spacing w:val="-3"/>
        </w:rPr>
        <w:t>59.72%</w:t>
      </w:r>
      <w:r>
        <w:rPr>
          <w:spacing w:val="-3"/>
        </w:rPr>
        <w:t>；采矿用地为</w:t>
      </w:r>
      <w:r>
        <w:rPr>
          <w:spacing w:val="-56"/>
        </w:rPr>
        <w:t xml:space="preserve"> </w:t>
      </w:r>
      <w:r>
        <w:rPr>
          <w:rFonts w:ascii="Times New Roman" w:hAnsi="Times New Roman" w:eastAsia="Times New Roman" w:cs="Times New Roman"/>
          <w:spacing w:val="-3"/>
        </w:rPr>
        <w:t xml:space="preserve">4.59 </w:t>
      </w:r>
      <w:r>
        <w:rPr>
          <w:spacing w:val="-3"/>
        </w:rPr>
        <w:t>平方公里，占总城</w:t>
      </w:r>
      <w:r>
        <w:rPr>
          <w:spacing w:val="-4"/>
        </w:rPr>
        <w:t>乡用地的</w:t>
      </w:r>
      <w:r>
        <w:rPr>
          <w:spacing w:val="-30"/>
        </w:rPr>
        <w:t xml:space="preserve"> </w:t>
      </w:r>
      <w:r>
        <w:rPr>
          <w:rFonts w:ascii="Times New Roman" w:hAnsi="Times New Roman" w:eastAsia="Times New Roman" w:cs="Times New Roman"/>
          <w:spacing w:val="-4"/>
        </w:rPr>
        <w:t>13.20%</w:t>
      </w:r>
      <w:r>
        <w:rPr>
          <w:spacing w:val="-4"/>
        </w:rPr>
        <w:t>。</w:t>
      </w:r>
    </w:p>
    <w:p w14:paraId="54A06543">
      <w:pPr>
        <w:pStyle w:val="2"/>
        <w:spacing w:before="4" w:line="376" w:lineRule="auto"/>
        <w:ind w:left="37" w:right="627" w:firstLine="482"/>
      </w:pPr>
      <w:r>
        <w:rPr>
          <w:spacing w:val="-6"/>
        </w:rPr>
        <w:t>盐边钒钛产业开发区城市建设用地中，工业用地为</w:t>
      </w:r>
      <w:r>
        <w:rPr>
          <w:spacing w:val="-51"/>
        </w:rPr>
        <w:t xml:space="preserve"> </w:t>
      </w:r>
      <w:r>
        <w:rPr>
          <w:rFonts w:ascii="Times New Roman" w:hAnsi="Times New Roman" w:eastAsia="Times New Roman" w:cs="Times New Roman"/>
          <w:spacing w:val="-6"/>
        </w:rPr>
        <w:t xml:space="preserve">1545.77 </w:t>
      </w:r>
      <w:r>
        <w:rPr>
          <w:spacing w:val="-7"/>
        </w:rPr>
        <w:t>公顷，占城市建设用地的</w:t>
      </w:r>
      <w:r>
        <w:rPr>
          <w:spacing w:val="-70"/>
        </w:rPr>
        <w:t xml:space="preserve"> </w:t>
      </w:r>
      <w:r>
        <w:rPr>
          <w:rFonts w:ascii="Times New Roman" w:hAnsi="Times New Roman" w:eastAsia="Times New Roman" w:cs="Times New Roman"/>
          <w:spacing w:val="-7"/>
        </w:rPr>
        <w:t>74.33%</w:t>
      </w:r>
      <w:r>
        <w:rPr>
          <w:spacing w:val="-7"/>
        </w:rPr>
        <w:t>；</w:t>
      </w:r>
      <w:r>
        <w:rPr>
          <w:spacing w:val="-1"/>
        </w:rPr>
        <w:t>规划物流仓储用地面积</w:t>
      </w:r>
      <w:r>
        <w:rPr>
          <w:spacing w:val="-27"/>
        </w:rPr>
        <w:t xml:space="preserve"> </w:t>
      </w:r>
      <w:r>
        <w:rPr>
          <w:rFonts w:ascii="Times New Roman" w:hAnsi="Times New Roman" w:eastAsia="Times New Roman" w:cs="Times New Roman"/>
          <w:spacing w:val="-1"/>
        </w:rPr>
        <w:t>58.68</w:t>
      </w:r>
      <w:r>
        <w:rPr>
          <w:rFonts w:ascii="Times New Roman" w:hAnsi="Times New Roman" w:eastAsia="Times New Roman" w:cs="Times New Roman"/>
          <w:spacing w:val="39"/>
        </w:rPr>
        <w:t xml:space="preserve"> </w:t>
      </w:r>
      <w:r>
        <w:rPr>
          <w:spacing w:val="-1"/>
        </w:rPr>
        <w:t>公顷，占城市建设用地面积的</w:t>
      </w:r>
      <w:r>
        <w:rPr>
          <w:spacing w:val="-33"/>
        </w:rPr>
        <w:t xml:space="preserve"> </w:t>
      </w:r>
      <w:r>
        <w:rPr>
          <w:rFonts w:ascii="Times New Roman" w:hAnsi="Times New Roman" w:eastAsia="Times New Roman" w:cs="Times New Roman"/>
          <w:spacing w:val="-1"/>
        </w:rPr>
        <w:t>2.82%</w:t>
      </w:r>
      <w:r>
        <w:rPr>
          <w:spacing w:val="-1"/>
        </w:rPr>
        <w:t>；规</w:t>
      </w:r>
      <w:r>
        <w:rPr>
          <w:spacing w:val="-2"/>
        </w:rPr>
        <w:t>划公共管理服务用地面积</w:t>
      </w:r>
      <w:r>
        <w:rPr>
          <w:rFonts w:ascii="Times New Roman" w:hAnsi="Times New Roman" w:eastAsia="Times New Roman" w:cs="Times New Roman"/>
          <w:spacing w:val="-2"/>
        </w:rPr>
        <w:t>1.87</w:t>
      </w:r>
      <w:r>
        <w:rPr>
          <w:rFonts w:ascii="Times New Roman" w:hAnsi="Times New Roman" w:eastAsia="Times New Roman" w:cs="Times New Roman"/>
          <w:spacing w:val="36"/>
          <w:w w:val="101"/>
        </w:rPr>
        <w:t xml:space="preserve"> </w:t>
      </w:r>
      <w:r>
        <w:rPr>
          <w:spacing w:val="-2"/>
        </w:rPr>
        <w:t>公顷，占城市建设用地的</w:t>
      </w:r>
      <w:r>
        <w:rPr>
          <w:spacing w:val="-35"/>
        </w:rPr>
        <w:t xml:space="preserve"> </w:t>
      </w:r>
      <w:r>
        <w:rPr>
          <w:rFonts w:ascii="Times New Roman" w:hAnsi="Times New Roman" w:eastAsia="Times New Roman" w:cs="Times New Roman"/>
          <w:spacing w:val="-2"/>
        </w:rPr>
        <w:t>0.09%</w:t>
      </w:r>
      <w:r>
        <w:rPr>
          <w:spacing w:val="-2"/>
        </w:rPr>
        <w:t xml:space="preserve">；规划商业服务业用地面积 </w:t>
      </w:r>
      <w:r>
        <w:rPr>
          <w:rFonts w:ascii="Times New Roman" w:hAnsi="Times New Roman" w:eastAsia="Times New Roman" w:cs="Times New Roman"/>
          <w:spacing w:val="-2"/>
        </w:rPr>
        <w:t>14.54</w:t>
      </w:r>
      <w:r>
        <w:rPr>
          <w:rFonts w:ascii="Times New Roman" w:hAnsi="Times New Roman" w:eastAsia="Times New Roman" w:cs="Times New Roman"/>
          <w:spacing w:val="34"/>
        </w:rPr>
        <w:t xml:space="preserve"> </w:t>
      </w:r>
      <w:r>
        <w:rPr>
          <w:spacing w:val="-2"/>
        </w:rPr>
        <w:t>公顷，占城市建设用地的</w:t>
      </w:r>
      <w:r>
        <w:rPr>
          <w:rFonts w:ascii="Times New Roman" w:hAnsi="Times New Roman" w:eastAsia="Times New Roman" w:cs="Times New Roman"/>
          <w:spacing w:val="-2"/>
        </w:rPr>
        <w:t>0.70%</w:t>
      </w:r>
      <w:r>
        <w:rPr>
          <w:spacing w:val="-2"/>
        </w:rPr>
        <w:t xml:space="preserve">；规划道路与交通设施用地面积 </w:t>
      </w:r>
      <w:r>
        <w:rPr>
          <w:rFonts w:ascii="Times New Roman" w:hAnsi="Times New Roman" w:eastAsia="Times New Roman" w:cs="Times New Roman"/>
          <w:spacing w:val="-2"/>
        </w:rPr>
        <w:t>130.46</w:t>
      </w:r>
      <w:r>
        <w:rPr>
          <w:rFonts w:ascii="Times New Roman" w:hAnsi="Times New Roman" w:eastAsia="Times New Roman" w:cs="Times New Roman"/>
          <w:spacing w:val="50"/>
        </w:rPr>
        <w:t xml:space="preserve"> </w:t>
      </w:r>
      <w:r>
        <w:rPr>
          <w:spacing w:val="-2"/>
        </w:rPr>
        <w:t>公顷，占城市建设用地面积的</w:t>
      </w:r>
      <w:r>
        <w:rPr>
          <w:spacing w:val="-35"/>
        </w:rPr>
        <w:t xml:space="preserve"> </w:t>
      </w:r>
      <w:r>
        <w:rPr>
          <w:rFonts w:ascii="Times New Roman" w:hAnsi="Times New Roman" w:eastAsia="Times New Roman" w:cs="Times New Roman"/>
          <w:spacing w:val="-2"/>
        </w:rPr>
        <w:t>6.27%</w:t>
      </w:r>
      <w:r>
        <w:rPr>
          <w:spacing w:val="-2"/>
        </w:rPr>
        <w:t>；规划公用设施用地面积</w:t>
      </w:r>
      <w:r>
        <w:rPr>
          <w:spacing w:val="-43"/>
        </w:rPr>
        <w:t xml:space="preserve"> </w:t>
      </w:r>
      <w:r>
        <w:rPr>
          <w:rFonts w:ascii="Times New Roman" w:hAnsi="Times New Roman" w:eastAsia="Times New Roman" w:cs="Times New Roman"/>
          <w:spacing w:val="-2"/>
        </w:rPr>
        <w:t>35.34</w:t>
      </w:r>
      <w:r>
        <w:rPr>
          <w:rFonts w:ascii="Times New Roman" w:hAnsi="Times New Roman" w:eastAsia="Times New Roman" w:cs="Times New Roman"/>
          <w:spacing w:val="17"/>
        </w:rPr>
        <w:t xml:space="preserve"> </w:t>
      </w:r>
      <w:r>
        <w:rPr>
          <w:spacing w:val="-2"/>
        </w:rPr>
        <w:t xml:space="preserve">公顷，占城市建设用地面积的 </w:t>
      </w:r>
      <w:r>
        <w:rPr>
          <w:rFonts w:ascii="Times New Roman" w:hAnsi="Times New Roman" w:eastAsia="Times New Roman" w:cs="Times New Roman"/>
          <w:spacing w:val="-2"/>
        </w:rPr>
        <w:t>1.70%</w:t>
      </w:r>
      <w:r>
        <w:rPr>
          <w:spacing w:val="-2"/>
        </w:rPr>
        <w:t>；规划绿地与广场用地面积</w:t>
      </w:r>
      <w:r>
        <w:rPr>
          <w:spacing w:val="-54"/>
        </w:rPr>
        <w:t xml:space="preserve"> </w:t>
      </w:r>
      <w:r>
        <w:rPr>
          <w:rFonts w:ascii="Times New Roman" w:hAnsi="Times New Roman" w:eastAsia="Times New Roman" w:cs="Times New Roman"/>
          <w:spacing w:val="-2"/>
        </w:rPr>
        <w:t xml:space="preserve">292.41 </w:t>
      </w:r>
      <w:r>
        <w:rPr>
          <w:spacing w:val="-2"/>
        </w:rPr>
        <w:t>平方公</w:t>
      </w:r>
      <w:r>
        <w:rPr>
          <w:spacing w:val="-3"/>
        </w:rPr>
        <w:t>里，占城市建设用地的</w:t>
      </w:r>
      <w:r>
        <w:rPr>
          <w:spacing w:val="-19"/>
        </w:rPr>
        <w:t xml:space="preserve"> </w:t>
      </w:r>
      <w:r>
        <w:rPr>
          <w:rFonts w:ascii="Times New Roman" w:hAnsi="Times New Roman" w:eastAsia="Times New Roman" w:cs="Times New Roman"/>
          <w:spacing w:val="-3"/>
        </w:rPr>
        <w:t>14.06%</w:t>
      </w:r>
      <w:r>
        <w:rPr>
          <w:spacing w:val="-3"/>
        </w:rPr>
        <w:t>。</w:t>
      </w:r>
    </w:p>
    <w:p w14:paraId="2D2FFEDE">
      <w:pPr>
        <w:spacing w:line="14" w:lineRule="auto"/>
        <w:rPr>
          <w:rFonts w:ascii="Arial"/>
          <w:sz w:val="2"/>
        </w:rPr>
      </w:pPr>
      <w:r>
        <w:rPr>
          <w:rFonts w:ascii="Arial" w:hAnsi="Arial" w:eastAsia="Arial" w:cs="Arial"/>
          <w:sz w:val="2"/>
          <w:szCs w:val="2"/>
        </w:rPr>
        <w:br w:type="column"/>
      </w:r>
    </w:p>
    <w:p w14:paraId="1199E3F5">
      <w:pPr>
        <w:spacing w:before="62" w:line="206" w:lineRule="auto"/>
        <w:ind w:left="3118"/>
        <w:rPr>
          <w:rFonts w:ascii="华文细黑" w:hAnsi="华文细黑" w:eastAsia="华文细黑" w:cs="华文细黑"/>
          <w:sz w:val="21"/>
          <w:szCs w:val="21"/>
        </w:rPr>
      </w:pPr>
      <w:r>
        <w:rPr>
          <w:rFonts w:ascii="华文细黑" w:hAnsi="华文细黑" w:eastAsia="华文细黑" w:cs="华文细黑"/>
          <w:spacing w:val="-1"/>
          <w:sz w:val="21"/>
          <w:szCs w:val="21"/>
        </w:rPr>
        <w:t>表格 4  盐边钒钛产业开发区城乡用地汇总表</w:t>
      </w:r>
    </w:p>
    <w:p w14:paraId="3B68D4E9">
      <w:pPr>
        <w:spacing w:line="86" w:lineRule="exact"/>
      </w:pPr>
    </w:p>
    <w:tbl>
      <w:tblPr>
        <w:tblStyle w:val="5"/>
        <w:tblW w:w="10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1"/>
        <w:gridCol w:w="1113"/>
        <w:gridCol w:w="664"/>
        <w:gridCol w:w="1015"/>
        <w:gridCol w:w="2056"/>
        <w:gridCol w:w="2087"/>
        <w:gridCol w:w="2209"/>
      </w:tblGrid>
      <w:tr w14:paraId="4EAA1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21" w:type="dxa"/>
            <w:vAlign w:val="top"/>
          </w:tcPr>
          <w:p w14:paraId="17BCBA91">
            <w:pPr>
              <w:pStyle w:val="6"/>
              <w:spacing w:before="68" w:line="209" w:lineRule="auto"/>
              <w:ind w:left="354"/>
            </w:pPr>
            <w:r>
              <w:rPr>
                <w:spacing w:val="-2"/>
              </w:rPr>
              <w:t>序号</w:t>
            </w:r>
          </w:p>
        </w:tc>
        <w:tc>
          <w:tcPr>
            <w:tcW w:w="1113" w:type="dxa"/>
            <w:vAlign w:val="top"/>
          </w:tcPr>
          <w:p w14:paraId="3EE14725">
            <w:pPr>
              <w:pStyle w:val="6"/>
              <w:spacing w:before="68" w:line="206" w:lineRule="auto"/>
              <w:ind w:left="142"/>
            </w:pPr>
            <w:r>
              <w:rPr>
                <w:spacing w:val="-3"/>
              </w:rPr>
              <w:t>用地代码</w:t>
            </w:r>
          </w:p>
        </w:tc>
        <w:tc>
          <w:tcPr>
            <w:tcW w:w="3735" w:type="dxa"/>
            <w:gridSpan w:val="3"/>
            <w:vAlign w:val="top"/>
          </w:tcPr>
          <w:p w14:paraId="2EA01C3D">
            <w:pPr>
              <w:pStyle w:val="6"/>
              <w:spacing w:before="68" w:line="206" w:lineRule="auto"/>
              <w:ind w:left="1455"/>
            </w:pPr>
            <w:r>
              <w:rPr>
                <w:spacing w:val="-3"/>
              </w:rPr>
              <w:t>用地名称</w:t>
            </w:r>
          </w:p>
        </w:tc>
        <w:tc>
          <w:tcPr>
            <w:tcW w:w="2087" w:type="dxa"/>
            <w:vAlign w:val="top"/>
          </w:tcPr>
          <w:p w14:paraId="380755E4">
            <w:pPr>
              <w:pStyle w:val="6"/>
              <w:spacing w:before="68" w:line="205" w:lineRule="auto"/>
              <w:ind w:left="359"/>
            </w:pPr>
            <w:r>
              <w:rPr>
                <w:spacing w:val="-2"/>
              </w:rPr>
              <w:t>用地面积</w:t>
            </w:r>
            <w:r>
              <w:rPr>
                <w:rFonts w:hint="eastAsia"/>
                <w:spacing w:val="-2"/>
                <w:lang w:eastAsia="zh-CN"/>
              </w:rPr>
              <w:t>（</w:t>
            </w:r>
            <w:r>
              <w:rPr>
                <w:spacing w:val="-2"/>
              </w:rPr>
              <w:t>hm²</w:t>
            </w:r>
            <w:r>
              <w:rPr>
                <w:rFonts w:hint="eastAsia"/>
                <w:spacing w:val="-2"/>
                <w:lang w:eastAsia="zh-CN"/>
              </w:rPr>
              <w:t>）</w:t>
            </w:r>
          </w:p>
        </w:tc>
        <w:tc>
          <w:tcPr>
            <w:tcW w:w="2209" w:type="dxa"/>
            <w:vAlign w:val="top"/>
          </w:tcPr>
          <w:p w14:paraId="2436C254">
            <w:pPr>
              <w:pStyle w:val="6"/>
              <w:spacing w:before="68" w:line="205" w:lineRule="auto"/>
              <w:ind w:left="237"/>
            </w:pPr>
            <w:r>
              <w:rPr>
                <w:spacing w:val="-3"/>
              </w:rPr>
              <w:t>占城乡用地比例</w:t>
            </w:r>
            <w:r>
              <w:rPr>
                <w:rFonts w:hint="eastAsia"/>
                <w:spacing w:val="-3"/>
                <w:lang w:eastAsia="zh-CN"/>
              </w:rPr>
              <w:t>（</w:t>
            </w:r>
            <w:r>
              <w:rPr>
                <w:spacing w:val="-3"/>
              </w:rPr>
              <w:t>%</w:t>
            </w:r>
            <w:r>
              <w:rPr>
                <w:rFonts w:hint="eastAsia"/>
                <w:spacing w:val="-3"/>
                <w:lang w:eastAsia="zh-CN"/>
              </w:rPr>
              <w:t>）</w:t>
            </w:r>
          </w:p>
        </w:tc>
      </w:tr>
      <w:tr w14:paraId="1A17D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121" w:type="dxa"/>
            <w:vMerge w:val="restart"/>
            <w:tcBorders>
              <w:bottom w:val="nil"/>
            </w:tcBorders>
            <w:vAlign w:val="top"/>
          </w:tcPr>
          <w:p w14:paraId="20C19368">
            <w:pPr>
              <w:spacing w:line="246" w:lineRule="auto"/>
              <w:rPr>
                <w:rFonts w:ascii="Arial"/>
                <w:sz w:val="21"/>
              </w:rPr>
            </w:pPr>
          </w:p>
          <w:p w14:paraId="6BFD4A98">
            <w:pPr>
              <w:spacing w:line="246" w:lineRule="auto"/>
              <w:rPr>
                <w:rFonts w:ascii="Arial"/>
                <w:sz w:val="21"/>
              </w:rPr>
            </w:pPr>
          </w:p>
          <w:p w14:paraId="3B97857C">
            <w:pPr>
              <w:pStyle w:val="6"/>
              <w:spacing w:before="73" w:line="235" w:lineRule="auto"/>
              <w:ind w:left="528"/>
            </w:pPr>
            <w:r>
              <w:t>1</w:t>
            </w:r>
          </w:p>
        </w:tc>
        <w:tc>
          <w:tcPr>
            <w:tcW w:w="1113" w:type="dxa"/>
            <w:vMerge w:val="restart"/>
            <w:tcBorders>
              <w:bottom w:val="nil"/>
            </w:tcBorders>
            <w:vAlign w:val="top"/>
          </w:tcPr>
          <w:p w14:paraId="5CA97C0A">
            <w:pPr>
              <w:spacing w:line="254" w:lineRule="auto"/>
              <w:rPr>
                <w:rFonts w:ascii="Arial"/>
                <w:sz w:val="21"/>
              </w:rPr>
            </w:pPr>
          </w:p>
          <w:p w14:paraId="4DE557E2">
            <w:pPr>
              <w:spacing w:line="254" w:lineRule="auto"/>
              <w:rPr>
                <w:rFonts w:ascii="Arial"/>
                <w:sz w:val="21"/>
              </w:rPr>
            </w:pPr>
          </w:p>
          <w:p w14:paraId="466E2FCF">
            <w:pPr>
              <w:pStyle w:val="6"/>
              <w:spacing w:before="74" w:line="187" w:lineRule="auto"/>
              <w:ind w:left="495"/>
            </w:pPr>
            <w:r>
              <w:t>H</w:t>
            </w:r>
          </w:p>
        </w:tc>
        <w:tc>
          <w:tcPr>
            <w:tcW w:w="3735" w:type="dxa"/>
            <w:gridSpan w:val="3"/>
            <w:vAlign w:val="top"/>
          </w:tcPr>
          <w:p w14:paraId="06751AF3">
            <w:pPr>
              <w:pStyle w:val="6"/>
              <w:spacing w:before="64" w:line="206" w:lineRule="auto"/>
              <w:ind w:left="1449"/>
            </w:pPr>
            <w:r>
              <w:rPr>
                <w:spacing w:val="-1"/>
              </w:rPr>
              <w:t>建设用地</w:t>
            </w:r>
          </w:p>
        </w:tc>
        <w:tc>
          <w:tcPr>
            <w:tcW w:w="2087" w:type="dxa"/>
            <w:vAlign w:val="top"/>
          </w:tcPr>
          <w:p w14:paraId="134079F5">
            <w:pPr>
              <w:pStyle w:val="6"/>
              <w:spacing w:before="64" w:line="209" w:lineRule="auto"/>
              <w:ind w:left="815"/>
            </w:pPr>
            <w:r>
              <w:rPr>
                <w:spacing w:val="-2"/>
              </w:rPr>
              <w:t>2555</w:t>
            </w:r>
          </w:p>
        </w:tc>
        <w:tc>
          <w:tcPr>
            <w:tcW w:w="2209" w:type="dxa"/>
            <w:vAlign w:val="top"/>
          </w:tcPr>
          <w:p w14:paraId="0C5C432E">
            <w:pPr>
              <w:pStyle w:val="6"/>
              <w:spacing w:before="64" w:line="209" w:lineRule="auto"/>
              <w:ind w:left="854"/>
            </w:pPr>
            <w:r>
              <w:rPr>
                <w:spacing w:val="-3"/>
              </w:rPr>
              <w:t>73.39</w:t>
            </w:r>
          </w:p>
        </w:tc>
      </w:tr>
      <w:tr w14:paraId="79461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121" w:type="dxa"/>
            <w:vMerge w:val="continue"/>
            <w:tcBorders>
              <w:top w:val="nil"/>
              <w:bottom w:val="nil"/>
            </w:tcBorders>
            <w:vAlign w:val="top"/>
          </w:tcPr>
          <w:p w14:paraId="3A4BAA33">
            <w:pPr>
              <w:rPr>
                <w:rFonts w:ascii="Arial"/>
                <w:sz w:val="21"/>
              </w:rPr>
            </w:pPr>
          </w:p>
        </w:tc>
        <w:tc>
          <w:tcPr>
            <w:tcW w:w="1113" w:type="dxa"/>
            <w:vMerge w:val="continue"/>
            <w:tcBorders>
              <w:top w:val="nil"/>
              <w:bottom w:val="nil"/>
            </w:tcBorders>
            <w:vAlign w:val="top"/>
          </w:tcPr>
          <w:p w14:paraId="6B431B5D">
            <w:pPr>
              <w:rPr>
                <w:rFonts w:ascii="Arial"/>
                <w:sz w:val="21"/>
              </w:rPr>
            </w:pPr>
          </w:p>
        </w:tc>
        <w:tc>
          <w:tcPr>
            <w:tcW w:w="664" w:type="dxa"/>
            <w:vMerge w:val="restart"/>
            <w:tcBorders>
              <w:bottom w:val="nil"/>
            </w:tcBorders>
            <w:vAlign w:val="top"/>
          </w:tcPr>
          <w:p w14:paraId="79257701">
            <w:pPr>
              <w:spacing w:line="324" w:lineRule="auto"/>
              <w:rPr>
                <w:rFonts w:ascii="Arial"/>
                <w:sz w:val="21"/>
              </w:rPr>
            </w:pPr>
          </w:p>
          <w:p w14:paraId="5B550554">
            <w:pPr>
              <w:pStyle w:val="6"/>
              <w:spacing w:before="73" w:line="207" w:lineRule="auto"/>
              <w:ind w:left="128"/>
            </w:pPr>
            <w:r>
              <w:rPr>
                <w:spacing w:val="-2"/>
              </w:rPr>
              <w:t>其中</w:t>
            </w:r>
          </w:p>
        </w:tc>
        <w:tc>
          <w:tcPr>
            <w:tcW w:w="1015" w:type="dxa"/>
            <w:vAlign w:val="top"/>
          </w:tcPr>
          <w:p w14:paraId="6CA1037F">
            <w:pPr>
              <w:pStyle w:val="6"/>
              <w:spacing w:before="81" w:line="187" w:lineRule="auto"/>
              <w:ind w:left="333"/>
            </w:pPr>
            <w:r>
              <w:rPr>
                <w:spacing w:val="-4"/>
              </w:rPr>
              <w:t>H11</w:t>
            </w:r>
          </w:p>
        </w:tc>
        <w:tc>
          <w:tcPr>
            <w:tcW w:w="2056" w:type="dxa"/>
            <w:vAlign w:val="top"/>
          </w:tcPr>
          <w:p w14:paraId="6193877A">
            <w:pPr>
              <w:pStyle w:val="6"/>
              <w:spacing w:before="64" w:line="206" w:lineRule="auto"/>
              <w:ind w:left="404"/>
            </w:pPr>
            <w:r>
              <w:rPr>
                <w:spacing w:val="-1"/>
              </w:rPr>
              <w:t>城市建设用地</w:t>
            </w:r>
          </w:p>
        </w:tc>
        <w:tc>
          <w:tcPr>
            <w:tcW w:w="2087" w:type="dxa"/>
            <w:vAlign w:val="top"/>
          </w:tcPr>
          <w:p w14:paraId="70EAFEF9">
            <w:pPr>
              <w:pStyle w:val="6"/>
              <w:spacing w:before="64" w:line="208" w:lineRule="auto"/>
              <w:ind w:left="669"/>
            </w:pPr>
            <w:r>
              <w:rPr>
                <w:spacing w:val="-1"/>
              </w:rPr>
              <w:t>2079.07</w:t>
            </w:r>
          </w:p>
        </w:tc>
        <w:tc>
          <w:tcPr>
            <w:tcW w:w="2209" w:type="dxa"/>
            <w:vAlign w:val="top"/>
          </w:tcPr>
          <w:p w14:paraId="4E9D5679">
            <w:pPr>
              <w:pStyle w:val="6"/>
              <w:spacing w:before="64" w:line="208" w:lineRule="auto"/>
              <w:ind w:left="847"/>
            </w:pPr>
            <w:r>
              <w:rPr>
                <w:spacing w:val="-2"/>
              </w:rPr>
              <w:t>59.72</w:t>
            </w:r>
          </w:p>
        </w:tc>
      </w:tr>
      <w:tr w14:paraId="0A6A9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121" w:type="dxa"/>
            <w:vMerge w:val="continue"/>
            <w:tcBorders>
              <w:top w:val="nil"/>
              <w:bottom w:val="nil"/>
            </w:tcBorders>
            <w:vAlign w:val="top"/>
          </w:tcPr>
          <w:p w14:paraId="5E4F3826">
            <w:pPr>
              <w:rPr>
                <w:rFonts w:ascii="Arial"/>
                <w:sz w:val="21"/>
              </w:rPr>
            </w:pPr>
          </w:p>
        </w:tc>
        <w:tc>
          <w:tcPr>
            <w:tcW w:w="1113" w:type="dxa"/>
            <w:vMerge w:val="continue"/>
            <w:tcBorders>
              <w:top w:val="nil"/>
              <w:bottom w:val="nil"/>
            </w:tcBorders>
            <w:vAlign w:val="top"/>
          </w:tcPr>
          <w:p w14:paraId="162F3E84">
            <w:pPr>
              <w:rPr>
                <w:rFonts w:ascii="Arial"/>
                <w:sz w:val="21"/>
              </w:rPr>
            </w:pPr>
          </w:p>
        </w:tc>
        <w:tc>
          <w:tcPr>
            <w:tcW w:w="664" w:type="dxa"/>
            <w:vMerge w:val="continue"/>
            <w:tcBorders>
              <w:top w:val="nil"/>
              <w:bottom w:val="nil"/>
            </w:tcBorders>
            <w:vAlign w:val="top"/>
          </w:tcPr>
          <w:p w14:paraId="18B10311">
            <w:pPr>
              <w:rPr>
                <w:rFonts w:ascii="Arial"/>
                <w:sz w:val="21"/>
              </w:rPr>
            </w:pPr>
          </w:p>
        </w:tc>
        <w:tc>
          <w:tcPr>
            <w:tcW w:w="1015" w:type="dxa"/>
            <w:vAlign w:val="top"/>
          </w:tcPr>
          <w:p w14:paraId="544CE168">
            <w:pPr>
              <w:pStyle w:val="6"/>
              <w:spacing w:before="78" w:line="190" w:lineRule="auto"/>
              <w:ind w:left="391"/>
            </w:pPr>
            <w:r>
              <w:rPr>
                <w:spacing w:val="-5"/>
              </w:rPr>
              <w:t>H2</w:t>
            </w:r>
          </w:p>
        </w:tc>
        <w:tc>
          <w:tcPr>
            <w:tcW w:w="2056" w:type="dxa"/>
            <w:vAlign w:val="top"/>
          </w:tcPr>
          <w:p w14:paraId="57F55430">
            <w:pPr>
              <w:pStyle w:val="6"/>
              <w:spacing w:before="65" w:line="206" w:lineRule="auto"/>
              <w:ind w:left="211"/>
            </w:pPr>
            <w:r>
              <w:rPr>
                <w:spacing w:val="-3"/>
              </w:rPr>
              <w:t>区域交通设施用地</w:t>
            </w:r>
          </w:p>
        </w:tc>
        <w:tc>
          <w:tcPr>
            <w:tcW w:w="2087" w:type="dxa"/>
            <w:vAlign w:val="top"/>
          </w:tcPr>
          <w:p w14:paraId="18DE2095">
            <w:pPr>
              <w:pStyle w:val="6"/>
              <w:spacing w:before="65" w:line="207" w:lineRule="auto"/>
              <w:ind w:left="810"/>
            </w:pPr>
            <w:r>
              <w:rPr>
                <w:spacing w:val="-6"/>
              </w:rPr>
              <w:t>16.54</w:t>
            </w:r>
          </w:p>
        </w:tc>
        <w:tc>
          <w:tcPr>
            <w:tcW w:w="2209" w:type="dxa"/>
            <w:vAlign w:val="top"/>
          </w:tcPr>
          <w:p w14:paraId="189D0ACB">
            <w:pPr>
              <w:pStyle w:val="6"/>
              <w:spacing w:before="65" w:line="207" w:lineRule="auto"/>
              <w:ind w:left="903"/>
            </w:pPr>
            <w:r>
              <w:rPr>
                <w:spacing w:val="-1"/>
              </w:rPr>
              <w:t>0.48</w:t>
            </w:r>
          </w:p>
        </w:tc>
      </w:tr>
      <w:tr w14:paraId="5BDE4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121" w:type="dxa"/>
            <w:vMerge w:val="continue"/>
            <w:tcBorders>
              <w:top w:val="nil"/>
            </w:tcBorders>
            <w:vAlign w:val="top"/>
          </w:tcPr>
          <w:p w14:paraId="3A92DD8D">
            <w:pPr>
              <w:rPr>
                <w:rFonts w:ascii="Arial"/>
                <w:sz w:val="21"/>
              </w:rPr>
            </w:pPr>
          </w:p>
        </w:tc>
        <w:tc>
          <w:tcPr>
            <w:tcW w:w="1113" w:type="dxa"/>
            <w:vMerge w:val="continue"/>
            <w:tcBorders>
              <w:top w:val="nil"/>
            </w:tcBorders>
            <w:vAlign w:val="top"/>
          </w:tcPr>
          <w:p w14:paraId="4CDE5AB9">
            <w:pPr>
              <w:rPr>
                <w:rFonts w:ascii="Arial"/>
                <w:sz w:val="21"/>
              </w:rPr>
            </w:pPr>
          </w:p>
        </w:tc>
        <w:tc>
          <w:tcPr>
            <w:tcW w:w="664" w:type="dxa"/>
            <w:vMerge w:val="continue"/>
            <w:tcBorders>
              <w:top w:val="nil"/>
            </w:tcBorders>
            <w:vAlign w:val="top"/>
          </w:tcPr>
          <w:p w14:paraId="77500134">
            <w:pPr>
              <w:rPr>
                <w:rFonts w:ascii="Arial"/>
                <w:sz w:val="21"/>
              </w:rPr>
            </w:pPr>
          </w:p>
        </w:tc>
        <w:tc>
          <w:tcPr>
            <w:tcW w:w="1015" w:type="dxa"/>
            <w:vAlign w:val="top"/>
          </w:tcPr>
          <w:p w14:paraId="487A9F09">
            <w:pPr>
              <w:pStyle w:val="6"/>
              <w:spacing w:before="83" w:line="187" w:lineRule="auto"/>
              <w:ind w:left="391"/>
            </w:pPr>
            <w:r>
              <w:rPr>
                <w:spacing w:val="-5"/>
              </w:rPr>
              <w:t>H5</w:t>
            </w:r>
          </w:p>
        </w:tc>
        <w:tc>
          <w:tcPr>
            <w:tcW w:w="2056" w:type="dxa"/>
            <w:vAlign w:val="top"/>
          </w:tcPr>
          <w:p w14:paraId="3C81D30D">
            <w:pPr>
              <w:pStyle w:val="6"/>
              <w:spacing w:before="66" w:line="206" w:lineRule="auto"/>
              <w:ind w:left="612"/>
            </w:pPr>
            <w:r>
              <w:rPr>
                <w:spacing w:val="-2"/>
              </w:rPr>
              <w:t>采矿用地</w:t>
            </w:r>
          </w:p>
        </w:tc>
        <w:tc>
          <w:tcPr>
            <w:tcW w:w="2087" w:type="dxa"/>
            <w:vAlign w:val="top"/>
          </w:tcPr>
          <w:p w14:paraId="02F8C50B">
            <w:pPr>
              <w:pStyle w:val="6"/>
              <w:spacing w:before="65" w:line="207" w:lineRule="auto"/>
              <w:ind w:left="725"/>
            </w:pPr>
            <w:r>
              <w:rPr>
                <w:spacing w:val="-1"/>
              </w:rPr>
              <w:t>459.39</w:t>
            </w:r>
          </w:p>
        </w:tc>
        <w:tc>
          <w:tcPr>
            <w:tcW w:w="2209" w:type="dxa"/>
            <w:vAlign w:val="top"/>
          </w:tcPr>
          <w:p w14:paraId="58761DA7">
            <w:pPr>
              <w:pStyle w:val="6"/>
              <w:spacing w:before="65" w:line="207" w:lineRule="auto"/>
              <w:ind w:left="869"/>
            </w:pPr>
            <w:r>
              <w:rPr>
                <w:spacing w:val="-6"/>
              </w:rPr>
              <w:t>13.20</w:t>
            </w:r>
          </w:p>
        </w:tc>
      </w:tr>
      <w:tr w14:paraId="47C88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1121" w:type="dxa"/>
            <w:vMerge w:val="restart"/>
            <w:tcBorders>
              <w:bottom w:val="nil"/>
            </w:tcBorders>
            <w:vAlign w:val="top"/>
          </w:tcPr>
          <w:p w14:paraId="2AE6D4F4">
            <w:pPr>
              <w:spacing w:line="328" w:lineRule="auto"/>
              <w:rPr>
                <w:rFonts w:ascii="Arial"/>
                <w:sz w:val="21"/>
              </w:rPr>
            </w:pPr>
          </w:p>
          <w:p w14:paraId="64ED9EDF">
            <w:pPr>
              <w:pStyle w:val="6"/>
              <w:spacing w:before="73" w:line="235" w:lineRule="auto"/>
              <w:ind w:left="505"/>
            </w:pPr>
            <w:r>
              <w:t>2</w:t>
            </w:r>
          </w:p>
        </w:tc>
        <w:tc>
          <w:tcPr>
            <w:tcW w:w="1113" w:type="dxa"/>
            <w:vMerge w:val="restart"/>
            <w:tcBorders>
              <w:bottom w:val="nil"/>
            </w:tcBorders>
            <w:vAlign w:val="top"/>
          </w:tcPr>
          <w:p w14:paraId="553CF9F9">
            <w:pPr>
              <w:spacing w:line="344" w:lineRule="auto"/>
              <w:rPr>
                <w:rFonts w:ascii="Arial"/>
                <w:sz w:val="21"/>
              </w:rPr>
            </w:pPr>
          </w:p>
          <w:p w14:paraId="66077AD0">
            <w:pPr>
              <w:pStyle w:val="6"/>
              <w:spacing w:before="74" w:line="187" w:lineRule="auto"/>
              <w:ind w:left="510"/>
            </w:pPr>
            <w:r>
              <w:t>E</w:t>
            </w:r>
          </w:p>
        </w:tc>
        <w:tc>
          <w:tcPr>
            <w:tcW w:w="3735" w:type="dxa"/>
            <w:gridSpan w:val="3"/>
            <w:vAlign w:val="top"/>
          </w:tcPr>
          <w:p w14:paraId="0B6B0B07">
            <w:pPr>
              <w:pStyle w:val="6"/>
              <w:spacing w:before="67" w:line="206" w:lineRule="auto"/>
              <w:ind w:left="1356"/>
            </w:pPr>
            <w:r>
              <w:rPr>
                <w:spacing w:val="-4"/>
              </w:rPr>
              <w:t>非建设用地</w:t>
            </w:r>
          </w:p>
        </w:tc>
        <w:tc>
          <w:tcPr>
            <w:tcW w:w="2087" w:type="dxa"/>
            <w:vAlign w:val="top"/>
          </w:tcPr>
          <w:p w14:paraId="423E24CF">
            <w:pPr>
              <w:pStyle w:val="6"/>
              <w:spacing w:before="67" w:line="206" w:lineRule="auto"/>
              <w:ind w:left="727"/>
            </w:pPr>
            <w:r>
              <w:rPr>
                <w:spacing w:val="-1"/>
              </w:rPr>
              <w:t>886.78</w:t>
            </w:r>
          </w:p>
        </w:tc>
        <w:tc>
          <w:tcPr>
            <w:tcW w:w="2209" w:type="dxa"/>
            <w:vAlign w:val="top"/>
          </w:tcPr>
          <w:p w14:paraId="7899F4D7">
            <w:pPr>
              <w:pStyle w:val="6"/>
              <w:spacing w:before="67" w:line="206" w:lineRule="auto"/>
              <w:ind w:left="845"/>
            </w:pPr>
            <w:r>
              <w:rPr>
                <w:spacing w:val="-1"/>
              </w:rPr>
              <w:t>25.47</w:t>
            </w:r>
          </w:p>
        </w:tc>
      </w:tr>
      <w:tr w14:paraId="59319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121" w:type="dxa"/>
            <w:vMerge w:val="continue"/>
            <w:tcBorders>
              <w:top w:val="nil"/>
              <w:bottom w:val="nil"/>
            </w:tcBorders>
            <w:vAlign w:val="top"/>
          </w:tcPr>
          <w:p w14:paraId="108FF559">
            <w:pPr>
              <w:rPr>
                <w:rFonts w:ascii="Arial"/>
                <w:sz w:val="21"/>
              </w:rPr>
            </w:pPr>
          </w:p>
        </w:tc>
        <w:tc>
          <w:tcPr>
            <w:tcW w:w="1113" w:type="dxa"/>
            <w:vMerge w:val="continue"/>
            <w:tcBorders>
              <w:top w:val="nil"/>
              <w:bottom w:val="nil"/>
            </w:tcBorders>
            <w:vAlign w:val="top"/>
          </w:tcPr>
          <w:p w14:paraId="3AB0C509">
            <w:pPr>
              <w:rPr>
                <w:rFonts w:ascii="Arial"/>
                <w:sz w:val="21"/>
              </w:rPr>
            </w:pPr>
          </w:p>
        </w:tc>
        <w:tc>
          <w:tcPr>
            <w:tcW w:w="664" w:type="dxa"/>
            <w:vMerge w:val="restart"/>
            <w:tcBorders>
              <w:bottom w:val="nil"/>
            </w:tcBorders>
            <w:vAlign w:val="top"/>
          </w:tcPr>
          <w:p w14:paraId="3B1003A6">
            <w:pPr>
              <w:pStyle w:val="6"/>
              <w:spacing w:before="235" w:line="207" w:lineRule="auto"/>
              <w:ind w:left="128"/>
            </w:pPr>
            <w:r>
              <w:rPr>
                <w:spacing w:val="-2"/>
              </w:rPr>
              <w:t>其中</w:t>
            </w:r>
          </w:p>
        </w:tc>
        <w:tc>
          <w:tcPr>
            <w:tcW w:w="1015" w:type="dxa"/>
            <w:vAlign w:val="top"/>
          </w:tcPr>
          <w:p w14:paraId="720573CB">
            <w:pPr>
              <w:pStyle w:val="6"/>
              <w:spacing w:before="85" w:line="187" w:lineRule="auto"/>
              <w:ind w:left="408"/>
            </w:pPr>
            <w:r>
              <w:rPr>
                <w:spacing w:val="-5"/>
              </w:rPr>
              <w:t>E1</w:t>
            </w:r>
          </w:p>
        </w:tc>
        <w:tc>
          <w:tcPr>
            <w:tcW w:w="2056" w:type="dxa"/>
            <w:vAlign w:val="top"/>
          </w:tcPr>
          <w:p w14:paraId="61D4EFF7">
            <w:pPr>
              <w:pStyle w:val="6"/>
              <w:spacing w:before="68" w:line="206" w:lineRule="auto"/>
              <w:ind w:left="821"/>
            </w:pPr>
            <w:r>
              <w:rPr>
                <w:spacing w:val="-1"/>
              </w:rPr>
              <w:t>水域</w:t>
            </w:r>
          </w:p>
        </w:tc>
        <w:tc>
          <w:tcPr>
            <w:tcW w:w="2087" w:type="dxa"/>
            <w:vAlign w:val="top"/>
          </w:tcPr>
          <w:p w14:paraId="56FD1D0F">
            <w:pPr>
              <w:pStyle w:val="6"/>
              <w:spacing w:before="68" w:line="206" w:lineRule="auto"/>
              <w:ind w:left="787"/>
            </w:pPr>
            <w:r>
              <w:rPr>
                <w:spacing w:val="-1"/>
              </w:rPr>
              <w:t>33.64</w:t>
            </w:r>
          </w:p>
        </w:tc>
        <w:tc>
          <w:tcPr>
            <w:tcW w:w="2209" w:type="dxa"/>
            <w:vAlign w:val="top"/>
          </w:tcPr>
          <w:p w14:paraId="10410D37">
            <w:pPr>
              <w:pStyle w:val="6"/>
              <w:spacing w:before="68" w:line="206" w:lineRule="auto"/>
              <w:ind w:left="903"/>
            </w:pPr>
            <w:r>
              <w:rPr>
                <w:spacing w:val="-1"/>
              </w:rPr>
              <w:t>0.97</w:t>
            </w:r>
          </w:p>
        </w:tc>
      </w:tr>
      <w:tr w14:paraId="1A6EA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121" w:type="dxa"/>
            <w:vMerge w:val="continue"/>
            <w:tcBorders>
              <w:top w:val="nil"/>
            </w:tcBorders>
            <w:vAlign w:val="top"/>
          </w:tcPr>
          <w:p w14:paraId="16949793">
            <w:pPr>
              <w:rPr>
                <w:rFonts w:ascii="Arial"/>
                <w:sz w:val="21"/>
              </w:rPr>
            </w:pPr>
          </w:p>
        </w:tc>
        <w:tc>
          <w:tcPr>
            <w:tcW w:w="1113" w:type="dxa"/>
            <w:vMerge w:val="continue"/>
            <w:tcBorders>
              <w:top w:val="nil"/>
            </w:tcBorders>
            <w:vAlign w:val="top"/>
          </w:tcPr>
          <w:p w14:paraId="52D30103">
            <w:pPr>
              <w:rPr>
                <w:rFonts w:ascii="Arial"/>
                <w:sz w:val="21"/>
              </w:rPr>
            </w:pPr>
          </w:p>
        </w:tc>
        <w:tc>
          <w:tcPr>
            <w:tcW w:w="664" w:type="dxa"/>
            <w:vMerge w:val="continue"/>
            <w:tcBorders>
              <w:top w:val="nil"/>
            </w:tcBorders>
            <w:vAlign w:val="top"/>
          </w:tcPr>
          <w:p w14:paraId="1F896F6D">
            <w:pPr>
              <w:rPr>
                <w:rFonts w:ascii="Arial"/>
                <w:sz w:val="21"/>
              </w:rPr>
            </w:pPr>
          </w:p>
        </w:tc>
        <w:tc>
          <w:tcPr>
            <w:tcW w:w="1015" w:type="dxa"/>
            <w:vAlign w:val="top"/>
          </w:tcPr>
          <w:p w14:paraId="42753EF6">
            <w:pPr>
              <w:pStyle w:val="6"/>
              <w:spacing w:before="81" w:line="190" w:lineRule="auto"/>
              <w:ind w:left="408"/>
            </w:pPr>
            <w:r>
              <w:rPr>
                <w:spacing w:val="-5"/>
              </w:rPr>
              <w:t>E2</w:t>
            </w:r>
          </w:p>
        </w:tc>
        <w:tc>
          <w:tcPr>
            <w:tcW w:w="2056" w:type="dxa"/>
            <w:vAlign w:val="top"/>
          </w:tcPr>
          <w:p w14:paraId="48E06B61">
            <w:pPr>
              <w:pStyle w:val="6"/>
              <w:spacing w:before="68" w:line="206" w:lineRule="auto"/>
              <w:ind w:left="609"/>
            </w:pPr>
            <w:r>
              <w:rPr>
                <w:spacing w:val="-1"/>
              </w:rPr>
              <w:t>农林用地</w:t>
            </w:r>
          </w:p>
        </w:tc>
        <w:tc>
          <w:tcPr>
            <w:tcW w:w="2087" w:type="dxa"/>
            <w:vAlign w:val="top"/>
          </w:tcPr>
          <w:p w14:paraId="30F11C23">
            <w:pPr>
              <w:pStyle w:val="6"/>
              <w:spacing w:before="68" w:line="206" w:lineRule="auto"/>
              <w:ind w:left="727"/>
            </w:pPr>
            <w:r>
              <w:rPr>
                <w:spacing w:val="-1"/>
              </w:rPr>
              <w:t>853.14</w:t>
            </w:r>
          </w:p>
        </w:tc>
        <w:tc>
          <w:tcPr>
            <w:tcW w:w="2209" w:type="dxa"/>
            <w:vAlign w:val="top"/>
          </w:tcPr>
          <w:p w14:paraId="595C9578">
            <w:pPr>
              <w:pStyle w:val="6"/>
              <w:spacing w:before="68" w:line="206" w:lineRule="auto"/>
              <w:ind w:left="845"/>
            </w:pPr>
            <w:r>
              <w:rPr>
                <w:spacing w:val="-1"/>
              </w:rPr>
              <w:t>24.50</w:t>
            </w:r>
          </w:p>
        </w:tc>
      </w:tr>
      <w:tr w14:paraId="6DA19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121" w:type="dxa"/>
            <w:vAlign w:val="top"/>
          </w:tcPr>
          <w:p w14:paraId="5DDF720F">
            <w:pPr>
              <w:pStyle w:val="6"/>
              <w:spacing w:before="68" w:line="206" w:lineRule="auto"/>
              <w:ind w:left="506"/>
            </w:pPr>
            <w:r>
              <w:t>3</w:t>
            </w:r>
          </w:p>
        </w:tc>
        <w:tc>
          <w:tcPr>
            <w:tcW w:w="4848" w:type="dxa"/>
            <w:gridSpan w:val="4"/>
            <w:vAlign w:val="top"/>
          </w:tcPr>
          <w:p w14:paraId="779F7692">
            <w:pPr>
              <w:pStyle w:val="6"/>
              <w:spacing w:before="68" w:line="206" w:lineRule="auto"/>
              <w:ind w:left="1899"/>
            </w:pPr>
            <w:r>
              <w:rPr>
                <w:spacing w:val="-1"/>
              </w:rPr>
              <w:t>发展备用地</w:t>
            </w:r>
          </w:p>
        </w:tc>
        <w:tc>
          <w:tcPr>
            <w:tcW w:w="2087" w:type="dxa"/>
            <w:vAlign w:val="top"/>
          </w:tcPr>
          <w:p w14:paraId="7318D6AE">
            <w:pPr>
              <w:pStyle w:val="6"/>
              <w:spacing w:before="68" w:line="206" w:lineRule="auto"/>
              <w:ind w:left="787"/>
            </w:pPr>
            <w:r>
              <w:rPr>
                <w:spacing w:val="-1"/>
              </w:rPr>
              <w:t>39.72</w:t>
            </w:r>
          </w:p>
        </w:tc>
        <w:tc>
          <w:tcPr>
            <w:tcW w:w="2209" w:type="dxa"/>
            <w:vAlign w:val="top"/>
          </w:tcPr>
          <w:p w14:paraId="0A42E604">
            <w:pPr>
              <w:pStyle w:val="6"/>
              <w:spacing w:before="68" w:line="206" w:lineRule="auto"/>
              <w:ind w:left="926"/>
            </w:pPr>
            <w:r>
              <w:rPr>
                <w:spacing w:val="-5"/>
              </w:rPr>
              <w:t>1.14</w:t>
            </w:r>
          </w:p>
        </w:tc>
      </w:tr>
      <w:tr w14:paraId="165E3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21" w:type="dxa"/>
            <w:vAlign w:val="top"/>
          </w:tcPr>
          <w:p w14:paraId="6F37B307">
            <w:pPr>
              <w:pStyle w:val="6"/>
              <w:spacing w:before="69" w:line="209" w:lineRule="auto"/>
              <w:ind w:left="504"/>
            </w:pPr>
            <w:r>
              <w:t>4</w:t>
            </w:r>
          </w:p>
        </w:tc>
        <w:tc>
          <w:tcPr>
            <w:tcW w:w="4848" w:type="dxa"/>
            <w:gridSpan w:val="4"/>
            <w:vAlign w:val="top"/>
          </w:tcPr>
          <w:p w14:paraId="2A7EE05E">
            <w:pPr>
              <w:pStyle w:val="6"/>
              <w:spacing w:before="69" w:line="206" w:lineRule="auto"/>
              <w:ind w:left="2006"/>
            </w:pPr>
            <w:r>
              <w:rPr>
                <w:spacing w:val="-2"/>
              </w:rPr>
              <w:t>城乡用地</w:t>
            </w:r>
          </w:p>
        </w:tc>
        <w:tc>
          <w:tcPr>
            <w:tcW w:w="2087" w:type="dxa"/>
            <w:vAlign w:val="top"/>
          </w:tcPr>
          <w:p w14:paraId="328565EC">
            <w:pPr>
              <w:pStyle w:val="6"/>
              <w:spacing w:before="69" w:line="209" w:lineRule="auto"/>
              <w:ind w:left="727"/>
            </w:pPr>
            <w:r>
              <w:rPr>
                <w:spacing w:val="-1"/>
              </w:rPr>
              <w:t>3481.5</w:t>
            </w:r>
          </w:p>
        </w:tc>
        <w:tc>
          <w:tcPr>
            <w:tcW w:w="2209" w:type="dxa"/>
            <w:vAlign w:val="top"/>
          </w:tcPr>
          <w:p w14:paraId="0C43588A">
            <w:pPr>
              <w:pStyle w:val="6"/>
              <w:spacing w:before="69" w:line="209" w:lineRule="auto"/>
              <w:ind w:left="957"/>
            </w:pPr>
            <w:r>
              <w:rPr>
                <w:spacing w:val="-10"/>
              </w:rPr>
              <w:t>100</w:t>
            </w:r>
          </w:p>
        </w:tc>
      </w:tr>
    </w:tbl>
    <w:p w14:paraId="43D5A0B2">
      <w:pPr>
        <w:pStyle w:val="2"/>
        <w:spacing w:before="139" w:line="450" w:lineRule="auto"/>
        <w:ind w:left="121" w:right="129" w:firstLine="420"/>
        <w:rPr>
          <w:sz w:val="21"/>
          <w:szCs w:val="21"/>
        </w:rPr>
      </w:pPr>
      <w:r>
        <w:rPr>
          <w:sz w:val="21"/>
          <w:szCs w:val="21"/>
        </w:rPr>
        <w:t>注：本次将规划建设范围边缘的部分适宜建设</w:t>
      </w:r>
      <w:r>
        <w:rPr>
          <w:spacing w:val="-1"/>
          <w:sz w:val="21"/>
          <w:szCs w:val="21"/>
        </w:rPr>
        <w:t>、但规划期内尚不明确功能的用地划定为</w:t>
      </w:r>
      <w:r>
        <w:rPr>
          <w:rFonts w:ascii="Calibri" w:hAnsi="Calibri" w:eastAsia="Calibri" w:cs="Calibri"/>
          <w:spacing w:val="-1"/>
          <w:sz w:val="21"/>
          <w:szCs w:val="21"/>
        </w:rPr>
        <w:t>“</w:t>
      </w:r>
      <w:r>
        <w:rPr>
          <w:spacing w:val="-1"/>
          <w:sz w:val="21"/>
          <w:szCs w:val="21"/>
        </w:rPr>
        <w:t>发展备用地</w:t>
      </w:r>
      <w:r>
        <w:rPr>
          <w:rFonts w:ascii="Calibri" w:hAnsi="Calibri" w:eastAsia="Calibri" w:cs="Calibri"/>
          <w:spacing w:val="-1"/>
          <w:sz w:val="21"/>
          <w:szCs w:val="21"/>
        </w:rPr>
        <w:t>”</w:t>
      </w:r>
      <w:r>
        <w:rPr>
          <w:spacing w:val="-1"/>
          <w:sz w:val="21"/>
          <w:szCs w:val="21"/>
        </w:rPr>
        <w:t>，以</w:t>
      </w:r>
      <w:r>
        <w:rPr>
          <w:spacing w:val="-2"/>
          <w:sz w:val="21"/>
          <w:szCs w:val="21"/>
        </w:rPr>
        <w:t>适应城市建设的弹性要求。（</w:t>
      </w:r>
      <w:r>
        <w:rPr>
          <w:rFonts w:ascii="Calibri" w:hAnsi="Calibri" w:eastAsia="Calibri" w:cs="Calibri"/>
          <w:spacing w:val="-2"/>
          <w:sz w:val="21"/>
          <w:szCs w:val="21"/>
        </w:rPr>
        <w:t>2</w:t>
      </w:r>
      <w:r>
        <w:rPr>
          <w:spacing w:val="-2"/>
          <w:sz w:val="21"/>
          <w:szCs w:val="21"/>
        </w:rPr>
        <w:t>）使用发展备用地，需在规</w:t>
      </w:r>
      <w:r>
        <w:rPr>
          <w:spacing w:val="-3"/>
          <w:sz w:val="21"/>
          <w:szCs w:val="21"/>
        </w:rPr>
        <w:t>划选址批准之前完成环境保护评估与审批。</w:t>
      </w:r>
    </w:p>
    <w:p w14:paraId="29047014">
      <w:pPr>
        <w:spacing w:before="7" w:line="206" w:lineRule="auto"/>
        <w:ind w:left="2696"/>
        <w:rPr>
          <w:rFonts w:ascii="华文细黑" w:hAnsi="华文细黑" w:eastAsia="华文细黑" w:cs="华文细黑"/>
          <w:sz w:val="21"/>
          <w:szCs w:val="21"/>
        </w:rPr>
      </w:pPr>
      <w:r>
        <w:rPr>
          <w:rFonts w:ascii="华文细黑" w:hAnsi="华文细黑" w:eastAsia="华文细黑" w:cs="华文细黑"/>
          <w:spacing w:val="-1"/>
          <w:sz w:val="21"/>
          <w:szCs w:val="21"/>
        </w:rPr>
        <w:t>表格 5  盐边钒钛产业开发区城市建设用地规划统计表</w:t>
      </w:r>
    </w:p>
    <w:p w14:paraId="73D309C2">
      <w:pPr>
        <w:spacing w:line="86" w:lineRule="exact"/>
      </w:pPr>
    </w:p>
    <w:tbl>
      <w:tblPr>
        <w:tblStyle w:val="5"/>
        <w:tblW w:w="10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8"/>
        <w:gridCol w:w="732"/>
        <w:gridCol w:w="710"/>
        <w:gridCol w:w="2816"/>
        <w:gridCol w:w="2493"/>
        <w:gridCol w:w="2926"/>
      </w:tblGrid>
      <w:tr w14:paraId="33ACC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588" w:type="dxa"/>
            <w:textDirection w:val="tbRlV"/>
            <w:vAlign w:val="top"/>
          </w:tcPr>
          <w:p w14:paraId="45C6A8EB">
            <w:pPr>
              <w:pStyle w:val="6"/>
              <w:spacing w:before="187" w:line="197" w:lineRule="auto"/>
              <w:jc w:val="right"/>
            </w:pPr>
            <w:r>
              <w:rPr>
                <w:spacing w:val="-42"/>
              </w:rPr>
              <w:t xml:space="preserve">编  </w:t>
            </w:r>
            <w:r>
              <w:rPr>
                <w:spacing w:val="-41"/>
              </w:rPr>
              <w:t xml:space="preserve"> </w:t>
            </w:r>
            <w:r>
              <w:rPr>
                <w:spacing w:val="-33"/>
              </w:rPr>
              <w:t>号</w:t>
            </w:r>
          </w:p>
        </w:tc>
        <w:tc>
          <w:tcPr>
            <w:tcW w:w="732" w:type="dxa"/>
            <w:vAlign w:val="top"/>
          </w:tcPr>
          <w:p w14:paraId="56E40BBC">
            <w:pPr>
              <w:pStyle w:val="6"/>
              <w:spacing w:before="68" w:line="206" w:lineRule="auto"/>
              <w:ind w:left="164"/>
            </w:pPr>
            <w:r>
              <w:rPr>
                <w:spacing w:val="-3"/>
              </w:rPr>
              <w:t>用地</w:t>
            </w:r>
          </w:p>
          <w:p w14:paraId="1596AEA2">
            <w:pPr>
              <w:pStyle w:val="6"/>
              <w:spacing w:before="72" w:line="209" w:lineRule="auto"/>
              <w:ind w:left="156"/>
            </w:pPr>
            <w:r>
              <w:rPr>
                <w:spacing w:val="-1"/>
              </w:rPr>
              <w:t>代码</w:t>
            </w:r>
          </w:p>
        </w:tc>
        <w:tc>
          <w:tcPr>
            <w:tcW w:w="3526" w:type="dxa"/>
            <w:gridSpan w:val="2"/>
            <w:vAlign w:val="top"/>
          </w:tcPr>
          <w:p w14:paraId="2542506E">
            <w:pPr>
              <w:pStyle w:val="6"/>
              <w:spacing w:before="231" w:line="206" w:lineRule="auto"/>
              <w:ind w:left="1349"/>
            </w:pPr>
            <w:r>
              <w:rPr>
                <w:spacing w:val="-3"/>
              </w:rPr>
              <w:t>用地名称</w:t>
            </w:r>
          </w:p>
        </w:tc>
        <w:tc>
          <w:tcPr>
            <w:tcW w:w="2493" w:type="dxa"/>
            <w:vAlign w:val="top"/>
          </w:tcPr>
          <w:p w14:paraId="7C473F20">
            <w:pPr>
              <w:pStyle w:val="6"/>
              <w:spacing w:before="231" w:line="206" w:lineRule="auto"/>
              <w:ind w:left="415"/>
            </w:pPr>
            <w:r>
              <w:rPr>
                <w:spacing w:val="-2"/>
              </w:rPr>
              <w:t>用地面积（公顷）</w:t>
            </w:r>
          </w:p>
        </w:tc>
        <w:tc>
          <w:tcPr>
            <w:tcW w:w="2926" w:type="dxa"/>
            <w:vAlign w:val="top"/>
          </w:tcPr>
          <w:p w14:paraId="2D316753">
            <w:pPr>
              <w:pStyle w:val="6"/>
              <w:spacing w:before="231" w:line="205" w:lineRule="auto"/>
              <w:ind w:left="385"/>
            </w:pPr>
            <w:r>
              <w:rPr>
                <w:spacing w:val="-3"/>
              </w:rPr>
              <w:t>占城市建设用地比例</w:t>
            </w:r>
            <w:r>
              <w:rPr>
                <w:rFonts w:hint="eastAsia"/>
                <w:spacing w:val="-3"/>
                <w:lang w:eastAsia="zh-CN"/>
              </w:rPr>
              <w:t>（</w:t>
            </w:r>
            <w:r>
              <w:rPr>
                <w:spacing w:val="-3"/>
              </w:rPr>
              <w:t>%</w:t>
            </w:r>
            <w:r>
              <w:rPr>
                <w:rFonts w:hint="eastAsia"/>
                <w:spacing w:val="-3"/>
                <w:lang w:eastAsia="zh-CN"/>
              </w:rPr>
              <w:t>）</w:t>
            </w:r>
          </w:p>
        </w:tc>
      </w:tr>
      <w:tr w14:paraId="39FBD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restart"/>
            <w:tcBorders>
              <w:bottom w:val="nil"/>
            </w:tcBorders>
            <w:vAlign w:val="top"/>
          </w:tcPr>
          <w:p w14:paraId="36A2DEFC">
            <w:pPr>
              <w:spacing w:line="325" w:lineRule="auto"/>
              <w:rPr>
                <w:rFonts w:ascii="Arial"/>
                <w:sz w:val="21"/>
              </w:rPr>
            </w:pPr>
          </w:p>
          <w:p w14:paraId="1662C6B1">
            <w:pPr>
              <w:pStyle w:val="6"/>
              <w:spacing w:before="74" w:line="235" w:lineRule="auto"/>
              <w:ind w:left="262"/>
            </w:pPr>
            <w:r>
              <w:t>1</w:t>
            </w:r>
          </w:p>
        </w:tc>
        <w:tc>
          <w:tcPr>
            <w:tcW w:w="732" w:type="dxa"/>
            <w:vMerge w:val="restart"/>
            <w:tcBorders>
              <w:bottom w:val="nil"/>
            </w:tcBorders>
            <w:vAlign w:val="top"/>
          </w:tcPr>
          <w:p w14:paraId="2492AEDF">
            <w:pPr>
              <w:spacing w:line="335" w:lineRule="auto"/>
              <w:rPr>
                <w:rFonts w:ascii="Arial"/>
                <w:sz w:val="21"/>
              </w:rPr>
            </w:pPr>
          </w:p>
          <w:p w14:paraId="7DA7F1A0">
            <w:pPr>
              <w:pStyle w:val="6"/>
              <w:spacing w:before="74" w:line="192" w:lineRule="auto"/>
              <w:ind w:left="288"/>
            </w:pPr>
            <w:r>
              <w:t>A</w:t>
            </w:r>
          </w:p>
        </w:tc>
        <w:tc>
          <w:tcPr>
            <w:tcW w:w="3526" w:type="dxa"/>
            <w:gridSpan w:val="2"/>
            <w:vAlign w:val="top"/>
          </w:tcPr>
          <w:p w14:paraId="41E9F53B">
            <w:pPr>
              <w:pStyle w:val="6"/>
              <w:spacing w:before="64" w:line="206" w:lineRule="auto"/>
              <w:ind w:left="407"/>
            </w:pPr>
            <w:r>
              <w:rPr>
                <w:spacing w:val="-1"/>
              </w:rPr>
              <w:t>公共管理与公共服务设施用地</w:t>
            </w:r>
          </w:p>
        </w:tc>
        <w:tc>
          <w:tcPr>
            <w:tcW w:w="2493" w:type="dxa"/>
            <w:vAlign w:val="top"/>
          </w:tcPr>
          <w:p w14:paraId="5B361410">
            <w:pPr>
              <w:pStyle w:val="6"/>
              <w:spacing w:before="64" w:line="209" w:lineRule="auto"/>
              <w:ind w:left="1069"/>
            </w:pPr>
            <w:r>
              <w:rPr>
                <w:spacing w:val="-5"/>
              </w:rPr>
              <w:t>1.87</w:t>
            </w:r>
          </w:p>
        </w:tc>
        <w:tc>
          <w:tcPr>
            <w:tcW w:w="2926" w:type="dxa"/>
            <w:vAlign w:val="top"/>
          </w:tcPr>
          <w:p w14:paraId="59689B68">
            <w:pPr>
              <w:pStyle w:val="6"/>
              <w:spacing w:before="64" w:line="209" w:lineRule="auto"/>
              <w:ind w:left="1262"/>
            </w:pPr>
            <w:r>
              <w:rPr>
                <w:spacing w:val="-1"/>
              </w:rPr>
              <w:t>0.09</w:t>
            </w:r>
          </w:p>
        </w:tc>
      </w:tr>
      <w:tr w14:paraId="2BAFF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bottom w:val="nil"/>
            </w:tcBorders>
            <w:vAlign w:val="top"/>
          </w:tcPr>
          <w:p w14:paraId="6BBDFBF7">
            <w:pPr>
              <w:rPr>
                <w:rFonts w:ascii="Arial"/>
                <w:sz w:val="21"/>
              </w:rPr>
            </w:pPr>
          </w:p>
        </w:tc>
        <w:tc>
          <w:tcPr>
            <w:tcW w:w="732" w:type="dxa"/>
            <w:vMerge w:val="continue"/>
            <w:tcBorders>
              <w:top w:val="nil"/>
              <w:bottom w:val="nil"/>
            </w:tcBorders>
            <w:vAlign w:val="top"/>
          </w:tcPr>
          <w:p w14:paraId="656B640A">
            <w:pPr>
              <w:rPr>
                <w:rFonts w:ascii="Arial"/>
                <w:sz w:val="21"/>
              </w:rPr>
            </w:pPr>
          </w:p>
        </w:tc>
        <w:tc>
          <w:tcPr>
            <w:tcW w:w="710" w:type="dxa"/>
            <w:vMerge w:val="restart"/>
            <w:tcBorders>
              <w:bottom w:val="nil"/>
            </w:tcBorders>
            <w:vAlign w:val="top"/>
          </w:tcPr>
          <w:p w14:paraId="6A285871">
            <w:pPr>
              <w:pStyle w:val="6"/>
              <w:spacing w:before="232" w:line="207" w:lineRule="auto"/>
              <w:ind w:left="149"/>
            </w:pPr>
            <w:r>
              <w:rPr>
                <w:spacing w:val="-2"/>
              </w:rPr>
              <w:t>其中</w:t>
            </w:r>
          </w:p>
        </w:tc>
        <w:tc>
          <w:tcPr>
            <w:tcW w:w="2816" w:type="dxa"/>
            <w:vAlign w:val="top"/>
          </w:tcPr>
          <w:p w14:paraId="6D27309C">
            <w:pPr>
              <w:pStyle w:val="6"/>
              <w:spacing w:before="64" w:line="206" w:lineRule="auto"/>
              <w:ind w:left="588"/>
            </w:pPr>
            <w:r>
              <w:rPr>
                <w:spacing w:val="-1"/>
              </w:rPr>
              <w:t>A1  行政办公用地</w:t>
            </w:r>
          </w:p>
        </w:tc>
        <w:tc>
          <w:tcPr>
            <w:tcW w:w="2493" w:type="dxa"/>
            <w:vAlign w:val="top"/>
          </w:tcPr>
          <w:p w14:paraId="5856B28F">
            <w:pPr>
              <w:pStyle w:val="6"/>
              <w:spacing w:before="64" w:line="209" w:lineRule="auto"/>
              <w:ind w:left="1069"/>
            </w:pPr>
            <w:r>
              <w:rPr>
                <w:spacing w:val="-5"/>
              </w:rPr>
              <w:t>1.31</w:t>
            </w:r>
          </w:p>
        </w:tc>
        <w:tc>
          <w:tcPr>
            <w:tcW w:w="2926" w:type="dxa"/>
            <w:vAlign w:val="top"/>
          </w:tcPr>
          <w:p w14:paraId="017E5386">
            <w:pPr>
              <w:pStyle w:val="6"/>
              <w:spacing w:before="64" w:line="209" w:lineRule="auto"/>
              <w:ind w:left="1262"/>
            </w:pPr>
            <w:r>
              <w:rPr>
                <w:spacing w:val="-1"/>
              </w:rPr>
              <w:t>0.06</w:t>
            </w:r>
          </w:p>
        </w:tc>
      </w:tr>
      <w:tr w14:paraId="1122F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1E27648C">
            <w:pPr>
              <w:rPr>
                <w:rFonts w:ascii="Arial"/>
                <w:sz w:val="21"/>
              </w:rPr>
            </w:pPr>
          </w:p>
        </w:tc>
        <w:tc>
          <w:tcPr>
            <w:tcW w:w="732" w:type="dxa"/>
            <w:vMerge w:val="continue"/>
            <w:tcBorders>
              <w:top w:val="nil"/>
            </w:tcBorders>
            <w:vAlign w:val="top"/>
          </w:tcPr>
          <w:p w14:paraId="68F5C5B9">
            <w:pPr>
              <w:rPr>
                <w:rFonts w:ascii="Arial"/>
                <w:sz w:val="21"/>
              </w:rPr>
            </w:pPr>
          </w:p>
        </w:tc>
        <w:tc>
          <w:tcPr>
            <w:tcW w:w="710" w:type="dxa"/>
            <w:vMerge w:val="continue"/>
            <w:tcBorders>
              <w:top w:val="nil"/>
            </w:tcBorders>
            <w:vAlign w:val="top"/>
          </w:tcPr>
          <w:p w14:paraId="08200A1E">
            <w:pPr>
              <w:rPr>
                <w:rFonts w:ascii="Arial"/>
                <w:sz w:val="21"/>
              </w:rPr>
            </w:pPr>
          </w:p>
        </w:tc>
        <w:tc>
          <w:tcPr>
            <w:tcW w:w="2816" w:type="dxa"/>
            <w:vAlign w:val="top"/>
          </w:tcPr>
          <w:p w14:paraId="32C40025">
            <w:pPr>
              <w:pStyle w:val="6"/>
              <w:spacing w:before="65" w:line="206" w:lineRule="auto"/>
              <w:ind w:left="588"/>
            </w:pPr>
            <w:r>
              <w:rPr>
                <w:spacing w:val="-4"/>
              </w:rPr>
              <w:t>A5</w:t>
            </w:r>
            <w:r>
              <w:rPr>
                <w:spacing w:val="14"/>
                <w:w w:val="101"/>
              </w:rPr>
              <w:t xml:space="preserve">  </w:t>
            </w:r>
            <w:r>
              <w:rPr>
                <w:spacing w:val="-4"/>
              </w:rPr>
              <w:t>医疗卫生用地</w:t>
            </w:r>
          </w:p>
        </w:tc>
        <w:tc>
          <w:tcPr>
            <w:tcW w:w="2493" w:type="dxa"/>
            <w:vAlign w:val="top"/>
          </w:tcPr>
          <w:p w14:paraId="645E50EE">
            <w:pPr>
              <w:pStyle w:val="6"/>
              <w:spacing w:before="64" w:line="209" w:lineRule="auto"/>
              <w:ind w:left="1046"/>
            </w:pPr>
            <w:r>
              <w:rPr>
                <w:spacing w:val="-1"/>
              </w:rPr>
              <w:t>0.56</w:t>
            </w:r>
          </w:p>
        </w:tc>
        <w:tc>
          <w:tcPr>
            <w:tcW w:w="2926" w:type="dxa"/>
            <w:vAlign w:val="top"/>
          </w:tcPr>
          <w:p w14:paraId="183EE7E0">
            <w:pPr>
              <w:pStyle w:val="6"/>
              <w:spacing w:before="64" w:line="209" w:lineRule="auto"/>
              <w:ind w:left="1262"/>
            </w:pPr>
            <w:r>
              <w:rPr>
                <w:spacing w:val="-1"/>
              </w:rPr>
              <w:t>0.03</w:t>
            </w:r>
          </w:p>
        </w:tc>
      </w:tr>
      <w:tr w14:paraId="6477E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restart"/>
            <w:tcBorders>
              <w:bottom w:val="nil"/>
            </w:tcBorders>
            <w:vAlign w:val="top"/>
          </w:tcPr>
          <w:p w14:paraId="7FC3E427">
            <w:pPr>
              <w:spacing w:line="246" w:lineRule="auto"/>
              <w:rPr>
                <w:rFonts w:ascii="Arial"/>
                <w:sz w:val="21"/>
              </w:rPr>
            </w:pPr>
          </w:p>
          <w:p w14:paraId="399C598B">
            <w:pPr>
              <w:spacing w:line="246" w:lineRule="auto"/>
              <w:rPr>
                <w:rFonts w:ascii="Arial"/>
                <w:sz w:val="21"/>
              </w:rPr>
            </w:pPr>
          </w:p>
          <w:p w14:paraId="20136E6B">
            <w:pPr>
              <w:pStyle w:val="6"/>
              <w:spacing w:before="74" w:line="235" w:lineRule="auto"/>
              <w:ind w:left="238"/>
            </w:pPr>
            <w:r>
              <w:t>2</w:t>
            </w:r>
          </w:p>
        </w:tc>
        <w:tc>
          <w:tcPr>
            <w:tcW w:w="732" w:type="dxa"/>
            <w:vMerge w:val="restart"/>
            <w:tcBorders>
              <w:bottom w:val="nil"/>
            </w:tcBorders>
            <w:vAlign w:val="top"/>
          </w:tcPr>
          <w:p w14:paraId="5E61A25F">
            <w:pPr>
              <w:spacing w:line="254" w:lineRule="auto"/>
              <w:rPr>
                <w:rFonts w:ascii="Arial"/>
                <w:sz w:val="21"/>
              </w:rPr>
            </w:pPr>
          </w:p>
          <w:p w14:paraId="38DF286E">
            <w:pPr>
              <w:spacing w:line="255" w:lineRule="auto"/>
              <w:rPr>
                <w:rFonts w:ascii="Arial"/>
                <w:sz w:val="21"/>
              </w:rPr>
            </w:pPr>
          </w:p>
          <w:p w14:paraId="1D36A7B8">
            <w:pPr>
              <w:pStyle w:val="6"/>
              <w:spacing w:before="73" w:line="187" w:lineRule="auto"/>
              <w:ind w:left="318"/>
            </w:pPr>
            <w:r>
              <w:t>B</w:t>
            </w:r>
          </w:p>
        </w:tc>
        <w:tc>
          <w:tcPr>
            <w:tcW w:w="3526" w:type="dxa"/>
            <w:gridSpan w:val="2"/>
            <w:vAlign w:val="top"/>
          </w:tcPr>
          <w:p w14:paraId="02E72D0A">
            <w:pPr>
              <w:pStyle w:val="6"/>
              <w:spacing w:before="65" w:line="206" w:lineRule="auto"/>
              <w:ind w:left="828"/>
            </w:pPr>
            <w:r>
              <w:rPr>
                <w:spacing w:val="-2"/>
              </w:rPr>
              <w:t>商业服务业设施用地</w:t>
            </w:r>
          </w:p>
        </w:tc>
        <w:tc>
          <w:tcPr>
            <w:tcW w:w="2493" w:type="dxa"/>
            <w:vAlign w:val="top"/>
          </w:tcPr>
          <w:p w14:paraId="58813BE2">
            <w:pPr>
              <w:pStyle w:val="6"/>
              <w:spacing w:before="64" w:line="209" w:lineRule="auto"/>
              <w:ind w:left="1011"/>
            </w:pPr>
            <w:r>
              <w:rPr>
                <w:spacing w:val="-6"/>
              </w:rPr>
              <w:t>14.54</w:t>
            </w:r>
          </w:p>
        </w:tc>
        <w:tc>
          <w:tcPr>
            <w:tcW w:w="2926" w:type="dxa"/>
            <w:vAlign w:val="top"/>
          </w:tcPr>
          <w:p w14:paraId="46A88D39">
            <w:pPr>
              <w:pStyle w:val="6"/>
              <w:spacing w:before="64" w:line="209" w:lineRule="auto"/>
              <w:ind w:left="1262"/>
            </w:pPr>
            <w:r>
              <w:rPr>
                <w:spacing w:val="-1"/>
              </w:rPr>
              <w:t>0.70</w:t>
            </w:r>
          </w:p>
        </w:tc>
      </w:tr>
      <w:tr w14:paraId="3452F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bottom w:val="nil"/>
            </w:tcBorders>
            <w:vAlign w:val="top"/>
          </w:tcPr>
          <w:p w14:paraId="1FC29CAD">
            <w:pPr>
              <w:rPr>
                <w:rFonts w:ascii="Arial"/>
                <w:sz w:val="21"/>
              </w:rPr>
            </w:pPr>
          </w:p>
        </w:tc>
        <w:tc>
          <w:tcPr>
            <w:tcW w:w="732" w:type="dxa"/>
            <w:vMerge w:val="continue"/>
            <w:tcBorders>
              <w:top w:val="nil"/>
              <w:bottom w:val="nil"/>
            </w:tcBorders>
            <w:vAlign w:val="top"/>
          </w:tcPr>
          <w:p w14:paraId="4A5188AA">
            <w:pPr>
              <w:rPr>
                <w:rFonts w:ascii="Arial"/>
                <w:sz w:val="21"/>
              </w:rPr>
            </w:pPr>
          </w:p>
        </w:tc>
        <w:tc>
          <w:tcPr>
            <w:tcW w:w="710" w:type="dxa"/>
            <w:vMerge w:val="restart"/>
            <w:tcBorders>
              <w:bottom w:val="nil"/>
            </w:tcBorders>
            <w:vAlign w:val="top"/>
          </w:tcPr>
          <w:p w14:paraId="6880BDAD">
            <w:pPr>
              <w:spacing w:line="324" w:lineRule="auto"/>
              <w:rPr>
                <w:rFonts w:ascii="Arial"/>
                <w:sz w:val="21"/>
              </w:rPr>
            </w:pPr>
          </w:p>
          <w:p w14:paraId="3C895C5F">
            <w:pPr>
              <w:pStyle w:val="6"/>
              <w:spacing w:before="74" w:line="207" w:lineRule="auto"/>
              <w:ind w:left="149"/>
            </w:pPr>
            <w:r>
              <w:rPr>
                <w:spacing w:val="-2"/>
              </w:rPr>
              <w:t>其中</w:t>
            </w:r>
          </w:p>
        </w:tc>
        <w:tc>
          <w:tcPr>
            <w:tcW w:w="2816" w:type="dxa"/>
            <w:vAlign w:val="top"/>
          </w:tcPr>
          <w:p w14:paraId="1379C6BD">
            <w:pPr>
              <w:pStyle w:val="6"/>
              <w:spacing w:before="64" w:line="206" w:lineRule="auto"/>
              <w:ind w:left="830"/>
            </w:pPr>
            <w:r>
              <w:rPr>
                <w:spacing w:val="-6"/>
              </w:rPr>
              <w:t>B1</w:t>
            </w:r>
            <w:r>
              <w:rPr>
                <w:spacing w:val="9"/>
              </w:rPr>
              <w:t xml:space="preserve">  </w:t>
            </w:r>
            <w:r>
              <w:rPr>
                <w:spacing w:val="-6"/>
              </w:rPr>
              <w:t>商业用地</w:t>
            </w:r>
          </w:p>
        </w:tc>
        <w:tc>
          <w:tcPr>
            <w:tcW w:w="2493" w:type="dxa"/>
            <w:vAlign w:val="top"/>
          </w:tcPr>
          <w:p w14:paraId="51CC0760">
            <w:pPr>
              <w:pStyle w:val="6"/>
              <w:spacing w:before="64" w:line="209" w:lineRule="auto"/>
              <w:ind w:left="1046"/>
            </w:pPr>
            <w:r>
              <w:rPr>
                <w:spacing w:val="-1"/>
              </w:rPr>
              <w:t>8.18</w:t>
            </w:r>
          </w:p>
        </w:tc>
        <w:tc>
          <w:tcPr>
            <w:tcW w:w="2926" w:type="dxa"/>
            <w:vAlign w:val="top"/>
          </w:tcPr>
          <w:p w14:paraId="62066CFD">
            <w:pPr>
              <w:pStyle w:val="6"/>
              <w:spacing w:before="64" w:line="209" w:lineRule="auto"/>
              <w:ind w:left="1262"/>
            </w:pPr>
            <w:r>
              <w:rPr>
                <w:spacing w:val="-1"/>
              </w:rPr>
              <w:t>0.39</w:t>
            </w:r>
          </w:p>
        </w:tc>
      </w:tr>
      <w:tr w14:paraId="355AD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588" w:type="dxa"/>
            <w:vMerge w:val="continue"/>
            <w:tcBorders>
              <w:top w:val="nil"/>
              <w:bottom w:val="nil"/>
            </w:tcBorders>
            <w:vAlign w:val="top"/>
          </w:tcPr>
          <w:p w14:paraId="245BFB59">
            <w:pPr>
              <w:rPr>
                <w:rFonts w:ascii="Arial"/>
                <w:sz w:val="21"/>
              </w:rPr>
            </w:pPr>
          </w:p>
        </w:tc>
        <w:tc>
          <w:tcPr>
            <w:tcW w:w="732" w:type="dxa"/>
            <w:vMerge w:val="continue"/>
            <w:tcBorders>
              <w:top w:val="nil"/>
              <w:bottom w:val="nil"/>
            </w:tcBorders>
            <w:vAlign w:val="top"/>
          </w:tcPr>
          <w:p w14:paraId="12E48D97">
            <w:pPr>
              <w:rPr>
                <w:rFonts w:ascii="Arial"/>
                <w:sz w:val="21"/>
              </w:rPr>
            </w:pPr>
          </w:p>
        </w:tc>
        <w:tc>
          <w:tcPr>
            <w:tcW w:w="710" w:type="dxa"/>
            <w:vMerge w:val="continue"/>
            <w:tcBorders>
              <w:top w:val="nil"/>
              <w:bottom w:val="nil"/>
            </w:tcBorders>
            <w:vAlign w:val="top"/>
          </w:tcPr>
          <w:p w14:paraId="0185EC84">
            <w:pPr>
              <w:rPr>
                <w:rFonts w:ascii="Arial"/>
                <w:sz w:val="21"/>
              </w:rPr>
            </w:pPr>
          </w:p>
        </w:tc>
        <w:tc>
          <w:tcPr>
            <w:tcW w:w="2816" w:type="dxa"/>
            <w:vAlign w:val="top"/>
          </w:tcPr>
          <w:p w14:paraId="462A2B4B">
            <w:pPr>
              <w:pStyle w:val="6"/>
              <w:spacing w:before="64" w:line="206" w:lineRule="auto"/>
              <w:ind w:left="830"/>
            </w:pPr>
            <w:r>
              <w:rPr>
                <w:spacing w:val="-6"/>
              </w:rPr>
              <w:t>B2</w:t>
            </w:r>
            <w:r>
              <w:rPr>
                <w:spacing w:val="9"/>
              </w:rPr>
              <w:t xml:space="preserve">  </w:t>
            </w:r>
            <w:r>
              <w:rPr>
                <w:spacing w:val="-6"/>
              </w:rPr>
              <w:t>商务用地</w:t>
            </w:r>
          </w:p>
        </w:tc>
        <w:tc>
          <w:tcPr>
            <w:tcW w:w="2493" w:type="dxa"/>
            <w:vAlign w:val="top"/>
          </w:tcPr>
          <w:p w14:paraId="7786E8C8">
            <w:pPr>
              <w:pStyle w:val="6"/>
              <w:spacing w:before="64" w:line="208" w:lineRule="auto"/>
              <w:ind w:left="1191"/>
            </w:pPr>
            <w:r>
              <w:t>4</w:t>
            </w:r>
          </w:p>
        </w:tc>
        <w:tc>
          <w:tcPr>
            <w:tcW w:w="2926" w:type="dxa"/>
            <w:vAlign w:val="top"/>
          </w:tcPr>
          <w:p w14:paraId="74E8CC90">
            <w:pPr>
              <w:pStyle w:val="6"/>
              <w:spacing w:before="64" w:line="208" w:lineRule="auto"/>
              <w:ind w:left="1262"/>
            </w:pPr>
            <w:r>
              <w:rPr>
                <w:spacing w:val="-1"/>
              </w:rPr>
              <w:t>0.19</w:t>
            </w:r>
          </w:p>
        </w:tc>
      </w:tr>
      <w:tr w14:paraId="67018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17B7D57D">
            <w:pPr>
              <w:rPr>
                <w:rFonts w:ascii="Arial"/>
                <w:sz w:val="21"/>
              </w:rPr>
            </w:pPr>
          </w:p>
        </w:tc>
        <w:tc>
          <w:tcPr>
            <w:tcW w:w="732" w:type="dxa"/>
            <w:vMerge w:val="continue"/>
            <w:tcBorders>
              <w:top w:val="nil"/>
            </w:tcBorders>
            <w:vAlign w:val="top"/>
          </w:tcPr>
          <w:p w14:paraId="452C0C84">
            <w:pPr>
              <w:rPr>
                <w:rFonts w:ascii="Arial"/>
                <w:sz w:val="21"/>
              </w:rPr>
            </w:pPr>
          </w:p>
        </w:tc>
        <w:tc>
          <w:tcPr>
            <w:tcW w:w="710" w:type="dxa"/>
            <w:vMerge w:val="continue"/>
            <w:tcBorders>
              <w:top w:val="nil"/>
            </w:tcBorders>
            <w:vAlign w:val="top"/>
          </w:tcPr>
          <w:p w14:paraId="6BC4A17E">
            <w:pPr>
              <w:rPr>
                <w:rFonts w:ascii="Arial"/>
                <w:sz w:val="21"/>
              </w:rPr>
            </w:pPr>
          </w:p>
        </w:tc>
        <w:tc>
          <w:tcPr>
            <w:tcW w:w="2816" w:type="dxa"/>
            <w:vAlign w:val="top"/>
          </w:tcPr>
          <w:p w14:paraId="507BC5F9">
            <w:pPr>
              <w:pStyle w:val="6"/>
              <w:spacing w:before="65" w:line="206" w:lineRule="auto"/>
              <w:ind w:left="199"/>
            </w:pPr>
            <w:r>
              <w:rPr>
                <w:spacing w:val="-2"/>
              </w:rPr>
              <w:t>B4  公用设施营业网点用地</w:t>
            </w:r>
          </w:p>
        </w:tc>
        <w:tc>
          <w:tcPr>
            <w:tcW w:w="2493" w:type="dxa"/>
            <w:vAlign w:val="top"/>
          </w:tcPr>
          <w:p w14:paraId="77002526">
            <w:pPr>
              <w:pStyle w:val="6"/>
              <w:spacing w:before="65" w:line="208" w:lineRule="auto"/>
              <w:ind w:left="1045"/>
            </w:pPr>
            <w:r>
              <w:rPr>
                <w:spacing w:val="-1"/>
              </w:rPr>
              <w:t>2.36</w:t>
            </w:r>
          </w:p>
        </w:tc>
        <w:tc>
          <w:tcPr>
            <w:tcW w:w="2926" w:type="dxa"/>
            <w:vAlign w:val="top"/>
          </w:tcPr>
          <w:p w14:paraId="530F30A2">
            <w:pPr>
              <w:pStyle w:val="6"/>
              <w:spacing w:before="65" w:line="208" w:lineRule="auto"/>
              <w:ind w:left="1262"/>
            </w:pPr>
            <w:r>
              <w:rPr>
                <w:spacing w:val="-1"/>
              </w:rPr>
              <w:t>0.11</w:t>
            </w:r>
          </w:p>
        </w:tc>
      </w:tr>
      <w:tr w14:paraId="12105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588" w:type="dxa"/>
            <w:vMerge w:val="restart"/>
            <w:tcBorders>
              <w:bottom w:val="nil"/>
            </w:tcBorders>
            <w:vAlign w:val="top"/>
          </w:tcPr>
          <w:p w14:paraId="439EFEAF">
            <w:pPr>
              <w:spacing w:line="326" w:lineRule="auto"/>
              <w:rPr>
                <w:rFonts w:ascii="Arial"/>
                <w:sz w:val="21"/>
              </w:rPr>
            </w:pPr>
          </w:p>
          <w:p w14:paraId="6FDE2A6E">
            <w:pPr>
              <w:pStyle w:val="6"/>
              <w:spacing w:before="73" w:line="232" w:lineRule="auto"/>
              <w:ind w:left="239"/>
            </w:pPr>
            <w:r>
              <w:t>3</w:t>
            </w:r>
          </w:p>
        </w:tc>
        <w:tc>
          <w:tcPr>
            <w:tcW w:w="732" w:type="dxa"/>
            <w:vMerge w:val="restart"/>
            <w:tcBorders>
              <w:bottom w:val="nil"/>
            </w:tcBorders>
            <w:vAlign w:val="top"/>
          </w:tcPr>
          <w:p w14:paraId="66F33875">
            <w:pPr>
              <w:spacing w:line="342" w:lineRule="auto"/>
              <w:rPr>
                <w:rFonts w:ascii="Arial"/>
                <w:sz w:val="21"/>
              </w:rPr>
            </w:pPr>
          </w:p>
          <w:p w14:paraId="6FE29F2C">
            <w:pPr>
              <w:pStyle w:val="6"/>
              <w:spacing w:before="74" w:line="187" w:lineRule="auto"/>
              <w:ind w:left="275"/>
            </w:pPr>
            <w:r>
              <w:t>M</w:t>
            </w:r>
          </w:p>
        </w:tc>
        <w:tc>
          <w:tcPr>
            <w:tcW w:w="3526" w:type="dxa"/>
            <w:gridSpan w:val="2"/>
            <w:vAlign w:val="top"/>
          </w:tcPr>
          <w:p w14:paraId="5BFD83AF">
            <w:pPr>
              <w:pStyle w:val="6"/>
              <w:spacing w:before="65" w:line="206" w:lineRule="auto"/>
              <w:ind w:left="1351"/>
            </w:pPr>
            <w:r>
              <w:rPr>
                <w:spacing w:val="-3"/>
              </w:rPr>
              <w:t>工业用地</w:t>
            </w:r>
          </w:p>
        </w:tc>
        <w:tc>
          <w:tcPr>
            <w:tcW w:w="2493" w:type="dxa"/>
            <w:vAlign w:val="top"/>
          </w:tcPr>
          <w:p w14:paraId="00AD6DDC">
            <w:pPr>
              <w:pStyle w:val="6"/>
              <w:spacing w:before="65" w:line="207" w:lineRule="auto"/>
              <w:ind w:left="894"/>
            </w:pPr>
            <w:r>
              <w:rPr>
                <w:spacing w:val="-4"/>
              </w:rPr>
              <w:t>1545.77</w:t>
            </w:r>
          </w:p>
        </w:tc>
        <w:tc>
          <w:tcPr>
            <w:tcW w:w="2926" w:type="dxa"/>
            <w:vAlign w:val="top"/>
          </w:tcPr>
          <w:p w14:paraId="0022EA6F">
            <w:pPr>
              <w:pStyle w:val="6"/>
              <w:spacing w:before="65" w:line="207" w:lineRule="auto"/>
              <w:ind w:left="1211"/>
            </w:pPr>
            <w:r>
              <w:rPr>
                <w:spacing w:val="-3"/>
              </w:rPr>
              <w:t>74.33</w:t>
            </w:r>
          </w:p>
        </w:tc>
      </w:tr>
      <w:tr w14:paraId="20491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bottom w:val="nil"/>
            </w:tcBorders>
            <w:vAlign w:val="top"/>
          </w:tcPr>
          <w:p w14:paraId="01883E33">
            <w:pPr>
              <w:rPr>
                <w:rFonts w:ascii="Arial"/>
                <w:sz w:val="21"/>
              </w:rPr>
            </w:pPr>
          </w:p>
        </w:tc>
        <w:tc>
          <w:tcPr>
            <w:tcW w:w="732" w:type="dxa"/>
            <w:vMerge w:val="continue"/>
            <w:tcBorders>
              <w:top w:val="nil"/>
              <w:bottom w:val="nil"/>
            </w:tcBorders>
            <w:vAlign w:val="top"/>
          </w:tcPr>
          <w:p w14:paraId="4B9EB85C">
            <w:pPr>
              <w:rPr>
                <w:rFonts w:ascii="Arial"/>
                <w:sz w:val="21"/>
              </w:rPr>
            </w:pPr>
          </w:p>
        </w:tc>
        <w:tc>
          <w:tcPr>
            <w:tcW w:w="710" w:type="dxa"/>
            <w:vMerge w:val="restart"/>
            <w:tcBorders>
              <w:bottom w:val="nil"/>
            </w:tcBorders>
            <w:vAlign w:val="top"/>
          </w:tcPr>
          <w:p w14:paraId="4368D6B9">
            <w:pPr>
              <w:pStyle w:val="6"/>
              <w:spacing w:before="234" w:line="207" w:lineRule="auto"/>
              <w:ind w:left="149"/>
            </w:pPr>
            <w:r>
              <w:rPr>
                <w:spacing w:val="-2"/>
              </w:rPr>
              <w:t>其中</w:t>
            </w:r>
          </w:p>
        </w:tc>
        <w:tc>
          <w:tcPr>
            <w:tcW w:w="2816" w:type="dxa"/>
            <w:vAlign w:val="top"/>
          </w:tcPr>
          <w:p w14:paraId="4D528BA4">
            <w:pPr>
              <w:pStyle w:val="6"/>
              <w:spacing w:before="66" w:line="206" w:lineRule="auto"/>
              <w:ind w:left="576"/>
            </w:pPr>
            <w:r>
              <w:rPr>
                <w:spacing w:val="-3"/>
              </w:rPr>
              <w:t>M2</w:t>
            </w:r>
            <w:r>
              <w:rPr>
                <w:spacing w:val="7"/>
              </w:rPr>
              <w:t xml:space="preserve">  </w:t>
            </w:r>
            <w:r>
              <w:rPr>
                <w:spacing w:val="-3"/>
              </w:rPr>
              <w:t>二类工业用地</w:t>
            </w:r>
          </w:p>
        </w:tc>
        <w:tc>
          <w:tcPr>
            <w:tcW w:w="2493" w:type="dxa"/>
            <w:vAlign w:val="top"/>
          </w:tcPr>
          <w:p w14:paraId="3D6CF5C8">
            <w:pPr>
              <w:pStyle w:val="6"/>
              <w:spacing w:before="66" w:line="207" w:lineRule="auto"/>
              <w:ind w:left="928"/>
            </w:pPr>
            <w:r>
              <w:rPr>
                <w:spacing w:val="-1"/>
              </w:rPr>
              <w:t>278.45</w:t>
            </w:r>
          </w:p>
        </w:tc>
        <w:tc>
          <w:tcPr>
            <w:tcW w:w="2926" w:type="dxa"/>
            <w:vAlign w:val="top"/>
          </w:tcPr>
          <w:p w14:paraId="1EEBBEF5">
            <w:pPr>
              <w:pStyle w:val="6"/>
              <w:spacing w:before="66" w:line="207" w:lineRule="auto"/>
              <w:ind w:left="1226"/>
            </w:pPr>
            <w:r>
              <w:rPr>
                <w:spacing w:val="-6"/>
              </w:rPr>
              <w:t>13.39</w:t>
            </w:r>
          </w:p>
        </w:tc>
      </w:tr>
      <w:tr w14:paraId="11593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25E755BB">
            <w:pPr>
              <w:rPr>
                <w:rFonts w:ascii="Arial"/>
                <w:sz w:val="21"/>
              </w:rPr>
            </w:pPr>
          </w:p>
        </w:tc>
        <w:tc>
          <w:tcPr>
            <w:tcW w:w="732" w:type="dxa"/>
            <w:vMerge w:val="continue"/>
            <w:tcBorders>
              <w:top w:val="nil"/>
            </w:tcBorders>
            <w:vAlign w:val="top"/>
          </w:tcPr>
          <w:p w14:paraId="405755C1">
            <w:pPr>
              <w:rPr>
                <w:rFonts w:ascii="Arial"/>
                <w:sz w:val="21"/>
              </w:rPr>
            </w:pPr>
          </w:p>
        </w:tc>
        <w:tc>
          <w:tcPr>
            <w:tcW w:w="710" w:type="dxa"/>
            <w:vMerge w:val="continue"/>
            <w:tcBorders>
              <w:top w:val="nil"/>
            </w:tcBorders>
            <w:vAlign w:val="top"/>
          </w:tcPr>
          <w:p w14:paraId="526FA144">
            <w:pPr>
              <w:rPr>
                <w:rFonts w:ascii="Arial"/>
                <w:sz w:val="21"/>
              </w:rPr>
            </w:pPr>
          </w:p>
        </w:tc>
        <w:tc>
          <w:tcPr>
            <w:tcW w:w="2816" w:type="dxa"/>
            <w:vAlign w:val="top"/>
          </w:tcPr>
          <w:p w14:paraId="3059446E">
            <w:pPr>
              <w:pStyle w:val="6"/>
              <w:spacing w:before="66" w:line="206" w:lineRule="auto"/>
              <w:ind w:left="576"/>
            </w:pPr>
            <w:r>
              <w:rPr>
                <w:spacing w:val="-1"/>
              </w:rPr>
              <w:t>M3  三类工业用地</w:t>
            </w:r>
          </w:p>
        </w:tc>
        <w:tc>
          <w:tcPr>
            <w:tcW w:w="2493" w:type="dxa"/>
            <w:vAlign w:val="top"/>
          </w:tcPr>
          <w:p w14:paraId="3D86A10C">
            <w:pPr>
              <w:pStyle w:val="6"/>
              <w:spacing w:before="66" w:line="207" w:lineRule="auto"/>
              <w:ind w:left="894"/>
            </w:pPr>
            <w:r>
              <w:rPr>
                <w:spacing w:val="-4"/>
              </w:rPr>
              <w:t>1267.32</w:t>
            </w:r>
          </w:p>
        </w:tc>
        <w:tc>
          <w:tcPr>
            <w:tcW w:w="2926" w:type="dxa"/>
            <w:vAlign w:val="top"/>
          </w:tcPr>
          <w:p w14:paraId="2942DE41">
            <w:pPr>
              <w:pStyle w:val="6"/>
              <w:spacing w:before="66" w:line="207" w:lineRule="auto"/>
              <w:ind w:left="1210"/>
            </w:pPr>
            <w:r>
              <w:rPr>
                <w:spacing w:val="-3"/>
              </w:rPr>
              <w:t>60.94</w:t>
            </w:r>
          </w:p>
        </w:tc>
      </w:tr>
      <w:tr w14:paraId="22746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588" w:type="dxa"/>
            <w:vMerge w:val="restart"/>
            <w:tcBorders>
              <w:bottom w:val="nil"/>
            </w:tcBorders>
            <w:vAlign w:val="top"/>
          </w:tcPr>
          <w:p w14:paraId="76D6F963">
            <w:pPr>
              <w:pStyle w:val="6"/>
              <w:spacing w:before="234" w:line="235" w:lineRule="auto"/>
              <w:ind w:left="237"/>
            </w:pPr>
            <w:r>
              <w:t>4</w:t>
            </w:r>
          </w:p>
        </w:tc>
        <w:tc>
          <w:tcPr>
            <w:tcW w:w="732" w:type="dxa"/>
            <w:vMerge w:val="restart"/>
            <w:tcBorders>
              <w:bottom w:val="nil"/>
            </w:tcBorders>
            <w:vAlign w:val="top"/>
          </w:tcPr>
          <w:p w14:paraId="7F25671C">
            <w:pPr>
              <w:pStyle w:val="6"/>
              <w:spacing w:before="251" w:line="187" w:lineRule="auto"/>
              <w:ind w:left="269"/>
            </w:pPr>
            <w:r>
              <w:t>W</w:t>
            </w:r>
          </w:p>
        </w:tc>
        <w:tc>
          <w:tcPr>
            <w:tcW w:w="3526" w:type="dxa"/>
            <w:gridSpan w:val="2"/>
            <w:vAlign w:val="top"/>
          </w:tcPr>
          <w:p w14:paraId="5F5E9D39">
            <w:pPr>
              <w:pStyle w:val="6"/>
              <w:spacing w:before="66" w:line="206" w:lineRule="auto"/>
              <w:ind w:left="1134"/>
            </w:pPr>
            <w:r>
              <w:rPr>
                <w:spacing w:val="-1"/>
              </w:rPr>
              <w:t>物流仓储用地</w:t>
            </w:r>
          </w:p>
        </w:tc>
        <w:tc>
          <w:tcPr>
            <w:tcW w:w="2493" w:type="dxa"/>
            <w:vAlign w:val="top"/>
          </w:tcPr>
          <w:p w14:paraId="66843530">
            <w:pPr>
              <w:pStyle w:val="6"/>
              <w:spacing w:before="65" w:line="207" w:lineRule="auto"/>
              <w:ind w:left="990"/>
            </w:pPr>
            <w:r>
              <w:rPr>
                <w:spacing w:val="-2"/>
              </w:rPr>
              <w:t>58.68</w:t>
            </w:r>
          </w:p>
        </w:tc>
        <w:tc>
          <w:tcPr>
            <w:tcW w:w="2926" w:type="dxa"/>
            <w:vAlign w:val="top"/>
          </w:tcPr>
          <w:p w14:paraId="77CAD6FD">
            <w:pPr>
              <w:pStyle w:val="6"/>
              <w:spacing w:before="65" w:line="207" w:lineRule="auto"/>
              <w:ind w:left="1262"/>
            </w:pPr>
            <w:r>
              <w:rPr>
                <w:spacing w:val="-1"/>
              </w:rPr>
              <w:t>2.82</w:t>
            </w:r>
          </w:p>
        </w:tc>
      </w:tr>
      <w:tr w14:paraId="240E8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4A420A4E">
            <w:pPr>
              <w:rPr>
                <w:rFonts w:ascii="Arial"/>
                <w:sz w:val="21"/>
              </w:rPr>
            </w:pPr>
          </w:p>
        </w:tc>
        <w:tc>
          <w:tcPr>
            <w:tcW w:w="732" w:type="dxa"/>
            <w:vMerge w:val="continue"/>
            <w:tcBorders>
              <w:top w:val="nil"/>
            </w:tcBorders>
            <w:vAlign w:val="top"/>
          </w:tcPr>
          <w:p w14:paraId="63C1E711">
            <w:pPr>
              <w:rPr>
                <w:rFonts w:ascii="Arial"/>
                <w:sz w:val="21"/>
              </w:rPr>
            </w:pPr>
          </w:p>
        </w:tc>
        <w:tc>
          <w:tcPr>
            <w:tcW w:w="710" w:type="dxa"/>
            <w:vAlign w:val="top"/>
          </w:tcPr>
          <w:p w14:paraId="0945C5ED">
            <w:pPr>
              <w:pStyle w:val="6"/>
              <w:spacing w:before="66" w:line="207" w:lineRule="auto"/>
              <w:ind w:left="149"/>
            </w:pPr>
            <w:r>
              <w:rPr>
                <w:spacing w:val="-2"/>
              </w:rPr>
              <w:t>其中</w:t>
            </w:r>
          </w:p>
        </w:tc>
        <w:tc>
          <w:tcPr>
            <w:tcW w:w="2816" w:type="dxa"/>
            <w:vAlign w:val="top"/>
          </w:tcPr>
          <w:p w14:paraId="6C24E953">
            <w:pPr>
              <w:pStyle w:val="6"/>
              <w:spacing w:before="67" w:line="206" w:lineRule="auto"/>
              <w:ind w:left="360"/>
            </w:pPr>
            <w:r>
              <w:rPr>
                <w:spacing w:val="-1"/>
              </w:rPr>
              <w:t>W1  一类物流仓储用地</w:t>
            </w:r>
          </w:p>
        </w:tc>
        <w:tc>
          <w:tcPr>
            <w:tcW w:w="2493" w:type="dxa"/>
            <w:vAlign w:val="top"/>
          </w:tcPr>
          <w:p w14:paraId="2F55D90A">
            <w:pPr>
              <w:pStyle w:val="6"/>
              <w:spacing w:before="66" w:line="207" w:lineRule="auto"/>
              <w:ind w:left="990"/>
            </w:pPr>
            <w:r>
              <w:rPr>
                <w:spacing w:val="-2"/>
              </w:rPr>
              <w:t>58.68</w:t>
            </w:r>
          </w:p>
        </w:tc>
        <w:tc>
          <w:tcPr>
            <w:tcW w:w="2926" w:type="dxa"/>
            <w:vAlign w:val="top"/>
          </w:tcPr>
          <w:p w14:paraId="16A0E56E">
            <w:pPr>
              <w:pStyle w:val="6"/>
              <w:spacing w:before="66" w:line="207" w:lineRule="auto"/>
              <w:ind w:left="1262"/>
            </w:pPr>
            <w:r>
              <w:rPr>
                <w:spacing w:val="-1"/>
              </w:rPr>
              <w:t>2.82</w:t>
            </w:r>
          </w:p>
        </w:tc>
      </w:tr>
      <w:tr w14:paraId="24DF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restart"/>
            <w:tcBorders>
              <w:bottom w:val="nil"/>
            </w:tcBorders>
            <w:vAlign w:val="top"/>
          </w:tcPr>
          <w:p w14:paraId="7F590CD5">
            <w:pPr>
              <w:pStyle w:val="6"/>
              <w:spacing w:before="236" w:line="232" w:lineRule="auto"/>
              <w:ind w:left="241"/>
            </w:pPr>
            <w:r>
              <w:t>5</w:t>
            </w:r>
          </w:p>
        </w:tc>
        <w:tc>
          <w:tcPr>
            <w:tcW w:w="732" w:type="dxa"/>
            <w:vMerge w:val="restart"/>
            <w:tcBorders>
              <w:bottom w:val="nil"/>
            </w:tcBorders>
            <w:vAlign w:val="top"/>
          </w:tcPr>
          <w:p w14:paraId="6ED8A679">
            <w:pPr>
              <w:pStyle w:val="6"/>
              <w:spacing w:before="249" w:line="190" w:lineRule="auto"/>
              <w:ind w:left="310"/>
            </w:pPr>
            <w:r>
              <w:t>S</w:t>
            </w:r>
          </w:p>
        </w:tc>
        <w:tc>
          <w:tcPr>
            <w:tcW w:w="3526" w:type="dxa"/>
            <w:gridSpan w:val="2"/>
            <w:vAlign w:val="top"/>
          </w:tcPr>
          <w:p w14:paraId="1DAB673F">
            <w:pPr>
              <w:pStyle w:val="6"/>
              <w:spacing w:before="68" w:line="206" w:lineRule="auto"/>
              <w:ind w:left="821"/>
            </w:pPr>
            <w:r>
              <w:rPr>
                <w:spacing w:val="-1"/>
              </w:rPr>
              <w:t>道路与交通设施用地</w:t>
            </w:r>
          </w:p>
        </w:tc>
        <w:tc>
          <w:tcPr>
            <w:tcW w:w="2493" w:type="dxa"/>
            <w:vAlign w:val="top"/>
          </w:tcPr>
          <w:p w14:paraId="18322994">
            <w:pPr>
              <w:pStyle w:val="6"/>
              <w:spacing w:before="68" w:line="206" w:lineRule="auto"/>
              <w:ind w:left="951"/>
            </w:pPr>
            <w:r>
              <w:rPr>
                <w:spacing w:val="-5"/>
              </w:rPr>
              <w:t>130.46</w:t>
            </w:r>
          </w:p>
        </w:tc>
        <w:tc>
          <w:tcPr>
            <w:tcW w:w="2926" w:type="dxa"/>
            <w:vAlign w:val="top"/>
          </w:tcPr>
          <w:p w14:paraId="06608893">
            <w:pPr>
              <w:pStyle w:val="6"/>
              <w:spacing w:before="68" w:line="206" w:lineRule="auto"/>
              <w:ind w:left="1270"/>
            </w:pPr>
            <w:r>
              <w:rPr>
                <w:spacing w:val="-3"/>
              </w:rPr>
              <w:t>6.27</w:t>
            </w:r>
          </w:p>
        </w:tc>
      </w:tr>
      <w:tr w14:paraId="1C227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17272105">
            <w:pPr>
              <w:rPr>
                <w:rFonts w:ascii="Arial"/>
                <w:sz w:val="21"/>
              </w:rPr>
            </w:pPr>
          </w:p>
        </w:tc>
        <w:tc>
          <w:tcPr>
            <w:tcW w:w="732" w:type="dxa"/>
            <w:vMerge w:val="continue"/>
            <w:tcBorders>
              <w:top w:val="nil"/>
            </w:tcBorders>
            <w:vAlign w:val="top"/>
          </w:tcPr>
          <w:p w14:paraId="1ED26660">
            <w:pPr>
              <w:rPr>
                <w:rFonts w:ascii="Arial"/>
                <w:sz w:val="21"/>
              </w:rPr>
            </w:pPr>
          </w:p>
        </w:tc>
        <w:tc>
          <w:tcPr>
            <w:tcW w:w="710" w:type="dxa"/>
            <w:vAlign w:val="top"/>
          </w:tcPr>
          <w:p w14:paraId="26195B8D">
            <w:pPr>
              <w:pStyle w:val="6"/>
              <w:spacing w:before="68" w:line="206" w:lineRule="auto"/>
              <w:ind w:left="149"/>
            </w:pPr>
            <w:r>
              <w:rPr>
                <w:spacing w:val="-2"/>
              </w:rPr>
              <w:t>其中</w:t>
            </w:r>
          </w:p>
        </w:tc>
        <w:tc>
          <w:tcPr>
            <w:tcW w:w="2816" w:type="dxa"/>
            <w:vAlign w:val="top"/>
          </w:tcPr>
          <w:p w14:paraId="14BABC2D">
            <w:pPr>
              <w:pStyle w:val="6"/>
              <w:spacing w:before="68" w:line="206" w:lineRule="auto"/>
              <w:ind w:left="612"/>
            </w:pPr>
            <w:r>
              <w:t>S1  城市道路用地</w:t>
            </w:r>
          </w:p>
        </w:tc>
        <w:tc>
          <w:tcPr>
            <w:tcW w:w="2493" w:type="dxa"/>
            <w:vAlign w:val="top"/>
          </w:tcPr>
          <w:p w14:paraId="7AC061E6">
            <w:pPr>
              <w:pStyle w:val="6"/>
              <w:spacing w:before="68" w:line="206" w:lineRule="auto"/>
              <w:ind w:left="951"/>
            </w:pPr>
            <w:r>
              <w:rPr>
                <w:spacing w:val="-5"/>
              </w:rPr>
              <w:t>130.46</w:t>
            </w:r>
          </w:p>
        </w:tc>
        <w:tc>
          <w:tcPr>
            <w:tcW w:w="2926" w:type="dxa"/>
            <w:vAlign w:val="top"/>
          </w:tcPr>
          <w:p w14:paraId="3BC30907">
            <w:pPr>
              <w:pStyle w:val="6"/>
              <w:spacing w:before="68" w:line="206" w:lineRule="auto"/>
              <w:ind w:left="1270"/>
            </w:pPr>
            <w:r>
              <w:rPr>
                <w:spacing w:val="-3"/>
              </w:rPr>
              <w:t>6.27</w:t>
            </w:r>
          </w:p>
        </w:tc>
      </w:tr>
      <w:tr w14:paraId="372CC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restart"/>
            <w:tcBorders>
              <w:bottom w:val="nil"/>
            </w:tcBorders>
            <w:vAlign w:val="top"/>
          </w:tcPr>
          <w:p w14:paraId="3D08986A">
            <w:pPr>
              <w:spacing w:line="247" w:lineRule="auto"/>
              <w:rPr>
                <w:rFonts w:ascii="Arial"/>
                <w:sz w:val="21"/>
              </w:rPr>
            </w:pPr>
          </w:p>
          <w:p w14:paraId="4EF5152D">
            <w:pPr>
              <w:spacing w:line="248" w:lineRule="auto"/>
              <w:rPr>
                <w:rFonts w:ascii="Arial"/>
                <w:sz w:val="21"/>
              </w:rPr>
            </w:pPr>
          </w:p>
          <w:p w14:paraId="765F8E72">
            <w:pPr>
              <w:pStyle w:val="6"/>
              <w:spacing w:before="74" w:line="232" w:lineRule="auto"/>
              <w:ind w:left="246"/>
            </w:pPr>
            <w:r>
              <w:t>6</w:t>
            </w:r>
          </w:p>
        </w:tc>
        <w:tc>
          <w:tcPr>
            <w:tcW w:w="732" w:type="dxa"/>
            <w:vMerge w:val="restart"/>
            <w:tcBorders>
              <w:bottom w:val="nil"/>
            </w:tcBorders>
            <w:vAlign w:val="top"/>
          </w:tcPr>
          <w:p w14:paraId="288F0CE8">
            <w:pPr>
              <w:spacing w:line="255" w:lineRule="auto"/>
              <w:rPr>
                <w:rFonts w:ascii="Arial"/>
                <w:sz w:val="21"/>
              </w:rPr>
            </w:pPr>
          </w:p>
          <w:p w14:paraId="3C618732">
            <w:pPr>
              <w:spacing w:line="256" w:lineRule="auto"/>
              <w:rPr>
                <w:rFonts w:ascii="Arial"/>
                <w:sz w:val="21"/>
              </w:rPr>
            </w:pPr>
          </w:p>
          <w:p w14:paraId="19F7A157">
            <w:pPr>
              <w:pStyle w:val="6"/>
              <w:spacing w:before="74" w:line="187" w:lineRule="auto"/>
              <w:ind w:left="312"/>
            </w:pPr>
            <w:r>
              <w:t>U</w:t>
            </w:r>
          </w:p>
        </w:tc>
        <w:tc>
          <w:tcPr>
            <w:tcW w:w="3526" w:type="dxa"/>
            <w:gridSpan w:val="2"/>
            <w:vAlign w:val="top"/>
          </w:tcPr>
          <w:p w14:paraId="19957746">
            <w:pPr>
              <w:pStyle w:val="6"/>
              <w:spacing w:before="67" w:line="206" w:lineRule="auto"/>
              <w:ind w:left="1144"/>
            </w:pPr>
            <w:r>
              <w:rPr>
                <w:spacing w:val="-3"/>
              </w:rPr>
              <w:t>公用设施用地</w:t>
            </w:r>
          </w:p>
        </w:tc>
        <w:tc>
          <w:tcPr>
            <w:tcW w:w="2493" w:type="dxa"/>
            <w:vAlign w:val="top"/>
          </w:tcPr>
          <w:p w14:paraId="7F57B14E">
            <w:pPr>
              <w:pStyle w:val="6"/>
              <w:spacing w:before="68" w:line="206" w:lineRule="auto"/>
              <w:ind w:left="989"/>
            </w:pPr>
            <w:r>
              <w:rPr>
                <w:spacing w:val="-1"/>
              </w:rPr>
              <w:t>35.34</w:t>
            </w:r>
          </w:p>
        </w:tc>
        <w:tc>
          <w:tcPr>
            <w:tcW w:w="2926" w:type="dxa"/>
            <w:vAlign w:val="top"/>
          </w:tcPr>
          <w:p w14:paraId="53DEB730">
            <w:pPr>
              <w:pStyle w:val="6"/>
              <w:spacing w:before="68" w:line="206" w:lineRule="auto"/>
              <w:ind w:left="1286"/>
            </w:pPr>
            <w:r>
              <w:rPr>
                <w:spacing w:val="-5"/>
              </w:rPr>
              <w:t>1.70</w:t>
            </w:r>
          </w:p>
        </w:tc>
      </w:tr>
      <w:tr w14:paraId="4D701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588" w:type="dxa"/>
            <w:vMerge w:val="continue"/>
            <w:tcBorders>
              <w:top w:val="nil"/>
              <w:bottom w:val="nil"/>
            </w:tcBorders>
            <w:vAlign w:val="top"/>
          </w:tcPr>
          <w:p w14:paraId="3BC666A4">
            <w:pPr>
              <w:rPr>
                <w:rFonts w:ascii="Arial"/>
                <w:sz w:val="21"/>
              </w:rPr>
            </w:pPr>
          </w:p>
        </w:tc>
        <w:tc>
          <w:tcPr>
            <w:tcW w:w="732" w:type="dxa"/>
            <w:vMerge w:val="continue"/>
            <w:tcBorders>
              <w:top w:val="nil"/>
              <w:bottom w:val="nil"/>
            </w:tcBorders>
            <w:vAlign w:val="top"/>
          </w:tcPr>
          <w:p w14:paraId="4825CD27">
            <w:pPr>
              <w:rPr>
                <w:rFonts w:ascii="Arial"/>
                <w:sz w:val="21"/>
              </w:rPr>
            </w:pPr>
          </w:p>
        </w:tc>
        <w:tc>
          <w:tcPr>
            <w:tcW w:w="710" w:type="dxa"/>
            <w:vMerge w:val="restart"/>
            <w:tcBorders>
              <w:bottom w:val="nil"/>
            </w:tcBorders>
            <w:vAlign w:val="top"/>
          </w:tcPr>
          <w:p w14:paraId="1733E763">
            <w:pPr>
              <w:spacing w:line="327" w:lineRule="auto"/>
              <w:rPr>
                <w:rFonts w:ascii="Arial"/>
                <w:sz w:val="21"/>
              </w:rPr>
            </w:pPr>
          </w:p>
          <w:p w14:paraId="3A7572BF">
            <w:pPr>
              <w:pStyle w:val="6"/>
              <w:spacing w:before="74" w:line="207" w:lineRule="auto"/>
              <w:ind w:left="149"/>
            </w:pPr>
            <w:r>
              <w:rPr>
                <w:spacing w:val="-2"/>
              </w:rPr>
              <w:t>其中</w:t>
            </w:r>
          </w:p>
        </w:tc>
        <w:tc>
          <w:tcPr>
            <w:tcW w:w="2816" w:type="dxa"/>
            <w:vAlign w:val="top"/>
          </w:tcPr>
          <w:p w14:paraId="1C21E994">
            <w:pPr>
              <w:pStyle w:val="6"/>
              <w:spacing w:before="68" w:line="205" w:lineRule="auto"/>
              <w:ind w:left="612"/>
            </w:pPr>
            <w:r>
              <w:rPr>
                <w:spacing w:val="-2"/>
              </w:rPr>
              <w:t>U1  供应设施用地</w:t>
            </w:r>
          </w:p>
        </w:tc>
        <w:tc>
          <w:tcPr>
            <w:tcW w:w="2493" w:type="dxa"/>
            <w:vAlign w:val="top"/>
          </w:tcPr>
          <w:p w14:paraId="02ED6D39">
            <w:pPr>
              <w:pStyle w:val="6"/>
              <w:spacing w:before="68" w:line="205" w:lineRule="auto"/>
              <w:ind w:left="988"/>
            </w:pPr>
            <w:r>
              <w:rPr>
                <w:spacing w:val="-1"/>
              </w:rPr>
              <w:t>24.14</w:t>
            </w:r>
          </w:p>
        </w:tc>
        <w:tc>
          <w:tcPr>
            <w:tcW w:w="2926" w:type="dxa"/>
            <w:vAlign w:val="top"/>
          </w:tcPr>
          <w:p w14:paraId="3F16E8CF">
            <w:pPr>
              <w:pStyle w:val="6"/>
              <w:spacing w:before="68" w:line="205" w:lineRule="auto"/>
              <w:ind w:left="1286"/>
            </w:pPr>
            <w:r>
              <w:rPr>
                <w:spacing w:val="-5"/>
              </w:rPr>
              <w:t>1.16</w:t>
            </w:r>
          </w:p>
        </w:tc>
      </w:tr>
      <w:tr w14:paraId="4C50E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bottom w:val="nil"/>
            </w:tcBorders>
            <w:vAlign w:val="top"/>
          </w:tcPr>
          <w:p w14:paraId="755E1AD3">
            <w:pPr>
              <w:rPr>
                <w:rFonts w:ascii="Arial"/>
                <w:sz w:val="21"/>
              </w:rPr>
            </w:pPr>
          </w:p>
        </w:tc>
        <w:tc>
          <w:tcPr>
            <w:tcW w:w="732" w:type="dxa"/>
            <w:vMerge w:val="continue"/>
            <w:tcBorders>
              <w:top w:val="nil"/>
              <w:bottom w:val="nil"/>
            </w:tcBorders>
            <w:vAlign w:val="top"/>
          </w:tcPr>
          <w:p w14:paraId="47BE341B">
            <w:pPr>
              <w:rPr>
                <w:rFonts w:ascii="Arial"/>
                <w:sz w:val="21"/>
              </w:rPr>
            </w:pPr>
          </w:p>
        </w:tc>
        <w:tc>
          <w:tcPr>
            <w:tcW w:w="710" w:type="dxa"/>
            <w:vMerge w:val="continue"/>
            <w:tcBorders>
              <w:top w:val="nil"/>
              <w:bottom w:val="nil"/>
            </w:tcBorders>
            <w:vAlign w:val="top"/>
          </w:tcPr>
          <w:p w14:paraId="6D48EBE4">
            <w:pPr>
              <w:rPr>
                <w:rFonts w:ascii="Arial"/>
                <w:sz w:val="21"/>
              </w:rPr>
            </w:pPr>
          </w:p>
        </w:tc>
        <w:tc>
          <w:tcPr>
            <w:tcW w:w="2816" w:type="dxa"/>
            <w:vAlign w:val="top"/>
          </w:tcPr>
          <w:p w14:paraId="5437E664">
            <w:pPr>
              <w:pStyle w:val="6"/>
              <w:spacing w:before="69" w:line="205" w:lineRule="auto"/>
              <w:ind w:left="612"/>
            </w:pPr>
            <w:r>
              <w:rPr>
                <w:spacing w:val="-2"/>
              </w:rPr>
              <w:t>U2  环境设施用地</w:t>
            </w:r>
          </w:p>
        </w:tc>
        <w:tc>
          <w:tcPr>
            <w:tcW w:w="2493" w:type="dxa"/>
            <w:vAlign w:val="top"/>
          </w:tcPr>
          <w:p w14:paraId="48E60442">
            <w:pPr>
              <w:pStyle w:val="6"/>
              <w:spacing w:before="69" w:line="205" w:lineRule="auto"/>
              <w:ind w:left="1046"/>
            </w:pPr>
            <w:r>
              <w:rPr>
                <w:spacing w:val="-1"/>
              </w:rPr>
              <w:t>8.21</w:t>
            </w:r>
          </w:p>
        </w:tc>
        <w:tc>
          <w:tcPr>
            <w:tcW w:w="2926" w:type="dxa"/>
            <w:vAlign w:val="top"/>
          </w:tcPr>
          <w:p w14:paraId="5AC86C7F">
            <w:pPr>
              <w:pStyle w:val="6"/>
              <w:spacing w:before="69" w:line="205" w:lineRule="auto"/>
              <w:ind w:left="1262"/>
            </w:pPr>
            <w:r>
              <w:rPr>
                <w:spacing w:val="-1"/>
              </w:rPr>
              <w:t>0.39</w:t>
            </w:r>
          </w:p>
        </w:tc>
      </w:tr>
      <w:tr w14:paraId="07CBE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6DFFF568">
            <w:pPr>
              <w:rPr>
                <w:rFonts w:ascii="Arial"/>
                <w:sz w:val="21"/>
              </w:rPr>
            </w:pPr>
          </w:p>
        </w:tc>
        <w:tc>
          <w:tcPr>
            <w:tcW w:w="732" w:type="dxa"/>
            <w:vMerge w:val="continue"/>
            <w:tcBorders>
              <w:top w:val="nil"/>
            </w:tcBorders>
            <w:vAlign w:val="top"/>
          </w:tcPr>
          <w:p w14:paraId="151FD118">
            <w:pPr>
              <w:rPr>
                <w:rFonts w:ascii="Arial"/>
                <w:sz w:val="21"/>
              </w:rPr>
            </w:pPr>
          </w:p>
        </w:tc>
        <w:tc>
          <w:tcPr>
            <w:tcW w:w="710" w:type="dxa"/>
            <w:vMerge w:val="continue"/>
            <w:tcBorders>
              <w:top w:val="nil"/>
            </w:tcBorders>
            <w:vAlign w:val="top"/>
          </w:tcPr>
          <w:p w14:paraId="7836D266">
            <w:pPr>
              <w:rPr>
                <w:rFonts w:ascii="Arial"/>
                <w:sz w:val="21"/>
              </w:rPr>
            </w:pPr>
          </w:p>
        </w:tc>
        <w:tc>
          <w:tcPr>
            <w:tcW w:w="2816" w:type="dxa"/>
            <w:vAlign w:val="top"/>
          </w:tcPr>
          <w:p w14:paraId="763606AF">
            <w:pPr>
              <w:pStyle w:val="6"/>
              <w:spacing w:before="68" w:line="206" w:lineRule="auto"/>
              <w:ind w:left="612"/>
            </w:pPr>
            <w:r>
              <w:rPr>
                <w:spacing w:val="-5"/>
              </w:rPr>
              <w:t>U3</w:t>
            </w:r>
            <w:r>
              <w:rPr>
                <w:spacing w:val="11"/>
              </w:rPr>
              <w:t xml:space="preserve">  </w:t>
            </w:r>
            <w:r>
              <w:rPr>
                <w:spacing w:val="-5"/>
              </w:rPr>
              <w:t>安全设施用地</w:t>
            </w:r>
          </w:p>
        </w:tc>
        <w:tc>
          <w:tcPr>
            <w:tcW w:w="2493" w:type="dxa"/>
            <w:vAlign w:val="top"/>
          </w:tcPr>
          <w:p w14:paraId="0D5EF4F7">
            <w:pPr>
              <w:pStyle w:val="6"/>
              <w:spacing w:before="68" w:line="206" w:lineRule="auto"/>
              <w:ind w:left="1045"/>
            </w:pPr>
            <w:r>
              <w:rPr>
                <w:spacing w:val="-1"/>
              </w:rPr>
              <w:t>2.99</w:t>
            </w:r>
          </w:p>
        </w:tc>
        <w:tc>
          <w:tcPr>
            <w:tcW w:w="2926" w:type="dxa"/>
            <w:vAlign w:val="top"/>
          </w:tcPr>
          <w:p w14:paraId="4B841775">
            <w:pPr>
              <w:pStyle w:val="6"/>
              <w:spacing w:before="68" w:line="206" w:lineRule="auto"/>
              <w:ind w:left="1262"/>
            </w:pPr>
            <w:r>
              <w:rPr>
                <w:spacing w:val="-1"/>
              </w:rPr>
              <w:t>0.14</w:t>
            </w:r>
          </w:p>
        </w:tc>
      </w:tr>
      <w:tr w14:paraId="554C7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restart"/>
            <w:tcBorders>
              <w:bottom w:val="nil"/>
            </w:tcBorders>
            <w:vAlign w:val="top"/>
          </w:tcPr>
          <w:p w14:paraId="7B127BFE">
            <w:pPr>
              <w:spacing w:line="329" w:lineRule="auto"/>
              <w:rPr>
                <w:rFonts w:ascii="Arial"/>
                <w:sz w:val="21"/>
              </w:rPr>
            </w:pPr>
          </w:p>
          <w:p w14:paraId="31E8AF3A">
            <w:pPr>
              <w:pStyle w:val="6"/>
              <w:spacing w:before="73" w:line="232" w:lineRule="auto"/>
              <w:ind w:left="247"/>
            </w:pPr>
            <w:r>
              <w:t>7</w:t>
            </w:r>
          </w:p>
        </w:tc>
        <w:tc>
          <w:tcPr>
            <w:tcW w:w="732" w:type="dxa"/>
            <w:vMerge w:val="restart"/>
            <w:tcBorders>
              <w:bottom w:val="nil"/>
            </w:tcBorders>
            <w:vAlign w:val="top"/>
          </w:tcPr>
          <w:p w14:paraId="16BC8A0A">
            <w:pPr>
              <w:spacing w:line="342" w:lineRule="auto"/>
              <w:rPr>
                <w:rFonts w:ascii="Arial"/>
                <w:sz w:val="21"/>
              </w:rPr>
            </w:pPr>
          </w:p>
          <w:p w14:paraId="012C7711">
            <w:pPr>
              <w:pStyle w:val="6"/>
              <w:spacing w:before="73" w:line="190" w:lineRule="auto"/>
              <w:ind w:left="291"/>
            </w:pPr>
            <w:r>
              <w:t>G</w:t>
            </w:r>
          </w:p>
        </w:tc>
        <w:tc>
          <w:tcPr>
            <w:tcW w:w="3526" w:type="dxa"/>
            <w:gridSpan w:val="2"/>
            <w:vAlign w:val="top"/>
          </w:tcPr>
          <w:p w14:paraId="1A5EFF1E">
            <w:pPr>
              <w:pStyle w:val="6"/>
              <w:spacing w:before="68" w:line="206" w:lineRule="auto"/>
              <w:ind w:left="1032"/>
            </w:pPr>
            <w:r>
              <w:rPr>
                <w:spacing w:val="-1"/>
              </w:rPr>
              <w:t>绿地与广场用地</w:t>
            </w:r>
          </w:p>
        </w:tc>
        <w:tc>
          <w:tcPr>
            <w:tcW w:w="2493" w:type="dxa"/>
            <w:vAlign w:val="top"/>
          </w:tcPr>
          <w:p w14:paraId="47C77BBC">
            <w:pPr>
              <w:pStyle w:val="6"/>
              <w:spacing w:before="68" w:line="206" w:lineRule="auto"/>
              <w:ind w:left="928"/>
            </w:pPr>
            <w:r>
              <w:rPr>
                <w:spacing w:val="-1"/>
              </w:rPr>
              <w:t>292.41</w:t>
            </w:r>
          </w:p>
        </w:tc>
        <w:tc>
          <w:tcPr>
            <w:tcW w:w="2926" w:type="dxa"/>
            <w:vAlign w:val="top"/>
          </w:tcPr>
          <w:p w14:paraId="3FDE4F53">
            <w:pPr>
              <w:pStyle w:val="6"/>
              <w:spacing w:before="68" w:line="206" w:lineRule="auto"/>
              <w:ind w:left="1226"/>
            </w:pPr>
            <w:r>
              <w:rPr>
                <w:spacing w:val="-6"/>
              </w:rPr>
              <w:t>14.06</w:t>
            </w:r>
          </w:p>
        </w:tc>
      </w:tr>
      <w:tr w14:paraId="223A5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bottom w:val="nil"/>
            </w:tcBorders>
            <w:vAlign w:val="top"/>
          </w:tcPr>
          <w:p w14:paraId="6C63F660">
            <w:pPr>
              <w:rPr>
                <w:rFonts w:ascii="Arial"/>
                <w:sz w:val="21"/>
              </w:rPr>
            </w:pPr>
          </w:p>
        </w:tc>
        <w:tc>
          <w:tcPr>
            <w:tcW w:w="732" w:type="dxa"/>
            <w:vMerge w:val="continue"/>
            <w:tcBorders>
              <w:top w:val="nil"/>
              <w:bottom w:val="nil"/>
            </w:tcBorders>
            <w:vAlign w:val="top"/>
          </w:tcPr>
          <w:p w14:paraId="732CEE9D">
            <w:pPr>
              <w:rPr>
                <w:rFonts w:ascii="Arial"/>
                <w:sz w:val="21"/>
              </w:rPr>
            </w:pPr>
          </w:p>
        </w:tc>
        <w:tc>
          <w:tcPr>
            <w:tcW w:w="710" w:type="dxa"/>
            <w:vMerge w:val="restart"/>
            <w:tcBorders>
              <w:bottom w:val="nil"/>
            </w:tcBorders>
            <w:vAlign w:val="top"/>
          </w:tcPr>
          <w:p w14:paraId="36015836">
            <w:pPr>
              <w:pStyle w:val="6"/>
              <w:spacing w:before="236" w:line="207" w:lineRule="auto"/>
              <w:ind w:left="149"/>
            </w:pPr>
            <w:r>
              <w:rPr>
                <w:spacing w:val="-2"/>
              </w:rPr>
              <w:t>其中</w:t>
            </w:r>
          </w:p>
        </w:tc>
        <w:tc>
          <w:tcPr>
            <w:tcW w:w="2816" w:type="dxa"/>
            <w:vAlign w:val="top"/>
          </w:tcPr>
          <w:p w14:paraId="1C57AC28">
            <w:pPr>
              <w:pStyle w:val="6"/>
              <w:spacing w:before="68" w:line="206" w:lineRule="auto"/>
              <w:ind w:left="803"/>
            </w:pPr>
            <w:r>
              <w:rPr>
                <w:spacing w:val="-6"/>
              </w:rPr>
              <w:t>G1</w:t>
            </w:r>
            <w:r>
              <w:rPr>
                <w:spacing w:val="7"/>
              </w:rPr>
              <w:t xml:space="preserve">  </w:t>
            </w:r>
            <w:r>
              <w:rPr>
                <w:spacing w:val="-6"/>
              </w:rPr>
              <w:t>公园绿地</w:t>
            </w:r>
          </w:p>
        </w:tc>
        <w:tc>
          <w:tcPr>
            <w:tcW w:w="2493" w:type="dxa"/>
            <w:vAlign w:val="top"/>
          </w:tcPr>
          <w:p w14:paraId="7491A6A7">
            <w:pPr>
              <w:pStyle w:val="6"/>
              <w:spacing w:before="68" w:line="206" w:lineRule="auto"/>
              <w:ind w:left="1011"/>
            </w:pPr>
            <w:r>
              <w:rPr>
                <w:spacing w:val="-6"/>
              </w:rPr>
              <w:t>130.8</w:t>
            </w:r>
          </w:p>
        </w:tc>
        <w:tc>
          <w:tcPr>
            <w:tcW w:w="2926" w:type="dxa"/>
            <w:vAlign w:val="top"/>
          </w:tcPr>
          <w:p w14:paraId="1DEF1B3C">
            <w:pPr>
              <w:pStyle w:val="6"/>
              <w:spacing w:before="68" w:line="206" w:lineRule="auto"/>
              <w:ind w:left="1270"/>
            </w:pPr>
            <w:r>
              <w:rPr>
                <w:spacing w:val="-3"/>
              </w:rPr>
              <w:t>6.29</w:t>
            </w:r>
          </w:p>
        </w:tc>
      </w:tr>
      <w:tr w14:paraId="3A568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588" w:type="dxa"/>
            <w:vMerge w:val="continue"/>
            <w:tcBorders>
              <w:top w:val="nil"/>
            </w:tcBorders>
            <w:vAlign w:val="top"/>
          </w:tcPr>
          <w:p w14:paraId="588673BA">
            <w:pPr>
              <w:rPr>
                <w:rFonts w:ascii="Arial"/>
                <w:sz w:val="21"/>
              </w:rPr>
            </w:pPr>
          </w:p>
        </w:tc>
        <w:tc>
          <w:tcPr>
            <w:tcW w:w="732" w:type="dxa"/>
            <w:vMerge w:val="continue"/>
            <w:tcBorders>
              <w:top w:val="nil"/>
            </w:tcBorders>
            <w:vAlign w:val="top"/>
          </w:tcPr>
          <w:p w14:paraId="3F5A47CC">
            <w:pPr>
              <w:rPr>
                <w:rFonts w:ascii="Arial"/>
                <w:sz w:val="21"/>
              </w:rPr>
            </w:pPr>
          </w:p>
        </w:tc>
        <w:tc>
          <w:tcPr>
            <w:tcW w:w="710" w:type="dxa"/>
            <w:vMerge w:val="continue"/>
            <w:tcBorders>
              <w:top w:val="nil"/>
            </w:tcBorders>
            <w:vAlign w:val="top"/>
          </w:tcPr>
          <w:p w14:paraId="36C94CE3">
            <w:pPr>
              <w:rPr>
                <w:rFonts w:ascii="Arial"/>
                <w:sz w:val="21"/>
              </w:rPr>
            </w:pPr>
          </w:p>
        </w:tc>
        <w:tc>
          <w:tcPr>
            <w:tcW w:w="2816" w:type="dxa"/>
            <w:vAlign w:val="top"/>
          </w:tcPr>
          <w:p w14:paraId="5EF54F14">
            <w:pPr>
              <w:pStyle w:val="6"/>
              <w:spacing w:before="68" w:line="206" w:lineRule="auto"/>
              <w:ind w:left="803"/>
            </w:pPr>
            <w:r>
              <w:rPr>
                <w:spacing w:val="-7"/>
              </w:rPr>
              <w:t>G2</w:t>
            </w:r>
            <w:r>
              <w:rPr>
                <w:spacing w:val="10"/>
              </w:rPr>
              <w:t xml:space="preserve">  </w:t>
            </w:r>
            <w:r>
              <w:rPr>
                <w:spacing w:val="-7"/>
              </w:rPr>
              <w:t>防护绿地</w:t>
            </w:r>
          </w:p>
        </w:tc>
        <w:tc>
          <w:tcPr>
            <w:tcW w:w="2493" w:type="dxa"/>
            <w:vAlign w:val="top"/>
          </w:tcPr>
          <w:p w14:paraId="5129CDA3">
            <w:pPr>
              <w:pStyle w:val="6"/>
              <w:spacing w:before="68" w:line="206" w:lineRule="auto"/>
              <w:ind w:left="951"/>
            </w:pPr>
            <w:r>
              <w:rPr>
                <w:spacing w:val="-5"/>
              </w:rPr>
              <w:t>161.61</w:t>
            </w:r>
          </w:p>
        </w:tc>
        <w:tc>
          <w:tcPr>
            <w:tcW w:w="2926" w:type="dxa"/>
            <w:vAlign w:val="top"/>
          </w:tcPr>
          <w:p w14:paraId="1B9912EF">
            <w:pPr>
              <w:pStyle w:val="6"/>
              <w:spacing w:before="68" w:line="206" w:lineRule="auto"/>
              <w:ind w:left="1271"/>
            </w:pPr>
            <w:r>
              <w:rPr>
                <w:spacing w:val="-3"/>
              </w:rPr>
              <w:t>7.77</w:t>
            </w:r>
          </w:p>
        </w:tc>
      </w:tr>
      <w:tr w14:paraId="7ED39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88" w:type="dxa"/>
            <w:vAlign w:val="top"/>
          </w:tcPr>
          <w:p w14:paraId="2E122A44">
            <w:pPr>
              <w:pStyle w:val="6"/>
              <w:spacing w:before="68" w:line="210" w:lineRule="auto"/>
              <w:ind w:left="239"/>
            </w:pPr>
            <w:r>
              <w:t>8</w:t>
            </w:r>
          </w:p>
        </w:tc>
        <w:tc>
          <w:tcPr>
            <w:tcW w:w="732" w:type="dxa"/>
            <w:vAlign w:val="top"/>
          </w:tcPr>
          <w:p w14:paraId="1FF246D1">
            <w:pPr>
              <w:pStyle w:val="6"/>
              <w:spacing w:before="85" w:line="187" w:lineRule="auto"/>
              <w:ind w:left="191"/>
            </w:pPr>
            <w:r>
              <w:rPr>
                <w:spacing w:val="-4"/>
              </w:rPr>
              <w:t>H11</w:t>
            </w:r>
          </w:p>
        </w:tc>
        <w:tc>
          <w:tcPr>
            <w:tcW w:w="3526" w:type="dxa"/>
            <w:gridSpan w:val="2"/>
            <w:vAlign w:val="top"/>
          </w:tcPr>
          <w:p w14:paraId="7DAF252F">
            <w:pPr>
              <w:pStyle w:val="6"/>
              <w:spacing w:before="68" w:line="206" w:lineRule="auto"/>
              <w:ind w:left="1137"/>
            </w:pPr>
            <w:r>
              <w:rPr>
                <w:spacing w:val="-1"/>
              </w:rPr>
              <w:t>城市建设用地</w:t>
            </w:r>
          </w:p>
        </w:tc>
        <w:tc>
          <w:tcPr>
            <w:tcW w:w="2493" w:type="dxa"/>
            <w:vAlign w:val="top"/>
          </w:tcPr>
          <w:p w14:paraId="307D7A33">
            <w:pPr>
              <w:pStyle w:val="6"/>
              <w:spacing w:before="68" w:line="210" w:lineRule="auto"/>
              <w:ind w:left="870"/>
            </w:pPr>
            <w:r>
              <w:rPr>
                <w:spacing w:val="-1"/>
              </w:rPr>
              <w:t>2079.07</w:t>
            </w:r>
          </w:p>
        </w:tc>
        <w:tc>
          <w:tcPr>
            <w:tcW w:w="2926" w:type="dxa"/>
            <w:vAlign w:val="top"/>
          </w:tcPr>
          <w:p w14:paraId="3B4BE5FE">
            <w:pPr>
              <w:pStyle w:val="6"/>
              <w:spacing w:before="68" w:line="210" w:lineRule="auto"/>
              <w:ind w:left="1314"/>
            </w:pPr>
            <w:r>
              <w:rPr>
                <w:spacing w:val="-10"/>
              </w:rPr>
              <w:t>100</w:t>
            </w:r>
          </w:p>
        </w:tc>
      </w:tr>
    </w:tbl>
    <w:p w14:paraId="565E3255">
      <w:pPr>
        <w:spacing w:line="14" w:lineRule="auto"/>
        <w:rPr>
          <w:rFonts w:ascii="Arial"/>
          <w:sz w:val="2"/>
        </w:rPr>
      </w:pPr>
    </w:p>
    <w:p w14:paraId="71769591">
      <w:pPr>
        <w:spacing w:line="14" w:lineRule="auto"/>
        <w:rPr>
          <w:rFonts w:ascii="Arial" w:hAnsi="Arial" w:eastAsia="Arial" w:cs="Arial"/>
          <w:sz w:val="2"/>
          <w:szCs w:val="2"/>
        </w:rPr>
        <w:sectPr>
          <w:type w:val="continuous"/>
          <w:pgSz w:w="23811" w:h="16839"/>
          <w:pgMar w:top="1274" w:right="1325" w:bottom="1613" w:left="1411" w:header="838" w:footer="1386" w:gutter="0"/>
          <w:cols w:equalWidth="0" w:num="2">
            <w:col w:w="10704" w:space="100"/>
            <w:col w:w="10271"/>
          </w:cols>
        </w:sectPr>
      </w:pPr>
    </w:p>
    <w:p w14:paraId="6A53B1A7">
      <w:pPr>
        <w:spacing w:line="83" w:lineRule="exact"/>
      </w:pPr>
    </w:p>
    <w:p w14:paraId="49A4D4C4">
      <w:pPr>
        <w:spacing w:line="83" w:lineRule="exact"/>
        <w:sectPr>
          <w:headerReference r:id="rId19" w:type="default"/>
          <w:footerReference r:id="rId20" w:type="default"/>
          <w:pgSz w:w="23811" w:h="16839"/>
          <w:pgMar w:top="1274" w:right="1409" w:bottom="1613" w:left="1411" w:header="838" w:footer="1385" w:gutter="0"/>
          <w:cols w:equalWidth="0" w:num="1">
            <w:col w:w="20990"/>
          </w:cols>
        </w:sectPr>
      </w:pPr>
    </w:p>
    <w:p w14:paraId="0B26373E">
      <w:pPr>
        <w:spacing w:line="254" w:lineRule="auto"/>
        <w:rPr>
          <w:rFonts w:ascii="Arial"/>
          <w:sz w:val="21"/>
        </w:rPr>
      </w:pPr>
    </w:p>
    <w:p w14:paraId="2C8938E0">
      <w:pPr>
        <w:spacing w:line="255" w:lineRule="auto"/>
        <w:rPr>
          <w:rFonts w:ascii="Arial"/>
          <w:sz w:val="21"/>
        </w:rPr>
      </w:pPr>
    </w:p>
    <w:p w14:paraId="2CA4CDB8">
      <w:pPr>
        <w:spacing w:line="255" w:lineRule="auto"/>
        <w:rPr>
          <w:rFonts w:ascii="Arial"/>
          <w:sz w:val="21"/>
        </w:rPr>
      </w:pPr>
    </w:p>
    <w:p w14:paraId="686B5578">
      <w:pPr>
        <w:spacing w:before="101" w:line="224" w:lineRule="auto"/>
        <w:ind w:left="1553"/>
        <w:outlineLvl w:val="0"/>
        <w:rPr>
          <w:rFonts w:ascii="黑体" w:hAnsi="黑体" w:eastAsia="黑体" w:cs="黑体"/>
          <w:sz w:val="31"/>
          <w:szCs w:val="31"/>
        </w:rPr>
      </w:pPr>
      <w:bookmarkStart w:id="5" w:name="bookmark6"/>
      <w:bookmarkEnd w:id="5"/>
      <w:r>
        <w:rPr>
          <w:rFonts w:ascii="黑体" w:hAnsi="黑体" w:eastAsia="黑体" w:cs="黑体"/>
          <w:spacing w:val="8"/>
          <w:sz w:val="31"/>
          <w:szCs w:val="31"/>
        </w:rPr>
        <w:t>第六章</w:t>
      </w:r>
      <w:r>
        <w:rPr>
          <w:rFonts w:ascii="黑体" w:hAnsi="黑体" w:eastAsia="黑体" w:cs="黑体"/>
          <w:spacing w:val="7"/>
          <w:sz w:val="31"/>
          <w:szCs w:val="31"/>
        </w:rPr>
        <w:t xml:space="preserve">  </w:t>
      </w:r>
      <w:r>
        <w:rPr>
          <w:rFonts w:ascii="黑体" w:hAnsi="黑体" w:eastAsia="黑体" w:cs="黑体"/>
          <w:spacing w:val="8"/>
          <w:sz w:val="31"/>
          <w:szCs w:val="31"/>
        </w:rPr>
        <w:t>产业分区、工业及物流仓储用地布局规划</w:t>
      </w:r>
    </w:p>
    <w:p w14:paraId="2A8A3314">
      <w:pPr>
        <w:spacing w:line="267" w:lineRule="auto"/>
        <w:rPr>
          <w:rFonts w:ascii="Arial"/>
          <w:sz w:val="21"/>
        </w:rPr>
      </w:pPr>
    </w:p>
    <w:p w14:paraId="22C84F0A">
      <w:pPr>
        <w:spacing w:line="268" w:lineRule="auto"/>
        <w:rPr>
          <w:rFonts w:ascii="Arial"/>
          <w:sz w:val="21"/>
        </w:rPr>
      </w:pPr>
    </w:p>
    <w:p w14:paraId="19D64406">
      <w:pPr>
        <w:spacing w:before="91" w:line="219" w:lineRule="auto"/>
        <w:ind w:left="390"/>
        <w:rPr>
          <w:rFonts w:ascii="黑体" w:hAnsi="黑体" w:eastAsia="黑体" w:cs="黑体"/>
          <w:sz w:val="28"/>
          <w:szCs w:val="28"/>
        </w:rPr>
      </w:pPr>
      <w:r>
        <w:rPr>
          <w:rFonts w:ascii="黑体" w:hAnsi="黑体" w:eastAsia="黑体" w:cs="黑体"/>
          <w:spacing w:val="-2"/>
          <w:sz w:val="28"/>
          <w:szCs w:val="28"/>
        </w:rPr>
        <w:t>第十九条</w:t>
      </w:r>
      <w:r>
        <w:rPr>
          <w:rFonts w:ascii="黑体" w:hAnsi="黑体" w:eastAsia="黑体" w:cs="黑体"/>
          <w:spacing w:val="80"/>
          <w:sz w:val="28"/>
          <w:szCs w:val="28"/>
        </w:rPr>
        <w:t xml:space="preserve"> </w:t>
      </w:r>
      <w:r>
        <w:rPr>
          <w:rFonts w:ascii="黑体" w:hAnsi="黑体" w:eastAsia="黑体" w:cs="黑体"/>
          <w:spacing w:val="-2"/>
          <w:sz w:val="28"/>
          <w:szCs w:val="28"/>
        </w:rPr>
        <w:t>产业功能分区</w:t>
      </w:r>
    </w:p>
    <w:p w14:paraId="22E34635">
      <w:pPr>
        <w:spacing w:line="306" w:lineRule="auto"/>
        <w:rPr>
          <w:rFonts w:ascii="Arial"/>
          <w:sz w:val="21"/>
        </w:rPr>
      </w:pPr>
    </w:p>
    <w:p w14:paraId="3C4803B0">
      <w:pPr>
        <w:pStyle w:val="2"/>
        <w:spacing w:before="78" w:line="379" w:lineRule="auto"/>
        <w:ind w:left="37" w:right="751" w:firstLine="479"/>
      </w:pPr>
      <w:r>
        <w:rPr>
          <w:spacing w:val="-1"/>
        </w:rPr>
        <w:t>将盐边钒钛产业开发区分为三个功能组团（各组团除了发展主要的产业也可灵活</w:t>
      </w:r>
      <w:r>
        <w:rPr>
          <w:spacing w:val="-2"/>
        </w:rPr>
        <w:t>布局其他产</w:t>
      </w:r>
      <w:r>
        <w:rPr>
          <w:spacing w:val="-14"/>
        </w:rPr>
        <w:t>业作为补充）。</w:t>
      </w:r>
    </w:p>
    <w:p w14:paraId="363A6A0F">
      <w:pPr>
        <w:spacing w:before="256" w:line="218" w:lineRule="auto"/>
        <w:ind w:left="522"/>
        <w:rPr>
          <w:rFonts w:ascii="黑体" w:hAnsi="黑体" w:eastAsia="黑体" w:cs="黑体"/>
          <w:sz w:val="24"/>
          <w:szCs w:val="24"/>
        </w:rPr>
      </w:pPr>
      <w:r>
        <w:rPr>
          <w:rFonts w:ascii="黑体" w:hAnsi="黑体" w:eastAsia="黑体" w:cs="黑体"/>
          <w:spacing w:val="-2"/>
          <w:sz w:val="24"/>
          <w:szCs w:val="24"/>
        </w:rPr>
        <w:t>一、钒钛及新材料产业组团</w:t>
      </w:r>
    </w:p>
    <w:p w14:paraId="01982723">
      <w:pPr>
        <w:spacing w:line="383" w:lineRule="auto"/>
        <w:rPr>
          <w:rFonts w:ascii="Arial"/>
          <w:sz w:val="21"/>
        </w:rPr>
      </w:pPr>
    </w:p>
    <w:p w14:paraId="505128ED">
      <w:pPr>
        <w:pStyle w:val="2"/>
        <w:spacing w:before="79" w:line="383" w:lineRule="auto"/>
        <w:ind w:left="37" w:right="670" w:firstLine="480"/>
        <w:jc w:val="both"/>
      </w:pPr>
      <w:r>
        <w:rPr>
          <w:spacing w:val="1"/>
        </w:rPr>
        <w:t>位于安宁片区中部及南部，重点发展钛渣冶炼、钛白粉、海绵钛、钛锭、钛材</w:t>
      </w:r>
      <w:r>
        <w:t>、钛基合金、</w:t>
      </w:r>
      <w:r>
        <w:rPr>
          <w:spacing w:val="-1"/>
        </w:rPr>
        <w:t>钒功能材料等钒钛深加工产品，积极发展钛化工，并加快培育钒钛、石墨等新材料产业</w:t>
      </w:r>
      <w:r>
        <w:rPr>
          <w:spacing w:val="-2"/>
        </w:rPr>
        <w:t>集群。同</w:t>
      </w:r>
      <w:r>
        <w:rPr>
          <w:spacing w:val="-1"/>
        </w:rPr>
        <w:t>时包含钒钛资源综合利用和废弃物综合回收利用等产业。此外，根据未来区域发展需求，</w:t>
      </w:r>
      <w:r>
        <w:rPr>
          <w:spacing w:val="-2"/>
        </w:rPr>
        <w:t>可适当发展现代新型矿业精深加工产业。组团规模约</w:t>
      </w:r>
      <w:r>
        <w:rPr>
          <w:spacing w:val="-41"/>
        </w:rPr>
        <w:t xml:space="preserve"> </w:t>
      </w:r>
      <w:r>
        <w:rPr>
          <w:rFonts w:ascii="Times New Roman" w:hAnsi="Times New Roman" w:eastAsia="Times New Roman" w:cs="Times New Roman"/>
          <w:spacing w:val="-2"/>
        </w:rPr>
        <w:t xml:space="preserve">8 </w:t>
      </w:r>
      <w:r>
        <w:rPr>
          <w:spacing w:val="-2"/>
        </w:rPr>
        <w:t>平方公里。</w:t>
      </w:r>
    </w:p>
    <w:p w14:paraId="5A30F5D5">
      <w:pPr>
        <w:spacing w:before="225" w:line="218" w:lineRule="auto"/>
        <w:ind w:left="522"/>
        <w:rPr>
          <w:rFonts w:ascii="黑体" w:hAnsi="黑体" w:eastAsia="黑体" w:cs="黑体"/>
          <w:sz w:val="24"/>
          <w:szCs w:val="24"/>
        </w:rPr>
      </w:pPr>
      <w:r>
        <w:rPr>
          <w:rFonts w:ascii="黑体" w:hAnsi="黑体" w:eastAsia="黑体" w:cs="黑体"/>
          <w:spacing w:val="-2"/>
          <w:sz w:val="24"/>
          <w:szCs w:val="24"/>
        </w:rPr>
        <w:t>二、高端机械制造组团</w:t>
      </w:r>
    </w:p>
    <w:p w14:paraId="418A545F">
      <w:pPr>
        <w:spacing w:line="382" w:lineRule="auto"/>
        <w:rPr>
          <w:rFonts w:ascii="Arial"/>
          <w:sz w:val="21"/>
        </w:rPr>
      </w:pPr>
    </w:p>
    <w:p w14:paraId="343C5754">
      <w:pPr>
        <w:pStyle w:val="2"/>
        <w:spacing w:before="79" w:line="383" w:lineRule="auto"/>
        <w:ind w:left="37" w:right="749" w:firstLine="480"/>
        <w:jc w:val="both"/>
      </w:pPr>
      <w:r>
        <w:rPr>
          <w:spacing w:val="-1"/>
        </w:rPr>
        <w:t>位于安宁片区中北部，重点发展战略性高端钢材、特种钢与锻件产业、高端</w:t>
      </w:r>
      <w:r>
        <w:rPr>
          <w:spacing w:val="-2"/>
        </w:rPr>
        <w:t>耐磨铸件及含钒</w:t>
      </w:r>
      <w:r>
        <w:rPr>
          <w:spacing w:val="-6"/>
        </w:rPr>
        <w:t>钛铸件产品、汽车零部件配套产品、冶金备品备件和选矿配套设备、压板等零配件；</w:t>
      </w:r>
      <w:r>
        <w:rPr>
          <w:spacing w:val="84"/>
        </w:rPr>
        <w:t xml:space="preserve"> </w:t>
      </w:r>
      <w:r>
        <w:rPr>
          <w:spacing w:val="-6"/>
        </w:rPr>
        <w:t>同时发展直</w:t>
      </w:r>
      <w:r>
        <w:rPr>
          <w:spacing w:val="-5"/>
        </w:rPr>
        <w:t>接还原铁、特种钢铁延伸加工业，</w:t>
      </w:r>
      <w:r>
        <w:rPr>
          <w:spacing w:val="56"/>
        </w:rPr>
        <w:t xml:space="preserve"> </w:t>
      </w:r>
      <w:r>
        <w:rPr>
          <w:spacing w:val="-5"/>
        </w:rPr>
        <w:t>包括延伸精深加工，突出发展优质钢、合</w:t>
      </w:r>
      <w:r>
        <w:rPr>
          <w:spacing w:val="-6"/>
        </w:rPr>
        <w:t>金钢、低合金钢、不</w:t>
      </w:r>
      <w:r>
        <w:rPr>
          <w:spacing w:val="-1"/>
        </w:rPr>
        <w:t>锈钢等高性能钢铁终端消费产品，突出打造机械制造产业集群。组团规模约</w:t>
      </w:r>
      <w:r>
        <w:rPr>
          <w:spacing w:val="-52"/>
        </w:rPr>
        <w:t xml:space="preserve"> </w:t>
      </w:r>
      <w:r>
        <w:rPr>
          <w:rFonts w:ascii="Times New Roman" w:hAnsi="Times New Roman" w:eastAsia="Times New Roman" w:cs="Times New Roman"/>
          <w:spacing w:val="-1"/>
        </w:rPr>
        <w:t xml:space="preserve">7.5 </w:t>
      </w:r>
      <w:r>
        <w:rPr>
          <w:spacing w:val="-1"/>
        </w:rPr>
        <w:t>平方公里。</w:t>
      </w:r>
    </w:p>
    <w:p w14:paraId="04DF30B8">
      <w:pPr>
        <w:spacing w:before="228" w:line="218" w:lineRule="auto"/>
        <w:ind w:left="522"/>
        <w:rPr>
          <w:rFonts w:ascii="黑体" w:hAnsi="黑体" w:eastAsia="黑体" w:cs="黑体"/>
          <w:sz w:val="24"/>
          <w:szCs w:val="24"/>
        </w:rPr>
      </w:pPr>
      <w:r>
        <w:rPr>
          <w:rFonts w:ascii="黑体" w:hAnsi="黑体" w:eastAsia="黑体" w:cs="黑体"/>
          <w:spacing w:val="-1"/>
          <w:sz w:val="24"/>
          <w:szCs w:val="24"/>
        </w:rPr>
        <w:t>三、现代新型矿业精深加工组团</w:t>
      </w:r>
    </w:p>
    <w:p w14:paraId="3E6CD45F">
      <w:pPr>
        <w:spacing w:line="380" w:lineRule="auto"/>
        <w:rPr>
          <w:rFonts w:ascii="Arial"/>
          <w:sz w:val="21"/>
        </w:rPr>
      </w:pPr>
    </w:p>
    <w:p w14:paraId="325F51C5">
      <w:pPr>
        <w:pStyle w:val="2"/>
        <w:spacing w:before="79" w:line="341" w:lineRule="auto"/>
        <w:ind w:left="40" w:right="751" w:firstLine="480"/>
        <w:jc w:val="both"/>
      </w:pPr>
      <w:r>
        <w:rPr>
          <w:spacing w:val="-1"/>
        </w:rPr>
        <w:t>主要为新九片区，以建设攀西地区钒钛资源原料供应基地为目标，整合</w:t>
      </w:r>
      <w:r>
        <w:rPr>
          <w:spacing w:val="-2"/>
        </w:rPr>
        <w:t>、扩大采选及球团产</w:t>
      </w:r>
      <w:r>
        <w:rPr>
          <w:spacing w:val="-8"/>
        </w:rPr>
        <w:t>能，通过技术创新，发展矿产资源的适度延伸加工、精细化加工；</w:t>
      </w:r>
      <w:r>
        <w:rPr>
          <w:spacing w:val="-65"/>
        </w:rPr>
        <w:t xml:space="preserve"> </w:t>
      </w:r>
      <w:r>
        <w:rPr>
          <w:spacing w:val="-8"/>
        </w:rPr>
        <w:t>同时加强环境保护和污染治理，</w:t>
      </w:r>
      <w:r>
        <w:rPr>
          <w:spacing w:val="-5"/>
        </w:rPr>
        <w:t>发展尾矿综合回收利用循环产业，提高钒、钛资源回收率及综合利用</w:t>
      </w:r>
      <w:r>
        <w:rPr>
          <w:spacing w:val="-6"/>
        </w:rPr>
        <w:t>率，</w:t>
      </w:r>
      <w:r>
        <w:rPr>
          <w:spacing w:val="53"/>
        </w:rPr>
        <w:t xml:space="preserve"> </w:t>
      </w:r>
      <w:r>
        <w:rPr>
          <w:spacing w:val="-6"/>
        </w:rPr>
        <w:t>铬、钴、镍等伴生稀有</w:t>
      </w:r>
      <w:r>
        <w:rPr>
          <w:spacing w:val="-1"/>
        </w:rPr>
        <w:t>金属实现规模化回收利用，提高资源综合利用水平，促进矿业绿色可持续发展。</w:t>
      </w:r>
      <w:r>
        <w:rPr>
          <w:spacing w:val="-2"/>
        </w:rPr>
        <w:t>此外，根据未来</w:t>
      </w:r>
      <w:r>
        <w:rPr>
          <w:spacing w:val="-1"/>
        </w:rPr>
        <w:t>区域发展情况，可适当发展钒钛及新材料产业。组团规模约</w:t>
      </w:r>
      <w:r>
        <w:rPr>
          <w:spacing w:val="-32"/>
        </w:rPr>
        <w:t xml:space="preserve"> </w:t>
      </w:r>
      <w:r>
        <w:rPr>
          <w:rFonts w:ascii="Times New Roman" w:hAnsi="Times New Roman" w:eastAsia="Times New Roman" w:cs="Times New Roman"/>
          <w:spacing w:val="-1"/>
        </w:rPr>
        <w:t>13</w:t>
      </w:r>
      <w:r>
        <w:rPr>
          <w:rFonts w:ascii="Times New Roman" w:hAnsi="Times New Roman" w:eastAsia="Times New Roman" w:cs="Times New Roman"/>
          <w:spacing w:val="-2"/>
        </w:rPr>
        <w:t xml:space="preserve"> </w:t>
      </w:r>
      <w:r>
        <w:rPr>
          <w:spacing w:val="-2"/>
        </w:rPr>
        <w:t>平方公里。</w:t>
      </w:r>
    </w:p>
    <w:p w14:paraId="38B2135C">
      <w:pPr>
        <w:spacing w:line="14" w:lineRule="auto"/>
        <w:rPr>
          <w:rFonts w:ascii="Arial"/>
          <w:sz w:val="2"/>
        </w:rPr>
      </w:pPr>
      <w:r>
        <w:rPr>
          <w:rFonts w:ascii="Arial" w:hAnsi="Arial" w:eastAsia="Arial" w:cs="Arial"/>
          <w:sz w:val="2"/>
          <w:szCs w:val="2"/>
        </w:rPr>
        <w:br w:type="column"/>
      </w:r>
    </w:p>
    <w:p w14:paraId="22AC5C1F">
      <w:pPr>
        <w:spacing w:before="62" w:line="219" w:lineRule="auto"/>
        <w:ind w:left="352"/>
        <w:rPr>
          <w:rFonts w:ascii="黑体" w:hAnsi="黑体" w:eastAsia="黑体" w:cs="黑体"/>
          <w:sz w:val="28"/>
          <w:szCs w:val="28"/>
        </w:rPr>
      </w:pPr>
      <w:r>
        <w:rPr>
          <w:rFonts w:ascii="黑体" w:hAnsi="黑体" w:eastAsia="黑体" w:cs="黑体"/>
          <w:spacing w:val="-2"/>
          <w:sz w:val="28"/>
          <w:szCs w:val="28"/>
        </w:rPr>
        <w:t>第二十条</w:t>
      </w:r>
      <w:r>
        <w:rPr>
          <w:rFonts w:ascii="黑体" w:hAnsi="黑体" w:eastAsia="黑体" w:cs="黑体"/>
          <w:spacing w:val="80"/>
          <w:sz w:val="28"/>
          <w:szCs w:val="28"/>
        </w:rPr>
        <w:t xml:space="preserve"> </w:t>
      </w:r>
      <w:r>
        <w:rPr>
          <w:rFonts w:ascii="黑体" w:hAnsi="黑体" w:eastAsia="黑体" w:cs="黑体"/>
          <w:spacing w:val="-2"/>
          <w:sz w:val="28"/>
          <w:szCs w:val="28"/>
        </w:rPr>
        <w:t>工业用地规划</w:t>
      </w:r>
    </w:p>
    <w:p w14:paraId="2A30B86F">
      <w:pPr>
        <w:spacing w:line="309" w:lineRule="auto"/>
        <w:rPr>
          <w:rFonts w:ascii="Arial"/>
          <w:sz w:val="21"/>
        </w:rPr>
      </w:pPr>
    </w:p>
    <w:p w14:paraId="7721F596">
      <w:pPr>
        <w:pStyle w:val="2"/>
        <w:spacing w:before="78" w:line="377" w:lineRule="auto"/>
        <w:ind w:left="20" w:right="38" w:firstLine="461"/>
      </w:pPr>
      <w:r>
        <w:rPr>
          <w:spacing w:val="-1"/>
        </w:rPr>
        <w:t>规划工业用地为二类和三类工业用地，用地面积</w:t>
      </w:r>
      <w:r>
        <w:rPr>
          <w:spacing w:val="-32"/>
        </w:rPr>
        <w:t xml:space="preserve"> </w:t>
      </w:r>
      <w:r>
        <w:rPr>
          <w:rFonts w:ascii="Calibri" w:hAnsi="Calibri" w:eastAsia="Calibri" w:cs="Calibri"/>
          <w:spacing w:val="-1"/>
        </w:rPr>
        <w:t>1545.</w:t>
      </w:r>
      <w:r>
        <w:rPr>
          <w:rFonts w:ascii="Calibri" w:hAnsi="Calibri" w:eastAsia="Calibri" w:cs="Calibri"/>
          <w:spacing w:val="-2"/>
        </w:rPr>
        <w:t>77</w:t>
      </w:r>
      <w:r>
        <w:rPr>
          <w:rFonts w:ascii="Calibri" w:hAnsi="Calibri" w:eastAsia="Calibri" w:cs="Calibri"/>
          <w:spacing w:val="31"/>
        </w:rPr>
        <w:t xml:space="preserve"> </w:t>
      </w:r>
      <w:r>
        <w:rPr>
          <w:spacing w:val="-2"/>
        </w:rPr>
        <w:t>公顷，占产业开发区城市建设用地</w:t>
      </w:r>
      <w:r>
        <w:rPr>
          <w:spacing w:val="-3"/>
        </w:rPr>
        <w:t>的</w:t>
      </w:r>
      <w:r>
        <w:rPr>
          <w:spacing w:val="-49"/>
        </w:rPr>
        <w:t xml:space="preserve"> </w:t>
      </w:r>
      <w:r>
        <w:rPr>
          <w:rFonts w:ascii="Calibri" w:hAnsi="Calibri" w:eastAsia="Calibri" w:cs="Calibri"/>
          <w:spacing w:val="-3"/>
        </w:rPr>
        <w:t>74.33%</w:t>
      </w:r>
      <w:r>
        <w:rPr>
          <w:spacing w:val="-3"/>
        </w:rPr>
        <w:t>。其中安宁片区</w:t>
      </w:r>
      <w:r>
        <w:rPr>
          <w:spacing w:val="-48"/>
        </w:rPr>
        <w:t xml:space="preserve"> </w:t>
      </w:r>
      <w:r>
        <w:rPr>
          <w:rFonts w:ascii="Calibri" w:hAnsi="Calibri" w:eastAsia="Calibri" w:cs="Calibri"/>
          <w:spacing w:val="-3"/>
        </w:rPr>
        <w:t>784.93</w:t>
      </w:r>
      <w:r>
        <w:rPr>
          <w:rFonts w:ascii="Calibri" w:hAnsi="Calibri" w:eastAsia="Calibri" w:cs="Calibri"/>
          <w:spacing w:val="23"/>
          <w:w w:val="101"/>
        </w:rPr>
        <w:t xml:space="preserve"> </w:t>
      </w:r>
      <w:r>
        <w:rPr>
          <w:spacing w:val="-3"/>
        </w:rPr>
        <w:t>公顷，新九片区</w:t>
      </w:r>
      <w:r>
        <w:rPr>
          <w:spacing w:val="-49"/>
        </w:rPr>
        <w:t xml:space="preserve"> </w:t>
      </w:r>
      <w:r>
        <w:rPr>
          <w:rFonts w:ascii="Calibri" w:hAnsi="Calibri" w:eastAsia="Calibri" w:cs="Calibri"/>
          <w:spacing w:val="-3"/>
        </w:rPr>
        <w:t>760.8</w:t>
      </w:r>
      <w:r>
        <w:rPr>
          <w:rFonts w:ascii="Calibri" w:hAnsi="Calibri" w:eastAsia="Calibri" w:cs="Calibri"/>
          <w:spacing w:val="-4"/>
        </w:rPr>
        <w:t>4</w:t>
      </w:r>
      <w:r>
        <w:rPr>
          <w:rFonts w:ascii="Calibri" w:hAnsi="Calibri" w:eastAsia="Calibri" w:cs="Calibri"/>
          <w:spacing w:val="25"/>
        </w:rPr>
        <w:t xml:space="preserve"> </w:t>
      </w:r>
      <w:r>
        <w:rPr>
          <w:spacing w:val="-4"/>
        </w:rPr>
        <w:t>公顷。</w:t>
      </w:r>
    </w:p>
    <w:p w14:paraId="1CB22021">
      <w:pPr>
        <w:spacing w:before="186" w:line="219" w:lineRule="auto"/>
        <w:ind w:left="213"/>
        <w:rPr>
          <w:rFonts w:ascii="黑体" w:hAnsi="黑体" w:eastAsia="黑体" w:cs="黑体"/>
          <w:sz w:val="28"/>
          <w:szCs w:val="28"/>
        </w:rPr>
      </w:pPr>
      <w:r>
        <w:rPr>
          <w:rFonts w:ascii="黑体" w:hAnsi="黑体" w:eastAsia="黑体" w:cs="黑体"/>
          <w:spacing w:val="-2"/>
          <w:sz w:val="28"/>
          <w:szCs w:val="28"/>
        </w:rPr>
        <w:t>第二十一条</w:t>
      </w:r>
      <w:r>
        <w:rPr>
          <w:rFonts w:ascii="黑体" w:hAnsi="黑体" w:eastAsia="黑体" w:cs="黑体"/>
          <w:spacing w:val="28"/>
          <w:sz w:val="28"/>
          <w:szCs w:val="28"/>
        </w:rPr>
        <w:t xml:space="preserve">   </w:t>
      </w:r>
      <w:r>
        <w:rPr>
          <w:rFonts w:ascii="黑体" w:hAnsi="黑体" w:eastAsia="黑体" w:cs="黑体"/>
          <w:spacing w:val="-2"/>
          <w:sz w:val="28"/>
          <w:szCs w:val="28"/>
        </w:rPr>
        <w:t>物流仓储用地规划</w:t>
      </w:r>
    </w:p>
    <w:p w14:paraId="4BBA7DD9">
      <w:pPr>
        <w:spacing w:line="310" w:lineRule="auto"/>
        <w:rPr>
          <w:rFonts w:ascii="Arial"/>
          <w:sz w:val="21"/>
        </w:rPr>
      </w:pPr>
    </w:p>
    <w:p w14:paraId="5AEAF740">
      <w:pPr>
        <w:pStyle w:val="2"/>
        <w:spacing w:before="78" w:line="377" w:lineRule="auto"/>
        <w:ind w:right="26" w:firstLine="482"/>
        <w:jc w:val="both"/>
      </w:pPr>
      <w:r>
        <w:t>规划物流仓储用地面积</w:t>
      </w:r>
      <w:r>
        <w:rPr>
          <w:rFonts w:ascii="Calibri" w:hAnsi="Calibri" w:eastAsia="Calibri" w:cs="Calibri"/>
        </w:rPr>
        <w:t>58.68</w:t>
      </w:r>
      <w:r>
        <w:rPr>
          <w:rFonts w:ascii="Calibri" w:hAnsi="Calibri" w:eastAsia="Calibri" w:cs="Calibri"/>
          <w:spacing w:val="23"/>
          <w:w w:val="101"/>
        </w:rPr>
        <w:t xml:space="preserve"> </w:t>
      </w:r>
      <w:r>
        <w:t>公顷，在安宁片区新建两处物流园，分别位</w:t>
      </w:r>
      <w:r>
        <w:rPr>
          <w:spacing w:val="-1"/>
        </w:rPr>
        <w:t>于</w:t>
      </w:r>
      <w:r>
        <w:rPr>
          <w:spacing w:val="-50"/>
        </w:rPr>
        <w:t xml:space="preserve"> </w:t>
      </w:r>
      <w:r>
        <w:rPr>
          <w:rFonts w:ascii="Calibri" w:hAnsi="Calibri" w:eastAsia="Calibri" w:cs="Calibri"/>
          <w:spacing w:val="-1"/>
        </w:rPr>
        <w:t>G4216</w:t>
      </w:r>
      <w:r>
        <w:rPr>
          <w:rFonts w:ascii="Calibri" w:hAnsi="Calibri" w:eastAsia="Calibri" w:cs="Calibri"/>
          <w:spacing w:val="18"/>
        </w:rPr>
        <w:t xml:space="preserve"> </w:t>
      </w:r>
      <w:r>
        <w:rPr>
          <w:spacing w:val="-1"/>
        </w:rPr>
        <w:t>连接线与钒钛大道南北两处交叉口附近，面积分别为北侧</w:t>
      </w:r>
      <w:r>
        <w:rPr>
          <w:spacing w:val="-47"/>
        </w:rPr>
        <w:t xml:space="preserve"> </w:t>
      </w:r>
      <w:r>
        <w:rPr>
          <w:rFonts w:ascii="Calibri" w:hAnsi="Calibri" w:eastAsia="Calibri" w:cs="Calibri"/>
          <w:spacing w:val="-1"/>
        </w:rPr>
        <w:t>27.44</w:t>
      </w:r>
      <w:r>
        <w:rPr>
          <w:rFonts w:ascii="Calibri" w:hAnsi="Calibri" w:eastAsia="Calibri" w:cs="Calibri"/>
          <w:spacing w:val="24"/>
        </w:rPr>
        <w:t xml:space="preserve"> </w:t>
      </w:r>
      <w:r>
        <w:rPr>
          <w:spacing w:val="-1"/>
        </w:rPr>
        <w:t>公顷、南侧</w:t>
      </w:r>
      <w:r>
        <w:rPr>
          <w:rFonts w:ascii="Calibri" w:hAnsi="Calibri" w:eastAsia="Calibri" w:cs="Calibri"/>
          <w:spacing w:val="-1"/>
        </w:rPr>
        <w:t>8.72</w:t>
      </w:r>
      <w:r>
        <w:rPr>
          <w:rFonts w:ascii="Calibri" w:hAnsi="Calibri" w:eastAsia="Calibri" w:cs="Calibri"/>
          <w:spacing w:val="23"/>
        </w:rPr>
        <w:t xml:space="preserve"> </w:t>
      </w:r>
      <w:r>
        <w:rPr>
          <w:spacing w:val="-1"/>
        </w:rPr>
        <w:t>公顷；此外新九片区结合</w:t>
      </w:r>
      <w:r>
        <w:rPr>
          <w:spacing w:val="-2"/>
        </w:rPr>
        <w:t>规划新建铁路场站建设一处物流园，用地面</w:t>
      </w:r>
      <w:r>
        <w:rPr>
          <w:spacing w:val="-3"/>
        </w:rPr>
        <w:t>积为</w:t>
      </w:r>
      <w:r>
        <w:rPr>
          <w:spacing w:val="-34"/>
        </w:rPr>
        <w:t xml:space="preserve"> </w:t>
      </w:r>
      <w:r>
        <w:rPr>
          <w:rFonts w:ascii="Calibri" w:hAnsi="Calibri" w:eastAsia="Calibri" w:cs="Calibri"/>
          <w:spacing w:val="-3"/>
        </w:rPr>
        <w:t>22.52</w:t>
      </w:r>
      <w:r>
        <w:rPr>
          <w:rFonts w:ascii="Calibri" w:hAnsi="Calibri" w:eastAsia="Calibri" w:cs="Calibri"/>
          <w:spacing w:val="24"/>
          <w:w w:val="101"/>
        </w:rPr>
        <w:t xml:space="preserve"> </w:t>
      </w:r>
      <w:r>
        <w:rPr>
          <w:spacing w:val="-3"/>
        </w:rPr>
        <w:t>公顷。</w:t>
      </w:r>
    </w:p>
    <w:p w14:paraId="40B4AD96">
      <w:pPr>
        <w:spacing w:line="377" w:lineRule="auto"/>
        <w:sectPr>
          <w:type w:val="continuous"/>
          <w:pgSz w:w="23811" w:h="16839"/>
          <w:pgMar w:top="1274" w:right="1409" w:bottom="1613" w:left="1411" w:header="838" w:footer="1385" w:gutter="0"/>
          <w:cols w:equalWidth="0" w:num="2">
            <w:col w:w="10825" w:space="100"/>
            <w:col w:w="10066"/>
          </w:cols>
        </w:sectPr>
      </w:pPr>
    </w:p>
    <w:p w14:paraId="4C1D9DA2">
      <w:pPr>
        <w:spacing w:before="56"/>
      </w:pPr>
    </w:p>
    <w:p w14:paraId="08682568">
      <w:pPr>
        <w:spacing w:before="55"/>
      </w:pPr>
    </w:p>
    <w:p w14:paraId="598713A5">
      <w:pPr>
        <w:spacing w:before="55"/>
      </w:pPr>
    </w:p>
    <w:p w14:paraId="13661C8B">
      <w:pPr>
        <w:sectPr>
          <w:headerReference r:id="rId21" w:type="default"/>
          <w:footerReference r:id="rId22" w:type="default"/>
          <w:pgSz w:w="23811" w:h="16839"/>
          <w:pgMar w:top="1274" w:right="1350" w:bottom="1613" w:left="1411" w:header="838" w:footer="1386" w:gutter="0"/>
          <w:cols w:equalWidth="0" w:num="1">
            <w:col w:w="21049"/>
          </w:cols>
        </w:sectPr>
      </w:pPr>
    </w:p>
    <w:p w14:paraId="00506C4B">
      <w:pPr>
        <w:spacing w:before="64" w:line="224" w:lineRule="auto"/>
        <w:ind w:left="2993"/>
        <w:outlineLvl w:val="0"/>
        <w:rPr>
          <w:rFonts w:ascii="黑体" w:hAnsi="黑体" w:eastAsia="黑体" w:cs="黑体"/>
          <w:sz w:val="31"/>
          <w:szCs w:val="31"/>
        </w:rPr>
      </w:pPr>
      <w:bookmarkStart w:id="6" w:name="bookmark7"/>
      <w:bookmarkEnd w:id="6"/>
      <w:r>
        <w:rPr>
          <w:rFonts w:ascii="黑体" w:hAnsi="黑体" w:eastAsia="黑体" w:cs="黑体"/>
          <w:spacing w:val="7"/>
          <w:sz w:val="31"/>
          <w:szCs w:val="31"/>
        </w:rPr>
        <w:t>第七章</w:t>
      </w:r>
      <w:r>
        <w:rPr>
          <w:rFonts w:ascii="黑体" w:hAnsi="黑体" w:eastAsia="黑体" w:cs="黑体"/>
          <w:spacing w:val="6"/>
          <w:sz w:val="31"/>
          <w:szCs w:val="31"/>
        </w:rPr>
        <w:t xml:space="preserve">  </w:t>
      </w:r>
      <w:r>
        <w:rPr>
          <w:rFonts w:ascii="黑体" w:hAnsi="黑体" w:eastAsia="黑体" w:cs="黑体"/>
          <w:spacing w:val="7"/>
          <w:sz w:val="31"/>
          <w:szCs w:val="31"/>
        </w:rPr>
        <w:t>尾矿库及排土场规划</w:t>
      </w:r>
    </w:p>
    <w:p w14:paraId="5D03732A">
      <w:pPr>
        <w:spacing w:line="267" w:lineRule="auto"/>
        <w:rPr>
          <w:rFonts w:ascii="Arial"/>
          <w:sz w:val="21"/>
        </w:rPr>
      </w:pPr>
    </w:p>
    <w:p w14:paraId="031D99EC">
      <w:pPr>
        <w:spacing w:line="267" w:lineRule="auto"/>
        <w:rPr>
          <w:rFonts w:ascii="Arial"/>
          <w:sz w:val="21"/>
        </w:rPr>
      </w:pPr>
    </w:p>
    <w:p w14:paraId="5CA98CCC">
      <w:pPr>
        <w:spacing w:before="91" w:line="219" w:lineRule="auto"/>
        <w:ind w:left="250"/>
        <w:rPr>
          <w:rFonts w:ascii="黑体" w:hAnsi="黑体" w:eastAsia="黑体" w:cs="黑体"/>
          <w:sz w:val="28"/>
          <w:szCs w:val="28"/>
        </w:rPr>
      </w:pPr>
      <w:r>
        <w:rPr>
          <w:rFonts w:ascii="黑体" w:hAnsi="黑体" w:eastAsia="黑体" w:cs="黑体"/>
          <w:spacing w:val="-2"/>
          <w:sz w:val="28"/>
          <w:szCs w:val="28"/>
        </w:rPr>
        <w:t>第二十二条</w:t>
      </w:r>
      <w:r>
        <w:rPr>
          <w:rFonts w:ascii="黑体" w:hAnsi="黑体" w:eastAsia="黑体" w:cs="黑体"/>
          <w:spacing w:val="26"/>
          <w:sz w:val="28"/>
          <w:szCs w:val="28"/>
        </w:rPr>
        <w:t xml:space="preserve">   </w:t>
      </w:r>
      <w:r>
        <w:rPr>
          <w:rFonts w:ascii="黑体" w:hAnsi="黑体" w:eastAsia="黑体" w:cs="黑体"/>
          <w:spacing w:val="-2"/>
          <w:sz w:val="28"/>
          <w:szCs w:val="28"/>
        </w:rPr>
        <w:t>尾矿库规划</w:t>
      </w:r>
    </w:p>
    <w:p w14:paraId="3D443827">
      <w:pPr>
        <w:spacing w:line="305" w:lineRule="auto"/>
        <w:rPr>
          <w:rFonts w:ascii="Arial"/>
          <w:sz w:val="21"/>
        </w:rPr>
      </w:pPr>
    </w:p>
    <w:p w14:paraId="618398A1">
      <w:pPr>
        <w:pStyle w:val="2"/>
        <w:spacing w:before="78" w:line="220" w:lineRule="auto"/>
        <w:ind w:left="518"/>
      </w:pPr>
      <w:r>
        <w:rPr>
          <w:spacing w:val="-1"/>
        </w:rPr>
        <w:t>尾矿库主要位于规划区外围。</w:t>
      </w:r>
    </w:p>
    <w:p w14:paraId="74BEC04B">
      <w:pPr>
        <w:spacing w:line="303" w:lineRule="auto"/>
        <w:rPr>
          <w:rFonts w:ascii="Arial"/>
          <w:sz w:val="21"/>
        </w:rPr>
      </w:pPr>
    </w:p>
    <w:p w14:paraId="7100BF3C">
      <w:pPr>
        <w:spacing w:before="91" w:line="219" w:lineRule="auto"/>
        <w:ind w:left="250"/>
        <w:rPr>
          <w:rFonts w:ascii="黑体" w:hAnsi="黑体" w:eastAsia="黑体" w:cs="黑体"/>
          <w:sz w:val="28"/>
          <w:szCs w:val="28"/>
        </w:rPr>
      </w:pPr>
      <w:r>
        <w:rPr>
          <w:rFonts w:ascii="黑体" w:hAnsi="黑体" w:eastAsia="黑体" w:cs="黑体"/>
          <w:spacing w:val="-2"/>
          <w:sz w:val="28"/>
          <w:szCs w:val="28"/>
        </w:rPr>
        <w:t>第二十三条</w:t>
      </w:r>
      <w:r>
        <w:rPr>
          <w:rFonts w:ascii="黑体" w:hAnsi="黑体" w:eastAsia="黑体" w:cs="黑体"/>
          <w:spacing w:val="26"/>
          <w:sz w:val="28"/>
          <w:szCs w:val="28"/>
        </w:rPr>
        <w:t xml:space="preserve">   </w:t>
      </w:r>
      <w:r>
        <w:rPr>
          <w:rFonts w:ascii="黑体" w:hAnsi="黑体" w:eastAsia="黑体" w:cs="黑体"/>
          <w:spacing w:val="-2"/>
          <w:sz w:val="28"/>
          <w:szCs w:val="28"/>
        </w:rPr>
        <w:t>排土场规划</w:t>
      </w:r>
    </w:p>
    <w:p w14:paraId="2610E3B9">
      <w:pPr>
        <w:spacing w:line="309" w:lineRule="auto"/>
        <w:rPr>
          <w:rFonts w:ascii="Arial"/>
          <w:sz w:val="21"/>
        </w:rPr>
      </w:pPr>
    </w:p>
    <w:p w14:paraId="388E32FD">
      <w:pPr>
        <w:pStyle w:val="2"/>
        <w:spacing w:before="78" w:line="377" w:lineRule="auto"/>
        <w:ind w:left="37" w:right="749" w:firstLine="480"/>
        <w:jc w:val="both"/>
      </w:pPr>
      <w:r>
        <w:rPr>
          <w:spacing w:val="-2"/>
        </w:rPr>
        <w:t>在安宁片区规划</w:t>
      </w:r>
      <w:r>
        <w:rPr>
          <w:spacing w:val="-42"/>
        </w:rPr>
        <w:t xml:space="preserve"> </w:t>
      </w:r>
      <w:r>
        <w:rPr>
          <w:rFonts w:ascii="Calibri" w:hAnsi="Calibri" w:eastAsia="Calibri" w:cs="Calibri"/>
          <w:spacing w:val="-2"/>
        </w:rPr>
        <w:t>2</w:t>
      </w:r>
      <w:r>
        <w:rPr>
          <w:rFonts w:ascii="Calibri" w:hAnsi="Calibri" w:eastAsia="Calibri" w:cs="Calibri"/>
          <w:spacing w:val="21"/>
        </w:rPr>
        <w:t xml:space="preserve"> </w:t>
      </w:r>
      <w:r>
        <w:rPr>
          <w:spacing w:val="-2"/>
        </w:rPr>
        <w:t>处综合渣场及排土场，分别位于安宁片区中部和北部沟谷内，其中中部综</w:t>
      </w:r>
      <w:r>
        <w:rPr>
          <w:spacing w:val="-7"/>
        </w:rPr>
        <w:t>合渣场及排土场东、南、北侧地势较高，</w:t>
      </w:r>
      <w:r>
        <w:rPr>
          <w:spacing w:val="49"/>
        </w:rPr>
        <w:t xml:space="preserve"> </w:t>
      </w:r>
      <w:r>
        <w:rPr>
          <w:spacing w:val="-7"/>
        </w:rPr>
        <w:t>谷口朝西，规划用地面积约</w:t>
      </w:r>
      <w:r>
        <w:rPr>
          <w:spacing w:val="-38"/>
        </w:rPr>
        <w:t xml:space="preserve"> </w:t>
      </w:r>
      <w:r>
        <w:rPr>
          <w:rFonts w:ascii="Calibri" w:hAnsi="Calibri" w:eastAsia="Calibri" w:cs="Calibri"/>
          <w:spacing w:val="-7"/>
        </w:rPr>
        <w:t>1.06</w:t>
      </w:r>
      <w:r>
        <w:rPr>
          <w:rFonts w:ascii="Calibri" w:hAnsi="Calibri" w:eastAsia="Calibri" w:cs="Calibri"/>
          <w:spacing w:val="15"/>
        </w:rPr>
        <w:t xml:space="preserve"> </w:t>
      </w:r>
      <w:r>
        <w:rPr>
          <w:spacing w:val="-7"/>
        </w:rPr>
        <w:t>平方公里；北部综合渣</w:t>
      </w:r>
      <w:r>
        <w:rPr>
          <w:spacing w:val="-2"/>
        </w:rPr>
        <w:t>场及排土场（已建固废处理场）用地面积约</w:t>
      </w:r>
      <w:r>
        <w:rPr>
          <w:spacing w:val="-47"/>
        </w:rPr>
        <w:t xml:space="preserve"> </w:t>
      </w:r>
      <w:r>
        <w:rPr>
          <w:rFonts w:ascii="Calibri" w:hAnsi="Calibri" w:eastAsia="Calibri" w:cs="Calibri"/>
          <w:spacing w:val="-2"/>
        </w:rPr>
        <w:t>0.23</w:t>
      </w:r>
      <w:r>
        <w:rPr>
          <w:rFonts w:ascii="Calibri" w:hAnsi="Calibri" w:eastAsia="Calibri" w:cs="Calibri"/>
          <w:spacing w:val="16"/>
        </w:rPr>
        <w:t xml:space="preserve"> </w:t>
      </w:r>
      <w:r>
        <w:rPr>
          <w:spacing w:val="-2"/>
        </w:rPr>
        <w:t>平方公里。</w:t>
      </w:r>
    </w:p>
    <w:p w14:paraId="2B6BE039">
      <w:pPr>
        <w:spacing w:line="14" w:lineRule="auto"/>
        <w:rPr>
          <w:rFonts w:ascii="Arial"/>
          <w:sz w:val="2"/>
        </w:rPr>
      </w:pPr>
      <w:r>
        <w:rPr>
          <w:rFonts w:ascii="Arial" w:hAnsi="Arial" w:eastAsia="Arial" w:cs="Arial"/>
          <w:sz w:val="2"/>
          <w:szCs w:val="2"/>
        </w:rPr>
        <w:br w:type="column"/>
      </w:r>
    </w:p>
    <w:p w14:paraId="6181C450">
      <w:pPr>
        <w:spacing w:before="61" w:line="224" w:lineRule="auto"/>
        <w:ind w:left="3116"/>
        <w:outlineLvl w:val="0"/>
        <w:rPr>
          <w:rFonts w:ascii="黑体" w:hAnsi="黑体" w:eastAsia="黑体" w:cs="黑体"/>
          <w:sz w:val="31"/>
          <w:szCs w:val="31"/>
        </w:rPr>
      </w:pPr>
      <w:bookmarkStart w:id="7" w:name="bookmark8"/>
      <w:bookmarkEnd w:id="7"/>
      <w:r>
        <w:rPr>
          <w:rFonts w:ascii="黑体" w:hAnsi="黑体" w:eastAsia="黑体" w:cs="黑体"/>
          <w:spacing w:val="7"/>
          <w:sz w:val="31"/>
          <w:szCs w:val="31"/>
        </w:rPr>
        <w:t>第八章</w:t>
      </w:r>
      <w:r>
        <w:rPr>
          <w:rFonts w:ascii="黑体" w:hAnsi="黑体" w:eastAsia="黑体" w:cs="黑体"/>
          <w:spacing w:val="3"/>
          <w:sz w:val="31"/>
          <w:szCs w:val="31"/>
        </w:rPr>
        <w:t xml:space="preserve">  </w:t>
      </w:r>
      <w:r>
        <w:rPr>
          <w:rFonts w:ascii="黑体" w:hAnsi="黑体" w:eastAsia="黑体" w:cs="黑体"/>
          <w:spacing w:val="7"/>
          <w:sz w:val="31"/>
          <w:szCs w:val="31"/>
        </w:rPr>
        <w:t>公共服务设施规划</w:t>
      </w:r>
    </w:p>
    <w:p w14:paraId="335A33AE">
      <w:pPr>
        <w:spacing w:line="243" w:lineRule="auto"/>
        <w:rPr>
          <w:rFonts w:ascii="Arial"/>
          <w:sz w:val="21"/>
        </w:rPr>
      </w:pPr>
    </w:p>
    <w:p w14:paraId="39385C76">
      <w:pPr>
        <w:spacing w:line="243" w:lineRule="auto"/>
        <w:rPr>
          <w:rFonts w:ascii="Arial"/>
          <w:sz w:val="21"/>
        </w:rPr>
      </w:pPr>
    </w:p>
    <w:p w14:paraId="4FFE3F12">
      <w:pPr>
        <w:pStyle w:val="2"/>
        <w:spacing w:before="78" w:line="376" w:lineRule="auto"/>
        <w:ind w:firstLine="481"/>
      </w:pPr>
      <w:r>
        <w:rPr>
          <w:spacing w:val="1"/>
        </w:rPr>
        <w:t>规划在新九片区和安宁片区内各建一处综合服务中心。集中布局园区管委会、电信邮政所、</w:t>
      </w:r>
      <w:r>
        <w:rPr>
          <w:spacing w:val="-2"/>
        </w:rPr>
        <w:t>加油站、配套商业金融服务等公共服务设施。</w:t>
      </w:r>
    </w:p>
    <w:p w14:paraId="49F578CC">
      <w:pPr>
        <w:pStyle w:val="2"/>
        <w:spacing w:line="219" w:lineRule="auto"/>
        <w:ind w:left="483"/>
      </w:pPr>
      <w:r>
        <w:rPr>
          <w:b/>
          <w:bCs/>
          <w:spacing w:val="-2"/>
          <w:u w:val="single" w:color="auto"/>
        </w:rPr>
        <w:t>规划各类公共服务设施及其他重要设施如下表所</w:t>
      </w:r>
      <w:r>
        <w:rPr>
          <w:b/>
          <w:bCs/>
          <w:spacing w:val="-3"/>
          <w:u w:val="single" w:color="auto"/>
        </w:rPr>
        <w:t>示：</w:t>
      </w:r>
    </w:p>
    <w:p w14:paraId="7C085B23">
      <w:pPr>
        <w:spacing w:before="272" w:line="207" w:lineRule="auto"/>
        <w:ind w:left="2782"/>
        <w:rPr>
          <w:rFonts w:ascii="华文细黑" w:hAnsi="华文细黑" w:eastAsia="华文细黑" w:cs="华文细黑"/>
          <w:sz w:val="21"/>
          <w:szCs w:val="21"/>
        </w:rPr>
      </w:pPr>
      <w:r>
        <w:rPr>
          <w:rFonts w:ascii="华文细黑" w:hAnsi="华文细黑" w:eastAsia="华文细黑" w:cs="华文细黑"/>
          <w:b/>
          <w:bCs/>
          <w:spacing w:val="-3"/>
          <w:sz w:val="21"/>
          <w:szCs w:val="21"/>
          <w:u w:val="single" w:color="auto"/>
        </w:rPr>
        <w:t>表格</w:t>
      </w:r>
      <w:r>
        <w:rPr>
          <w:rFonts w:ascii="华文细黑" w:hAnsi="华文细黑" w:eastAsia="华文细黑" w:cs="华文细黑"/>
          <w:spacing w:val="19"/>
          <w:sz w:val="21"/>
          <w:szCs w:val="21"/>
          <w:u w:val="single" w:color="auto"/>
        </w:rPr>
        <w:t xml:space="preserve"> </w:t>
      </w:r>
      <w:r>
        <w:rPr>
          <w:rFonts w:ascii="华文细黑" w:hAnsi="华文细黑" w:eastAsia="华文细黑" w:cs="华文细黑"/>
          <w:b/>
          <w:bCs/>
          <w:spacing w:val="-3"/>
          <w:sz w:val="21"/>
          <w:szCs w:val="21"/>
          <w:u w:val="single" w:color="auto"/>
        </w:rPr>
        <w:t>6</w:t>
      </w:r>
      <w:r>
        <w:rPr>
          <w:rFonts w:ascii="华文细黑" w:hAnsi="华文细黑" w:eastAsia="华文细黑" w:cs="华文细黑"/>
          <w:spacing w:val="-3"/>
          <w:sz w:val="21"/>
          <w:szCs w:val="21"/>
          <w:u w:val="single" w:color="auto"/>
        </w:rPr>
        <w:t xml:space="preserve">  </w:t>
      </w:r>
      <w:r>
        <w:rPr>
          <w:rFonts w:ascii="华文细黑" w:hAnsi="华文细黑" w:eastAsia="华文细黑" w:cs="华文细黑"/>
          <w:b/>
          <w:bCs/>
          <w:spacing w:val="-3"/>
          <w:sz w:val="21"/>
          <w:szCs w:val="21"/>
          <w:u w:val="single" w:color="auto"/>
        </w:rPr>
        <w:t>盐边钒钛产业开发区重要设施规划一览表</w:t>
      </w:r>
    </w:p>
    <w:p w14:paraId="24D12C92">
      <w:pPr>
        <w:spacing w:line="84" w:lineRule="exact"/>
      </w:pPr>
    </w:p>
    <w:tbl>
      <w:tblPr>
        <w:tblStyle w:val="5"/>
        <w:tblW w:w="9576" w:type="dxa"/>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1678"/>
        <w:gridCol w:w="1165"/>
        <w:gridCol w:w="1333"/>
        <w:gridCol w:w="1144"/>
        <w:gridCol w:w="1491"/>
        <w:gridCol w:w="2225"/>
      </w:tblGrid>
      <w:tr w14:paraId="4900D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40" w:type="dxa"/>
            <w:vMerge w:val="restart"/>
            <w:tcBorders>
              <w:bottom w:val="nil"/>
            </w:tcBorders>
            <w:vAlign w:val="top"/>
          </w:tcPr>
          <w:p w14:paraId="7BA8BAC9">
            <w:pPr>
              <w:spacing w:line="293" w:lineRule="auto"/>
              <w:rPr>
                <w:rFonts w:ascii="Arial"/>
                <w:sz w:val="21"/>
              </w:rPr>
            </w:pPr>
          </w:p>
          <w:p w14:paraId="4156E29C">
            <w:pPr>
              <w:pStyle w:val="6"/>
              <w:spacing w:before="73" w:line="209" w:lineRule="auto"/>
              <w:ind w:left="58"/>
            </w:pPr>
            <w:r>
              <w:rPr>
                <w:spacing w:val="-2"/>
              </w:rPr>
              <w:t>序号</w:t>
            </w:r>
          </w:p>
        </w:tc>
        <w:tc>
          <w:tcPr>
            <w:tcW w:w="1678" w:type="dxa"/>
            <w:vMerge w:val="restart"/>
            <w:tcBorders>
              <w:bottom w:val="nil"/>
            </w:tcBorders>
            <w:vAlign w:val="top"/>
          </w:tcPr>
          <w:p w14:paraId="693DA208">
            <w:pPr>
              <w:spacing w:line="293" w:lineRule="auto"/>
              <w:rPr>
                <w:rFonts w:ascii="Arial"/>
                <w:sz w:val="21"/>
              </w:rPr>
            </w:pPr>
          </w:p>
          <w:p w14:paraId="788AF8B1">
            <w:pPr>
              <w:pStyle w:val="6"/>
              <w:spacing w:before="73" w:line="208" w:lineRule="auto"/>
              <w:ind w:left="627"/>
            </w:pPr>
            <w:r>
              <w:rPr>
                <w:spacing w:val="-2"/>
              </w:rPr>
              <w:t>名称</w:t>
            </w:r>
          </w:p>
        </w:tc>
        <w:tc>
          <w:tcPr>
            <w:tcW w:w="2498" w:type="dxa"/>
            <w:gridSpan w:val="2"/>
            <w:vAlign w:val="top"/>
          </w:tcPr>
          <w:p w14:paraId="3CF52A2A">
            <w:pPr>
              <w:pStyle w:val="6"/>
              <w:spacing w:before="133" w:line="208" w:lineRule="auto"/>
              <w:ind w:left="841"/>
            </w:pPr>
            <w:r>
              <w:rPr>
                <w:spacing w:val="-5"/>
              </w:rPr>
              <w:t>安宁片区</w:t>
            </w:r>
          </w:p>
        </w:tc>
        <w:tc>
          <w:tcPr>
            <w:tcW w:w="2635" w:type="dxa"/>
            <w:gridSpan w:val="2"/>
            <w:vAlign w:val="top"/>
          </w:tcPr>
          <w:p w14:paraId="04387D3A">
            <w:pPr>
              <w:pStyle w:val="6"/>
              <w:spacing w:before="133" w:line="207" w:lineRule="auto"/>
              <w:ind w:left="903"/>
            </w:pPr>
            <w:r>
              <w:rPr>
                <w:spacing w:val="-3"/>
              </w:rPr>
              <w:t>新九片区</w:t>
            </w:r>
          </w:p>
        </w:tc>
        <w:tc>
          <w:tcPr>
            <w:tcW w:w="2225" w:type="dxa"/>
            <w:vMerge w:val="restart"/>
            <w:tcBorders>
              <w:bottom w:val="nil"/>
            </w:tcBorders>
            <w:vAlign w:val="top"/>
          </w:tcPr>
          <w:p w14:paraId="140C305B">
            <w:pPr>
              <w:spacing w:line="293" w:lineRule="auto"/>
              <w:rPr>
                <w:rFonts w:ascii="Arial"/>
                <w:sz w:val="21"/>
              </w:rPr>
            </w:pPr>
          </w:p>
          <w:p w14:paraId="7C2068EF">
            <w:pPr>
              <w:pStyle w:val="6"/>
              <w:spacing w:before="73" w:line="209" w:lineRule="auto"/>
              <w:ind w:left="907"/>
            </w:pPr>
            <w:r>
              <w:rPr>
                <w:spacing w:val="-2"/>
              </w:rPr>
              <w:t>备注</w:t>
            </w:r>
          </w:p>
        </w:tc>
      </w:tr>
      <w:tr w14:paraId="3D8AB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40" w:type="dxa"/>
            <w:vMerge w:val="continue"/>
            <w:tcBorders>
              <w:top w:val="nil"/>
            </w:tcBorders>
            <w:vAlign w:val="top"/>
          </w:tcPr>
          <w:p w14:paraId="79B30202">
            <w:pPr>
              <w:rPr>
                <w:rFonts w:ascii="Arial"/>
                <w:sz w:val="21"/>
              </w:rPr>
            </w:pPr>
          </w:p>
        </w:tc>
        <w:tc>
          <w:tcPr>
            <w:tcW w:w="1678" w:type="dxa"/>
            <w:vMerge w:val="continue"/>
            <w:tcBorders>
              <w:top w:val="nil"/>
            </w:tcBorders>
            <w:vAlign w:val="top"/>
          </w:tcPr>
          <w:p w14:paraId="67BC9C41">
            <w:pPr>
              <w:rPr>
                <w:rFonts w:ascii="Arial"/>
                <w:sz w:val="21"/>
              </w:rPr>
            </w:pPr>
          </w:p>
        </w:tc>
        <w:tc>
          <w:tcPr>
            <w:tcW w:w="1165" w:type="dxa"/>
            <w:vAlign w:val="top"/>
          </w:tcPr>
          <w:p w14:paraId="79BF2A7B">
            <w:pPr>
              <w:pStyle w:val="6"/>
              <w:spacing w:before="126" w:line="207" w:lineRule="auto"/>
              <w:ind w:left="60"/>
            </w:pPr>
            <w:r>
              <w:rPr>
                <w:spacing w:val="-7"/>
              </w:rPr>
              <w:t>个数（个）</w:t>
            </w:r>
          </w:p>
        </w:tc>
        <w:tc>
          <w:tcPr>
            <w:tcW w:w="1333" w:type="dxa"/>
            <w:vAlign w:val="top"/>
          </w:tcPr>
          <w:p w14:paraId="05852DF5">
            <w:pPr>
              <w:pStyle w:val="6"/>
              <w:spacing w:before="125" w:line="207" w:lineRule="auto"/>
              <w:ind w:left="35"/>
            </w:pPr>
            <w:r>
              <w:rPr>
                <w:spacing w:val="-1"/>
              </w:rPr>
              <w:t>规模（公顷）</w:t>
            </w:r>
          </w:p>
        </w:tc>
        <w:tc>
          <w:tcPr>
            <w:tcW w:w="1144" w:type="dxa"/>
            <w:vAlign w:val="top"/>
          </w:tcPr>
          <w:p w14:paraId="3C514D5D">
            <w:pPr>
              <w:pStyle w:val="6"/>
              <w:spacing w:before="126" w:line="207" w:lineRule="auto"/>
              <w:ind w:left="51"/>
            </w:pPr>
            <w:r>
              <w:rPr>
                <w:spacing w:val="-7"/>
              </w:rPr>
              <w:t>个数（个）</w:t>
            </w:r>
          </w:p>
        </w:tc>
        <w:tc>
          <w:tcPr>
            <w:tcW w:w="1491" w:type="dxa"/>
            <w:vAlign w:val="top"/>
          </w:tcPr>
          <w:p w14:paraId="6A64FE31">
            <w:pPr>
              <w:pStyle w:val="6"/>
              <w:spacing w:before="125" w:line="207" w:lineRule="auto"/>
              <w:ind w:left="119"/>
            </w:pPr>
            <w:r>
              <w:rPr>
                <w:spacing w:val="-1"/>
              </w:rPr>
              <w:t>规模（公顷）</w:t>
            </w:r>
          </w:p>
        </w:tc>
        <w:tc>
          <w:tcPr>
            <w:tcW w:w="2225" w:type="dxa"/>
            <w:vMerge w:val="continue"/>
            <w:tcBorders>
              <w:top w:val="nil"/>
            </w:tcBorders>
            <w:vAlign w:val="top"/>
          </w:tcPr>
          <w:p w14:paraId="2A430EEC">
            <w:pPr>
              <w:rPr>
                <w:rFonts w:ascii="Arial"/>
                <w:sz w:val="21"/>
              </w:rPr>
            </w:pPr>
          </w:p>
        </w:tc>
      </w:tr>
      <w:tr w14:paraId="14638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540" w:type="dxa"/>
            <w:vAlign w:val="top"/>
          </w:tcPr>
          <w:p w14:paraId="49DB02C8">
            <w:pPr>
              <w:spacing w:line="312" w:lineRule="auto"/>
              <w:rPr>
                <w:rFonts w:ascii="Arial"/>
                <w:sz w:val="21"/>
              </w:rPr>
            </w:pPr>
          </w:p>
          <w:p w14:paraId="149FAF04">
            <w:pPr>
              <w:pStyle w:val="6"/>
              <w:spacing w:before="74" w:line="235" w:lineRule="auto"/>
              <w:ind w:left="236"/>
            </w:pPr>
            <w:r>
              <w:t>1</w:t>
            </w:r>
          </w:p>
        </w:tc>
        <w:tc>
          <w:tcPr>
            <w:tcW w:w="1678" w:type="dxa"/>
            <w:vAlign w:val="top"/>
          </w:tcPr>
          <w:p w14:paraId="0A84B0EC">
            <w:pPr>
              <w:pStyle w:val="6"/>
              <w:spacing w:before="224" w:line="269" w:lineRule="auto"/>
              <w:ind w:left="647" w:right="55" w:hanging="588"/>
            </w:pPr>
            <w:r>
              <w:rPr>
                <w:spacing w:val="-2"/>
              </w:rPr>
              <w:t>管委会/综合服务</w:t>
            </w:r>
            <w:r>
              <w:rPr>
                <w:spacing w:val="-7"/>
              </w:rPr>
              <w:t>中心</w:t>
            </w:r>
          </w:p>
        </w:tc>
        <w:tc>
          <w:tcPr>
            <w:tcW w:w="1165" w:type="dxa"/>
            <w:vAlign w:val="top"/>
          </w:tcPr>
          <w:p w14:paraId="63BF6415">
            <w:pPr>
              <w:rPr>
                <w:rFonts w:ascii="Arial"/>
                <w:sz w:val="21"/>
              </w:rPr>
            </w:pPr>
          </w:p>
        </w:tc>
        <w:tc>
          <w:tcPr>
            <w:tcW w:w="1333" w:type="dxa"/>
            <w:vAlign w:val="top"/>
          </w:tcPr>
          <w:p w14:paraId="307E84BD">
            <w:pPr>
              <w:rPr>
                <w:rFonts w:ascii="Arial"/>
                <w:sz w:val="21"/>
              </w:rPr>
            </w:pPr>
          </w:p>
        </w:tc>
        <w:tc>
          <w:tcPr>
            <w:tcW w:w="1144" w:type="dxa"/>
            <w:vAlign w:val="top"/>
          </w:tcPr>
          <w:p w14:paraId="78B57A7B">
            <w:pPr>
              <w:spacing w:line="312" w:lineRule="auto"/>
              <w:rPr>
                <w:rFonts w:ascii="Arial"/>
                <w:sz w:val="21"/>
              </w:rPr>
            </w:pPr>
          </w:p>
          <w:p w14:paraId="5156086F">
            <w:pPr>
              <w:pStyle w:val="6"/>
              <w:spacing w:before="74" w:line="235" w:lineRule="auto"/>
              <w:ind w:left="515"/>
            </w:pPr>
            <w:r>
              <w:t>2</w:t>
            </w:r>
          </w:p>
        </w:tc>
        <w:tc>
          <w:tcPr>
            <w:tcW w:w="1491" w:type="dxa"/>
            <w:vAlign w:val="top"/>
          </w:tcPr>
          <w:p w14:paraId="21446E12">
            <w:pPr>
              <w:spacing w:line="312" w:lineRule="auto"/>
              <w:rPr>
                <w:rFonts w:ascii="Arial"/>
                <w:sz w:val="21"/>
              </w:rPr>
            </w:pPr>
          </w:p>
          <w:p w14:paraId="66BD170D">
            <w:pPr>
              <w:pStyle w:val="6"/>
              <w:spacing w:before="74" w:line="232" w:lineRule="auto"/>
              <w:ind w:left="566"/>
            </w:pPr>
            <w:r>
              <w:rPr>
                <w:spacing w:val="-5"/>
              </w:rPr>
              <w:t>1.31</w:t>
            </w:r>
          </w:p>
        </w:tc>
        <w:tc>
          <w:tcPr>
            <w:tcW w:w="2225" w:type="dxa"/>
            <w:vAlign w:val="top"/>
          </w:tcPr>
          <w:p w14:paraId="5768CCE3">
            <w:pPr>
              <w:pStyle w:val="6"/>
              <w:spacing w:before="60" w:line="207" w:lineRule="auto"/>
              <w:ind w:left="167"/>
            </w:pPr>
            <w:r>
              <w:rPr>
                <w:spacing w:val="-1"/>
              </w:rPr>
              <w:t>远期保留现状新九镇</w:t>
            </w:r>
          </w:p>
          <w:p w14:paraId="64883A3B">
            <w:pPr>
              <w:pStyle w:val="6"/>
              <w:spacing w:before="72" w:line="206" w:lineRule="auto"/>
              <w:ind w:left="167"/>
            </w:pPr>
            <w:r>
              <w:rPr>
                <w:spacing w:val="-1"/>
              </w:rPr>
              <w:t>政府用地</w:t>
            </w:r>
            <w:r>
              <w:rPr>
                <w:rFonts w:hint="eastAsia"/>
                <w:spacing w:val="-1"/>
                <w:lang w:eastAsia="zh-CN"/>
              </w:rPr>
              <w:t>作为</w:t>
            </w:r>
            <w:r>
              <w:rPr>
                <w:spacing w:val="-1"/>
              </w:rPr>
              <w:t>综合</w:t>
            </w:r>
            <w:r>
              <w:rPr>
                <w:rFonts w:hint="eastAsia"/>
                <w:spacing w:val="-1"/>
                <w:lang w:eastAsia="zh-CN"/>
              </w:rPr>
              <w:t>服务</w:t>
            </w:r>
          </w:p>
          <w:p w14:paraId="1D16E200">
            <w:pPr>
              <w:pStyle w:val="6"/>
              <w:spacing w:before="72" w:line="207" w:lineRule="auto"/>
              <w:ind w:left="801"/>
            </w:pPr>
            <w:r>
              <w:rPr>
                <w:spacing w:val="-2"/>
              </w:rPr>
              <w:t>务中心</w:t>
            </w:r>
          </w:p>
        </w:tc>
      </w:tr>
      <w:tr w14:paraId="6F339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40" w:type="dxa"/>
            <w:vAlign w:val="top"/>
          </w:tcPr>
          <w:p w14:paraId="4FAE3EAE">
            <w:pPr>
              <w:spacing w:line="476" w:lineRule="auto"/>
              <w:rPr>
                <w:rFonts w:ascii="Arial"/>
                <w:sz w:val="21"/>
              </w:rPr>
            </w:pPr>
          </w:p>
          <w:p w14:paraId="37847CD7">
            <w:pPr>
              <w:pStyle w:val="6"/>
              <w:spacing w:before="73" w:line="235" w:lineRule="auto"/>
              <w:ind w:left="212"/>
            </w:pPr>
            <w:r>
              <w:t>2</w:t>
            </w:r>
          </w:p>
        </w:tc>
        <w:tc>
          <w:tcPr>
            <w:tcW w:w="1678" w:type="dxa"/>
            <w:vAlign w:val="top"/>
          </w:tcPr>
          <w:p w14:paraId="72462195">
            <w:pPr>
              <w:spacing w:line="476" w:lineRule="auto"/>
              <w:rPr>
                <w:rFonts w:ascii="Arial"/>
                <w:sz w:val="21"/>
              </w:rPr>
            </w:pPr>
          </w:p>
          <w:p w14:paraId="5A9AB3D7">
            <w:pPr>
              <w:pStyle w:val="6"/>
              <w:spacing w:before="74" w:line="207" w:lineRule="auto"/>
              <w:ind w:left="647"/>
            </w:pPr>
            <w:r>
              <w:rPr>
                <w:spacing w:val="-7"/>
              </w:rPr>
              <w:t>医院</w:t>
            </w:r>
          </w:p>
        </w:tc>
        <w:tc>
          <w:tcPr>
            <w:tcW w:w="1165" w:type="dxa"/>
            <w:vAlign w:val="top"/>
          </w:tcPr>
          <w:p w14:paraId="7B0B8D63">
            <w:pPr>
              <w:spacing w:line="285" w:lineRule="auto"/>
              <w:rPr>
                <w:rFonts w:ascii="Arial"/>
                <w:sz w:val="21"/>
              </w:rPr>
            </w:pPr>
          </w:p>
          <w:p w14:paraId="7BCDBC0F">
            <w:pPr>
              <w:spacing w:line="286" w:lineRule="auto"/>
              <w:rPr>
                <w:rFonts w:ascii="Arial"/>
                <w:sz w:val="21"/>
              </w:rPr>
            </w:pPr>
          </w:p>
          <w:p w14:paraId="177727D6">
            <w:pPr>
              <w:pStyle w:val="6"/>
              <w:spacing w:before="74" w:line="150" w:lineRule="exact"/>
              <w:ind w:left="364"/>
            </w:pPr>
            <w:r>
              <w:rPr>
                <w:spacing w:val="1"/>
                <w:position w:val="-2"/>
              </w:rPr>
              <w:t>——</w:t>
            </w:r>
          </w:p>
        </w:tc>
        <w:tc>
          <w:tcPr>
            <w:tcW w:w="1333" w:type="dxa"/>
            <w:vAlign w:val="top"/>
          </w:tcPr>
          <w:p w14:paraId="447535B3">
            <w:pPr>
              <w:spacing w:line="285" w:lineRule="auto"/>
              <w:rPr>
                <w:rFonts w:ascii="Arial"/>
                <w:sz w:val="21"/>
              </w:rPr>
            </w:pPr>
          </w:p>
          <w:p w14:paraId="66FFC448">
            <w:pPr>
              <w:spacing w:line="286" w:lineRule="auto"/>
              <w:rPr>
                <w:rFonts w:ascii="Arial"/>
                <w:sz w:val="21"/>
              </w:rPr>
            </w:pPr>
          </w:p>
          <w:p w14:paraId="3E3C5C7E">
            <w:pPr>
              <w:pStyle w:val="6"/>
              <w:spacing w:before="74" w:line="150" w:lineRule="exact"/>
              <w:ind w:left="447"/>
            </w:pPr>
            <w:r>
              <w:rPr>
                <w:spacing w:val="1"/>
                <w:position w:val="-2"/>
              </w:rPr>
              <w:t>——</w:t>
            </w:r>
          </w:p>
        </w:tc>
        <w:tc>
          <w:tcPr>
            <w:tcW w:w="1144" w:type="dxa"/>
            <w:vAlign w:val="top"/>
          </w:tcPr>
          <w:p w14:paraId="06BBD7F6">
            <w:pPr>
              <w:spacing w:line="476" w:lineRule="auto"/>
              <w:rPr>
                <w:rFonts w:ascii="Arial"/>
                <w:sz w:val="21"/>
              </w:rPr>
            </w:pPr>
          </w:p>
          <w:p w14:paraId="3AC11364">
            <w:pPr>
              <w:pStyle w:val="6"/>
              <w:spacing w:before="73" w:line="235" w:lineRule="auto"/>
              <w:ind w:left="538"/>
            </w:pPr>
            <w:r>
              <w:t>1</w:t>
            </w:r>
          </w:p>
        </w:tc>
        <w:tc>
          <w:tcPr>
            <w:tcW w:w="1491" w:type="dxa"/>
            <w:vAlign w:val="top"/>
          </w:tcPr>
          <w:p w14:paraId="2EB0CF86">
            <w:pPr>
              <w:spacing w:line="476" w:lineRule="auto"/>
              <w:rPr>
                <w:rFonts w:ascii="Arial"/>
                <w:sz w:val="21"/>
              </w:rPr>
            </w:pPr>
          </w:p>
          <w:p w14:paraId="2FE9FAC7">
            <w:pPr>
              <w:pStyle w:val="6"/>
              <w:spacing w:before="73" w:line="232" w:lineRule="auto"/>
              <w:ind w:left="543"/>
            </w:pPr>
            <w:r>
              <w:rPr>
                <w:spacing w:val="-2"/>
              </w:rPr>
              <w:t>0.56</w:t>
            </w:r>
          </w:p>
        </w:tc>
        <w:tc>
          <w:tcPr>
            <w:tcW w:w="2225" w:type="dxa"/>
            <w:vAlign w:val="top"/>
          </w:tcPr>
          <w:p w14:paraId="71550B50">
            <w:pPr>
              <w:pStyle w:val="6"/>
              <w:spacing w:before="63" w:line="207" w:lineRule="auto"/>
              <w:ind w:left="182"/>
            </w:pPr>
            <w:r>
              <w:rPr>
                <w:spacing w:val="-2"/>
              </w:rPr>
              <w:t>安宁片区结合新九服</w:t>
            </w:r>
          </w:p>
          <w:p w14:paraId="082C75A3">
            <w:pPr>
              <w:pStyle w:val="6"/>
              <w:spacing w:before="71" w:line="206" w:lineRule="auto"/>
              <w:ind w:left="590"/>
            </w:pPr>
            <w:r>
              <w:rPr>
                <w:spacing w:val="-1"/>
              </w:rPr>
              <w:t>务中心利用</w:t>
            </w:r>
          </w:p>
          <w:p w14:paraId="5D7186AD">
            <w:pPr>
              <w:pStyle w:val="6"/>
              <w:spacing w:before="71" w:line="207" w:lineRule="auto"/>
              <w:ind w:left="174"/>
            </w:pPr>
            <w:r>
              <w:rPr>
                <w:spacing w:val="-1"/>
              </w:rPr>
              <w:t>新九片区结合现状新</w:t>
            </w:r>
          </w:p>
          <w:p w14:paraId="0508B06A">
            <w:pPr>
              <w:pStyle w:val="6"/>
              <w:spacing w:before="72" w:line="206" w:lineRule="auto"/>
              <w:ind w:left="279"/>
            </w:pPr>
            <w:r>
              <w:rPr>
                <w:spacing w:val="-2"/>
              </w:rPr>
              <w:t>九卫生院改造利用</w:t>
            </w:r>
          </w:p>
        </w:tc>
      </w:tr>
      <w:tr w14:paraId="04052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40" w:type="dxa"/>
            <w:vAlign w:val="top"/>
          </w:tcPr>
          <w:p w14:paraId="736D26F3">
            <w:pPr>
              <w:pStyle w:val="6"/>
              <w:spacing w:before="129" w:line="232" w:lineRule="auto"/>
              <w:ind w:left="213"/>
            </w:pPr>
            <w:r>
              <w:t>3</w:t>
            </w:r>
          </w:p>
        </w:tc>
        <w:tc>
          <w:tcPr>
            <w:tcW w:w="1678" w:type="dxa"/>
            <w:vAlign w:val="top"/>
          </w:tcPr>
          <w:p w14:paraId="469F5B8B">
            <w:pPr>
              <w:pStyle w:val="6"/>
              <w:spacing w:before="129" w:line="207" w:lineRule="auto"/>
              <w:ind w:left="527"/>
            </w:pPr>
            <w:r>
              <w:rPr>
                <w:spacing w:val="-3"/>
              </w:rPr>
              <w:t>消防站</w:t>
            </w:r>
          </w:p>
        </w:tc>
        <w:tc>
          <w:tcPr>
            <w:tcW w:w="1165" w:type="dxa"/>
            <w:vAlign w:val="top"/>
          </w:tcPr>
          <w:p w14:paraId="52EDF5F8">
            <w:pPr>
              <w:pStyle w:val="6"/>
              <w:spacing w:before="129" w:line="235" w:lineRule="auto"/>
              <w:ind w:left="524"/>
            </w:pPr>
            <w:r>
              <w:t>2</w:t>
            </w:r>
          </w:p>
        </w:tc>
        <w:tc>
          <w:tcPr>
            <w:tcW w:w="1333" w:type="dxa"/>
            <w:vAlign w:val="top"/>
          </w:tcPr>
          <w:p w14:paraId="07A993C6">
            <w:pPr>
              <w:pStyle w:val="6"/>
              <w:spacing w:before="128" w:line="219" w:lineRule="auto"/>
              <w:ind w:left="211"/>
            </w:pPr>
            <w:r>
              <w:rPr>
                <w:spacing w:val="-1"/>
              </w:rPr>
              <w:t>0.87/0.96</w:t>
            </w:r>
          </w:p>
        </w:tc>
        <w:tc>
          <w:tcPr>
            <w:tcW w:w="1144" w:type="dxa"/>
            <w:vAlign w:val="top"/>
          </w:tcPr>
          <w:p w14:paraId="7DFEC8E2">
            <w:pPr>
              <w:pStyle w:val="6"/>
              <w:spacing w:before="129" w:line="235" w:lineRule="auto"/>
              <w:ind w:left="515"/>
            </w:pPr>
            <w:r>
              <w:t>2</w:t>
            </w:r>
          </w:p>
        </w:tc>
        <w:tc>
          <w:tcPr>
            <w:tcW w:w="1491" w:type="dxa"/>
            <w:vAlign w:val="top"/>
          </w:tcPr>
          <w:p w14:paraId="1A281B39">
            <w:pPr>
              <w:pStyle w:val="6"/>
              <w:spacing w:before="128" w:line="219" w:lineRule="auto"/>
              <w:ind w:left="293"/>
            </w:pPr>
            <w:r>
              <w:rPr>
                <w:spacing w:val="-1"/>
              </w:rPr>
              <w:t>0.58/0.56</w:t>
            </w:r>
          </w:p>
        </w:tc>
        <w:tc>
          <w:tcPr>
            <w:tcW w:w="2225" w:type="dxa"/>
            <w:vAlign w:val="top"/>
          </w:tcPr>
          <w:p w14:paraId="111FA1EF">
            <w:pPr>
              <w:rPr>
                <w:rFonts w:ascii="Arial"/>
                <w:sz w:val="21"/>
              </w:rPr>
            </w:pPr>
          </w:p>
        </w:tc>
      </w:tr>
      <w:tr w14:paraId="50247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40" w:type="dxa"/>
            <w:vAlign w:val="top"/>
          </w:tcPr>
          <w:p w14:paraId="489E94A0">
            <w:pPr>
              <w:pStyle w:val="6"/>
              <w:spacing w:before="127" w:line="235" w:lineRule="auto"/>
              <w:ind w:left="211"/>
            </w:pPr>
            <w:r>
              <w:t>4</w:t>
            </w:r>
          </w:p>
        </w:tc>
        <w:tc>
          <w:tcPr>
            <w:tcW w:w="1678" w:type="dxa"/>
            <w:vAlign w:val="top"/>
          </w:tcPr>
          <w:p w14:paraId="1D02037B">
            <w:pPr>
              <w:pStyle w:val="6"/>
              <w:spacing w:before="127" w:line="208" w:lineRule="auto"/>
              <w:ind w:left="522"/>
            </w:pPr>
            <w:r>
              <w:rPr>
                <w:spacing w:val="-2"/>
              </w:rPr>
              <w:t>加油站</w:t>
            </w:r>
          </w:p>
        </w:tc>
        <w:tc>
          <w:tcPr>
            <w:tcW w:w="1165" w:type="dxa"/>
            <w:vAlign w:val="top"/>
          </w:tcPr>
          <w:p w14:paraId="18798337">
            <w:pPr>
              <w:pStyle w:val="6"/>
              <w:spacing w:before="127" w:line="235" w:lineRule="auto"/>
              <w:ind w:left="524"/>
            </w:pPr>
            <w:r>
              <w:t>2</w:t>
            </w:r>
          </w:p>
        </w:tc>
        <w:tc>
          <w:tcPr>
            <w:tcW w:w="1333" w:type="dxa"/>
            <w:vAlign w:val="top"/>
          </w:tcPr>
          <w:p w14:paraId="08D4F7C6">
            <w:pPr>
              <w:pStyle w:val="6"/>
              <w:spacing w:before="126" w:line="219" w:lineRule="auto"/>
              <w:ind w:left="211"/>
            </w:pPr>
            <w:r>
              <w:rPr>
                <w:spacing w:val="-1"/>
              </w:rPr>
              <w:t>0.53/0.49</w:t>
            </w:r>
          </w:p>
        </w:tc>
        <w:tc>
          <w:tcPr>
            <w:tcW w:w="1144" w:type="dxa"/>
            <w:vAlign w:val="top"/>
          </w:tcPr>
          <w:p w14:paraId="3161FB77">
            <w:pPr>
              <w:pStyle w:val="6"/>
              <w:spacing w:before="127" w:line="232" w:lineRule="auto"/>
              <w:ind w:left="516"/>
            </w:pPr>
            <w:r>
              <w:t>3</w:t>
            </w:r>
          </w:p>
        </w:tc>
        <w:tc>
          <w:tcPr>
            <w:tcW w:w="1491" w:type="dxa"/>
            <w:vAlign w:val="top"/>
          </w:tcPr>
          <w:p w14:paraId="7B32EB10">
            <w:pPr>
              <w:pStyle w:val="6"/>
              <w:spacing w:before="126" w:line="219" w:lineRule="auto"/>
              <w:ind w:left="46"/>
            </w:pPr>
            <w:r>
              <w:rPr>
                <w:spacing w:val="-1"/>
              </w:rPr>
              <w:t>0.48/0.48/0.38</w:t>
            </w:r>
          </w:p>
        </w:tc>
        <w:tc>
          <w:tcPr>
            <w:tcW w:w="2225" w:type="dxa"/>
            <w:vAlign w:val="top"/>
          </w:tcPr>
          <w:p w14:paraId="77D7EED5">
            <w:pPr>
              <w:rPr>
                <w:rFonts w:ascii="Arial"/>
                <w:sz w:val="21"/>
              </w:rPr>
            </w:pPr>
          </w:p>
        </w:tc>
      </w:tr>
      <w:tr w14:paraId="1D1AE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540" w:type="dxa"/>
            <w:vAlign w:val="top"/>
          </w:tcPr>
          <w:p w14:paraId="3D9F66DD">
            <w:pPr>
              <w:pStyle w:val="6"/>
              <w:spacing w:before="130" w:line="232" w:lineRule="auto"/>
              <w:ind w:left="215"/>
            </w:pPr>
            <w:r>
              <w:t>5</w:t>
            </w:r>
          </w:p>
        </w:tc>
        <w:tc>
          <w:tcPr>
            <w:tcW w:w="1678" w:type="dxa"/>
            <w:vAlign w:val="top"/>
          </w:tcPr>
          <w:p w14:paraId="662515A5">
            <w:pPr>
              <w:pStyle w:val="6"/>
              <w:spacing w:before="130" w:line="209" w:lineRule="auto"/>
              <w:ind w:left="523"/>
            </w:pPr>
            <w:r>
              <w:rPr>
                <w:spacing w:val="-2"/>
              </w:rPr>
              <w:t>给水厂</w:t>
            </w:r>
          </w:p>
        </w:tc>
        <w:tc>
          <w:tcPr>
            <w:tcW w:w="1165" w:type="dxa"/>
            <w:vAlign w:val="top"/>
          </w:tcPr>
          <w:p w14:paraId="62806AB9">
            <w:pPr>
              <w:pStyle w:val="6"/>
              <w:spacing w:before="130" w:line="235" w:lineRule="auto"/>
              <w:ind w:left="524"/>
            </w:pPr>
            <w:r>
              <w:t>2</w:t>
            </w:r>
          </w:p>
        </w:tc>
        <w:tc>
          <w:tcPr>
            <w:tcW w:w="1333" w:type="dxa"/>
            <w:vAlign w:val="top"/>
          </w:tcPr>
          <w:p w14:paraId="1CEA22F3">
            <w:pPr>
              <w:pStyle w:val="6"/>
              <w:spacing w:before="129" w:line="219" w:lineRule="auto"/>
              <w:ind w:left="211"/>
            </w:pPr>
            <w:r>
              <w:rPr>
                <w:spacing w:val="-1"/>
              </w:rPr>
              <w:t>0.85/4.63</w:t>
            </w:r>
          </w:p>
        </w:tc>
        <w:tc>
          <w:tcPr>
            <w:tcW w:w="1144" w:type="dxa"/>
            <w:vAlign w:val="top"/>
          </w:tcPr>
          <w:p w14:paraId="2F2D1D8C">
            <w:pPr>
              <w:pStyle w:val="6"/>
              <w:spacing w:before="130" w:line="235" w:lineRule="auto"/>
              <w:ind w:left="538"/>
            </w:pPr>
            <w:r>
              <w:t>1</w:t>
            </w:r>
          </w:p>
        </w:tc>
        <w:tc>
          <w:tcPr>
            <w:tcW w:w="1491" w:type="dxa"/>
            <w:vAlign w:val="top"/>
          </w:tcPr>
          <w:p w14:paraId="63351CCA">
            <w:pPr>
              <w:pStyle w:val="6"/>
              <w:spacing w:before="130" w:line="232" w:lineRule="auto"/>
              <w:ind w:left="541"/>
            </w:pPr>
            <w:r>
              <w:rPr>
                <w:spacing w:val="-1"/>
              </w:rPr>
              <w:t>4.07</w:t>
            </w:r>
          </w:p>
        </w:tc>
        <w:tc>
          <w:tcPr>
            <w:tcW w:w="2225" w:type="dxa"/>
            <w:vAlign w:val="top"/>
          </w:tcPr>
          <w:p w14:paraId="09AA1554">
            <w:pPr>
              <w:rPr>
                <w:rFonts w:ascii="Arial"/>
                <w:sz w:val="21"/>
              </w:rPr>
            </w:pPr>
          </w:p>
        </w:tc>
      </w:tr>
      <w:tr w14:paraId="7D5D0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trPr>
        <w:tc>
          <w:tcPr>
            <w:tcW w:w="540" w:type="dxa"/>
            <w:vAlign w:val="top"/>
          </w:tcPr>
          <w:p w14:paraId="2C583A8A">
            <w:pPr>
              <w:spacing w:line="267" w:lineRule="auto"/>
              <w:rPr>
                <w:rFonts w:ascii="Arial"/>
                <w:sz w:val="21"/>
              </w:rPr>
            </w:pPr>
          </w:p>
          <w:p w14:paraId="47663945">
            <w:pPr>
              <w:spacing w:line="268" w:lineRule="auto"/>
              <w:rPr>
                <w:rFonts w:ascii="Arial"/>
                <w:sz w:val="21"/>
              </w:rPr>
            </w:pPr>
          </w:p>
          <w:p w14:paraId="3E845C3B">
            <w:pPr>
              <w:spacing w:line="268" w:lineRule="auto"/>
              <w:rPr>
                <w:rFonts w:ascii="Arial"/>
                <w:sz w:val="21"/>
              </w:rPr>
            </w:pPr>
          </w:p>
          <w:p w14:paraId="114EBA80">
            <w:pPr>
              <w:pStyle w:val="6"/>
              <w:spacing w:before="74" w:line="232" w:lineRule="auto"/>
              <w:ind w:left="220"/>
            </w:pPr>
            <w:r>
              <w:t>6</w:t>
            </w:r>
          </w:p>
        </w:tc>
        <w:tc>
          <w:tcPr>
            <w:tcW w:w="1678" w:type="dxa"/>
            <w:vAlign w:val="top"/>
          </w:tcPr>
          <w:p w14:paraId="5DA67197">
            <w:pPr>
              <w:spacing w:line="321" w:lineRule="auto"/>
              <w:rPr>
                <w:rFonts w:ascii="Arial"/>
                <w:sz w:val="21"/>
              </w:rPr>
            </w:pPr>
          </w:p>
          <w:p w14:paraId="330FF877">
            <w:pPr>
              <w:spacing w:line="321" w:lineRule="auto"/>
              <w:rPr>
                <w:rFonts w:ascii="Arial"/>
                <w:sz w:val="21"/>
              </w:rPr>
            </w:pPr>
          </w:p>
          <w:p w14:paraId="7E45E582">
            <w:pPr>
              <w:pStyle w:val="6"/>
              <w:spacing w:before="73" w:line="269" w:lineRule="auto"/>
              <w:ind w:left="728" w:right="55" w:hanging="665"/>
            </w:pPr>
            <w:r>
              <w:rPr>
                <w:spacing w:val="-2"/>
              </w:rPr>
              <w:t>高位水池/加压泵</w:t>
            </w:r>
            <w:r>
              <w:t>站</w:t>
            </w:r>
          </w:p>
        </w:tc>
        <w:tc>
          <w:tcPr>
            <w:tcW w:w="1165" w:type="dxa"/>
            <w:vAlign w:val="top"/>
          </w:tcPr>
          <w:p w14:paraId="25D908CA">
            <w:pPr>
              <w:spacing w:line="267" w:lineRule="auto"/>
              <w:rPr>
                <w:rFonts w:ascii="Arial"/>
                <w:sz w:val="21"/>
              </w:rPr>
            </w:pPr>
          </w:p>
          <w:p w14:paraId="299127AA">
            <w:pPr>
              <w:spacing w:line="268" w:lineRule="auto"/>
              <w:rPr>
                <w:rFonts w:ascii="Arial"/>
                <w:sz w:val="21"/>
              </w:rPr>
            </w:pPr>
          </w:p>
          <w:p w14:paraId="78B97B9F">
            <w:pPr>
              <w:spacing w:line="268" w:lineRule="auto"/>
              <w:rPr>
                <w:rFonts w:ascii="Arial"/>
                <w:sz w:val="21"/>
              </w:rPr>
            </w:pPr>
          </w:p>
          <w:p w14:paraId="04550BB0">
            <w:pPr>
              <w:pStyle w:val="6"/>
              <w:spacing w:before="74" w:line="235" w:lineRule="auto"/>
              <w:ind w:left="524"/>
            </w:pPr>
            <w:r>
              <w:t>2</w:t>
            </w:r>
          </w:p>
        </w:tc>
        <w:tc>
          <w:tcPr>
            <w:tcW w:w="1333" w:type="dxa"/>
            <w:vAlign w:val="top"/>
          </w:tcPr>
          <w:p w14:paraId="2A72455E">
            <w:pPr>
              <w:spacing w:line="299" w:lineRule="auto"/>
              <w:rPr>
                <w:rFonts w:ascii="Arial"/>
                <w:sz w:val="21"/>
              </w:rPr>
            </w:pPr>
          </w:p>
          <w:p w14:paraId="08F26F24">
            <w:pPr>
              <w:spacing w:line="299" w:lineRule="auto"/>
              <w:rPr>
                <w:rFonts w:ascii="Arial"/>
                <w:sz w:val="21"/>
              </w:rPr>
            </w:pPr>
          </w:p>
          <w:p w14:paraId="47C28AD2">
            <w:pPr>
              <w:spacing w:line="300" w:lineRule="auto"/>
              <w:rPr>
                <w:rFonts w:ascii="Arial"/>
                <w:sz w:val="21"/>
              </w:rPr>
            </w:pPr>
          </w:p>
          <w:p w14:paraId="7D1573C1">
            <w:pPr>
              <w:pStyle w:val="6"/>
              <w:spacing w:before="74" w:line="150" w:lineRule="exact"/>
              <w:ind w:left="447"/>
            </w:pPr>
            <w:r>
              <w:rPr>
                <w:spacing w:val="1"/>
                <w:position w:val="-2"/>
              </w:rPr>
              <w:t>——</w:t>
            </w:r>
          </w:p>
        </w:tc>
        <w:tc>
          <w:tcPr>
            <w:tcW w:w="1144" w:type="dxa"/>
            <w:vAlign w:val="top"/>
          </w:tcPr>
          <w:p w14:paraId="0E3C9030">
            <w:pPr>
              <w:spacing w:line="267" w:lineRule="auto"/>
              <w:rPr>
                <w:rFonts w:ascii="Arial"/>
                <w:sz w:val="21"/>
              </w:rPr>
            </w:pPr>
          </w:p>
          <w:p w14:paraId="45215BDA">
            <w:pPr>
              <w:spacing w:line="268" w:lineRule="auto"/>
              <w:rPr>
                <w:rFonts w:ascii="Arial"/>
                <w:sz w:val="21"/>
              </w:rPr>
            </w:pPr>
          </w:p>
          <w:p w14:paraId="6BF64923">
            <w:pPr>
              <w:spacing w:line="268" w:lineRule="auto"/>
              <w:rPr>
                <w:rFonts w:ascii="Arial"/>
                <w:sz w:val="21"/>
              </w:rPr>
            </w:pPr>
          </w:p>
          <w:p w14:paraId="087B5719">
            <w:pPr>
              <w:pStyle w:val="6"/>
              <w:spacing w:before="74" w:line="235" w:lineRule="auto"/>
              <w:ind w:left="515"/>
            </w:pPr>
            <w:r>
              <w:t>2</w:t>
            </w:r>
          </w:p>
        </w:tc>
        <w:tc>
          <w:tcPr>
            <w:tcW w:w="1491" w:type="dxa"/>
            <w:vAlign w:val="top"/>
          </w:tcPr>
          <w:p w14:paraId="2BF5E5B3">
            <w:pPr>
              <w:spacing w:line="299" w:lineRule="auto"/>
              <w:rPr>
                <w:rFonts w:ascii="Arial"/>
                <w:sz w:val="21"/>
              </w:rPr>
            </w:pPr>
          </w:p>
          <w:p w14:paraId="10F337CD">
            <w:pPr>
              <w:spacing w:line="299" w:lineRule="auto"/>
              <w:rPr>
                <w:rFonts w:ascii="Arial"/>
                <w:sz w:val="21"/>
              </w:rPr>
            </w:pPr>
          </w:p>
          <w:p w14:paraId="2A9C3181">
            <w:pPr>
              <w:spacing w:line="300" w:lineRule="auto"/>
              <w:rPr>
                <w:rFonts w:ascii="Arial"/>
                <w:sz w:val="21"/>
              </w:rPr>
            </w:pPr>
          </w:p>
          <w:p w14:paraId="0E3ED885">
            <w:pPr>
              <w:pStyle w:val="6"/>
              <w:spacing w:before="74" w:line="150" w:lineRule="exact"/>
              <w:ind w:left="531"/>
            </w:pPr>
            <w:r>
              <w:rPr>
                <w:spacing w:val="1"/>
                <w:position w:val="-2"/>
              </w:rPr>
              <w:t>——</w:t>
            </w:r>
          </w:p>
        </w:tc>
        <w:tc>
          <w:tcPr>
            <w:tcW w:w="2225" w:type="dxa"/>
            <w:vAlign w:val="top"/>
          </w:tcPr>
          <w:p w14:paraId="33B66FE5">
            <w:pPr>
              <w:pStyle w:val="6"/>
              <w:spacing w:before="68" w:line="208" w:lineRule="auto"/>
              <w:ind w:left="169"/>
            </w:pPr>
            <w:r>
              <w:rPr>
                <w:spacing w:val="-1"/>
              </w:rPr>
              <w:t>规划安宁高位水池及</w:t>
            </w:r>
          </w:p>
          <w:p w14:paraId="78CE5228">
            <w:pPr>
              <w:pStyle w:val="6"/>
              <w:spacing w:before="68" w:line="206" w:lineRule="auto"/>
              <w:ind w:left="171"/>
            </w:pPr>
            <w:r>
              <w:rPr>
                <w:spacing w:val="-1"/>
              </w:rPr>
              <w:t>泵站，宜结合绿地布</w:t>
            </w:r>
          </w:p>
          <w:p w14:paraId="1AD52FC3">
            <w:pPr>
              <w:pStyle w:val="6"/>
              <w:spacing w:before="73" w:line="209" w:lineRule="auto"/>
              <w:ind w:left="126"/>
            </w:pPr>
            <w:r>
              <w:rPr>
                <w:spacing w:val="-4"/>
              </w:rPr>
              <w:t>置，占地不超过</w:t>
            </w:r>
            <w:r>
              <w:rPr>
                <w:spacing w:val="31"/>
              </w:rPr>
              <w:t xml:space="preserve"> </w:t>
            </w:r>
            <w:r>
              <w:rPr>
                <w:spacing w:val="-4"/>
              </w:rPr>
              <w:t>1000</w:t>
            </w:r>
          </w:p>
          <w:p w14:paraId="6485245C">
            <w:pPr>
              <w:pStyle w:val="6"/>
              <w:spacing w:before="69" w:line="207" w:lineRule="auto"/>
              <w:ind w:left="115"/>
            </w:pPr>
            <w:r>
              <w:rPr>
                <w:rFonts w:hint="eastAsia"/>
                <w:spacing w:val="-11"/>
                <w:lang w:eastAsia="zh-CN"/>
              </w:rPr>
              <w:t>平方</w:t>
            </w:r>
            <w:r>
              <w:rPr>
                <w:spacing w:val="-11"/>
              </w:rPr>
              <w:t>米；新九片区高位水</w:t>
            </w:r>
          </w:p>
          <w:p w14:paraId="27735859">
            <w:pPr>
              <w:pStyle w:val="6"/>
              <w:spacing w:before="72" w:line="208" w:lineRule="auto"/>
              <w:ind w:left="169"/>
            </w:pPr>
            <w:r>
              <w:rPr>
                <w:spacing w:val="-1"/>
              </w:rPr>
              <w:t>池为现状南部供水工</w:t>
            </w:r>
          </w:p>
          <w:p w14:paraId="5292FD19">
            <w:pPr>
              <w:pStyle w:val="6"/>
              <w:spacing w:before="72" w:line="206" w:lineRule="auto"/>
              <w:ind w:left="691"/>
            </w:pPr>
            <w:r>
              <w:rPr>
                <w:spacing w:val="-1"/>
              </w:rPr>
              <w:t>程已建的</w:t>
            </w:r>
          </w:p>
        </w:tc>
      </w:tr>
      <w:tr w14:paraId="76433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540" w:type="dxa"/>
            <w:vAlign w:val="top"/>
          </w:tcPr>
          <w:p w14:paraId="09D14740">
            <w:pPr>
              <w:pStyle w:val="6"/>
              <w:spacing w:before="133" w:line="232" w:lineRule="auto"/>
              <w:ind w:left="221"/>
            </w:pPr>
            <w:r>
              <w:t>7</w:t>
            </w:r>
          </w:p>
        </w:tc>
        <w:tc>
          <w:tcPr>
            <w:tcW w:w="1678" w:type="dxa"/>
            <w:vAlign w:val="top"/>
          </w:tcPr>
          <w:p w14:paraId="0E8A524F">
            <w:pPr>
              <w:pStyle w:val="6"/>
              <w:spacing w:before="132" w:line="209" w:lineRule="auto"/>
              <w:ind w:left="527"/>
            </w:pPr>
            <w:r>
              <w:rPr>
                <w:rFonts w:hint="eastAsia"/>
                <w:spacing w:val="-3"/>
                <w:lang w:eastAsia="zh-CN"/>
              </w:rPr>
              <w:t>污水处理厂</w:t>
            </w:r>
          </w:p>
        </w:tc>
        <w:tc>
          <w:tcPr>
            <w:tcW w:w="1165" w:type="dxa"/>
            <w:vAlign w:val="top"/>
          </w:tcPr>
          <w:p w14:paraId="6B69315A">
            <w:pPr>
              <w:pStyle w:val="6"/>
              <w:spacing w:before="133" w:line="235" w:lineRule="auto"/>
              <w:ind w:left="547"/>
            </w:pPr>
            <w:r>
              <w:t>1</w:t>
            </w:r>
          </w:p>
        </w:tc>
        <w:tc>
          <w:tcPr>
            <w:tcW w:w="1333" w:type="dxa"/>
            <w:vAlign w:val="top"/>
          </w:tcPr>
          <w:p w14:paraId="4B9FE1A5">
            <w:pPr>
              <w:pStyle w:val="6"/>
              <w:spacing w:before="133" w:line="232" w:lineRule="auto"/>
              <w:ind w:left="463"/>
            </w:pPr>
            <w:r>
              <w:rPr>
                <w:spacing w:val="-2"/>
              </w:rPr>
              <w:t>5.18</w:t>
            </w:r>
          </w:p>
        </w:tc>
        <w:tc>
          <w:tcPr>
            <w:tcW w:w="1144" w:type="dxa"/>
            <w:vAlign w:val="top"/>
          </w:tcPr>
          <w:p w14:paraId="030ED0DD">
            <w:pPr>
              <w:pStyle w:val="6"/>
              <w:spacing w:before="133" w:line="235" w:lineRule="auto"/>
              <w:ind w:left="538"/>
            </w:pPr>
            <w:r>
              <w:t>1</w:t>
            </w:r>
          </w:p>
        </w:tc>
        <w:tc>
          <w:tcPr>
            <w:tcW w:w="1491" w:type="dxa"/>
            <w:vAlign w:val="top"/>
          </w:tcPr>
          <w:p w14:paraId="3F3A5E0E">
            <w:pPr>
              <w:pStyle w:val="6"/>
              <w:spacing w:before="133" w:line="232" w:lineRule="auto"/>
              <w:ind w:left="543"/>
            </w:pPr>
            <w:r>
              <w:rPr>
                <w:spacing w:val="-1"/>
              </w:rPr>
              <w:t>3.04</w:t>
            </w:r>
          </w:p>
        </w:tc>
        <w:tc>
          <w:tcPr>
            <w:tcW w:w="2225" w:type="dxa"/>
            <w:vAlign w:val="top"/>
          </w:tcPr>
          <w:p w14:paraId="2AC9CAF5">
            <w:pPr>
              <w:rPr>
                <w:rFonts w:ascii="Arial"/>
                <w:sz w:val="21"/>
              </w:rPr>
            </w:pPr>
          </w:p>
        </w:tc>
      </w:tr>
      <w:tr w14:paraId="0AA1B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540" w:type="dxa"/>
            <w:vAlign w:val="top"/>
          </w:tcPr>
          <w:p w14:paraId="0AF0FF11">
            <w:pPr>
              <w:spacing w:line="320" w:lineRule="auto"/>
              <w:rPr>
                <w:rFonts w:ascii="Arial"/>
                <w:sz w:val="21"/>
              </w:rPr>
            </w:pPr>
          </w:p>
          <w:p w14:paraId="07090257">
            <w:pPr>
              <w:pStyle w:val="6"/>
              <w:spacing w:before="73" w:line="232" w:lineRule="auto"/>
              <w:ind w:left="213"/>
            </w:pPr>
            <w:r>
              <w:t>8</w:t>
            </w:r>
          </w:p>
        </w:tc>
        <w:tc>
          <w:tcPr>
            <w:tcW w:w="1678" w:type="dxa"/>
            <w:vAlign w:val="top"/>
          </w:tcPr>
          <w:p w14:paraId="4C1CD747">
            <w:pPr>
              <w:spacing w:line="319" w:lineRule="auto"/>
              <w:rPr>
                <w:rFonts w:ascii="Arial"/>
                <w:sz w:val="21"/>
              </w:rPr>
            </w:pPr>
          </w:p>
          <w:p w14:paraId="5F498E04">
            <w:pPr>
              <w:pStyle w:val="6"/>
              <w:spacing w:before="74" w:line="208" w:lineRule="auto"/>
              <w:ind w:left="526"/>
            </w:pPr>
            <w:r>
              <w:rPr>
                <w:spacing w:val="-3"/>
              </w:rPr>
              <w:t>变电站</w:t>
            </w:r>
          </w:p>
        </w:tc>
        <w:tc>
          <w:tcPr>
            <w:tcW w:w="1165" w:type="dxa"/>
            <w:vAlign w:val="top"/>
          </w:tcPr>
          <w:p w14:paraId="68FC0DC2">
            <w:pPr>
              <w:spacing w:line="320" w:lineRule="auto"/>
              <w:rPr>
                <w:rFonts w:ascii="Arial"/>
                <w:sz w:val="21"/>
              </w:rPr>
            </w:pPr>
          </w:p>
          <w:p w14:paraId="7FA0B5BA">
            <w:pPr>
              <w:pStyle w:val="6"/>
              <w:spacing w:before="73" w:line="232" w:lineRule="auto"/>
              <w:ind w:left="533"/>
            </w:pPr>
            <w:r>
              <w:t>7</w:t>
            </w:r>
          </w:p>
        </w:tc>
        <w:tc>
          <w:tcPr>
            <w:tcW w:w="1333" w:type="dxa"/>
            <w:vAlign w:val="top"/>
          </w:tcPr>
          <w:p w14:paraId="3EA1DFA8">
            <w:pPr>
              <w:spacing w:line="415" w:lineRule="auto"/>
              <w:rPr>
                <w:rFonts w:ascii="Arial"/>
                <w:sz w:val="21"/>
              </w:rPr>
            </w:pPr>
          </w:p>
          <w:p w14:paraId="75046EF8">
            <w:pPr>
              <w:pStyle w:val="6"/>
              <w:spacing w:before="74" w:line="150" w:lineRule="exact"/>
              <w:ind w:left="447"/>
            </w:pPr>
            <w:r>
              <w:rPr>
                <w:spacing w:val="1"/>
                <w:position w:val="-2"/>
              </w:rPr>
              <w:t>——</w:t>
            </w:r>
          </w:p>
        </w:tc>
        <w:tc>
          <w:tcPr>
            <w:tcW w:w="1144" w:type="dxa"/>
            <w:vAlign w:val="top"/>
          </w:tcPr>
          <w:p w14:paraId="460544FB">
            <w:pPr>
              <w:spacing w:line="320" w:lineRule="auto"/>
              <w:rPr>
                <w:rFonts w:ascii="Arial"/>
                <w:sz w:val="21"/>
              </w:rPr>
            </w:pPr>
          </w:p>
          <w:p w14:paraId="0750E8D9">
            <w:pPr>
              <w:pStyle w:val="6"/>
              <w:spacing w:before="73" w:line="232" w:lineRule="auto"/>
              <w:ind w:left="517"/>
            </w:pPr>
            <w:r>
              <w:t>5</w:t>
            </w:r>
          </w:p>
        </w:tc>
        <w:tc>
          <w:tcPr>
            <w:tcW w:w="1491" w:type="dxa"/>
            <w:vAlign w:val="top"/>
          </w:tcPr>
          <w:p w14:paraId="049B95BC">
            <w:pPr>
              <w:spacing w:line="415" w:lineRule="auto"/>
              <w:rPr>
                <w:rFonts w:ascii="Arial"/>
                <w:sz w:val="21"/>
              </w:rPr>
            </w:pPr>
          </w:p>
          <w:p w14:paraId="71D6E304">
            <w:pPr>
              <w:pStyle w:val="6"/>
              <w:spacing w:before="74" w:line="150" w:lineRule="exact"/>
              <w:ind w:left="531"/>
            </w:pPr>
            <w:r>
              <w:rPr>
                <w:spacing w:val="1"/>
                <w:position w:val="-2"/>
              </w:rPr>
              <w:t>——</w:t>
            </w:r>
          </w:p>
        </w:tc>
        <w:tc>
          <w:tcPr>
            <w:tcW w:w="2225" w:type="dxa"/>
            <w:vAlign w:val="top"/>
          </w:tcPr>
          <w:p w14:paraId="18CF875F">
            <w:pPr>
              <w:pStyle w:val="6"/>
              <w:spacing w:before="69" w:line="245" w:lineRule="auto"/>
              <w:ind w:left="165" w:right="158" w:firstLine="61"/>
              <w:jc w:val="both"/>
            </w:pPr>
            <w:r>
              <w:rPr>
                <w:spacing w:val="-2"/>
              </w:rPr>
              <w:t>35kv</w:t>
            </w:r>
            <w:r>
              <w:rPr>
                <w:spacing w:val="16"/>
                <w:w w:val="101"/>
              </w:rPr>
              <w:t xml:space="preserve"> </w:t>
            </w:r>
            <w:r>
              <w:rPr>
                <w:spacing w:val="-2"/>
              </w:rPr>
              <w:t>变电站 4 处</w:t>
            </w:r>
            <w:r>
              <w:rPr>
                <w:spacing w:val="-30"/>
              </w:rPr>
              <w:t xml:space="preserve"> </w:t>
            </w:r>
            <w:r>
              <w:rPr>
                <w:spacing w:val="-2"/>
              </w:rPr>
              <w:t>、</w:t>
            </w:r>
            <w:r>
              <w:t xml:space="preserve"> </w:t>
            </w:r>
            <w:r>
              <w:rPr>
                <w:spacing w:val="-9"/>
              </w:rPr>
              <w:t>110KV</w:t>
            </w:r>
            <w:r>
              <w:rPr>
                <w:spacing w:val="22"/>
              </w:rPr>
              <w:t xml:space="preserve"> </w:t>
            </w:r>
            <w:r>
              <w:rPr>
                <w:spacing w:val="-9"/>
              </w:rPr>
              <w:t>变电站</w:t>
            </w:r>
            <w:r>
              <w:rPr>
                <w:spacing w:val="12"/>
              </w:rPr>
              <w:t xml:space="preserve"> </w:t>
            </w:r>
            <w:r>
              <w:rPr>
                <w:spacing w:val="-9"/>
              </w:rPr>
              <w:t>6</w:t>
            </w:r>
            <w:r>
              <w:rPr>
                <w:spacing w:val="11"/>
              </w:rPr>
              <w:t xml:space="preserve"> </w:t>
            </w:r>
            <w:r>
              <w:rPr>
                <w:spacing w:val="-9"/>
              </w:rPr>
              <w:t>处、</w:t>
            </w:r>
            <w:r>
              <w:t xml:space="preserve"> </w:t>
            </w:r>
            <w:r>
              <w:rPr>
                <w:spacing w:val="7"/>
              </w:rPr>
              <w:t>220</w:t>
            </w:r>
            <w:r>
              <w:t>KV</w:t>
            </w:r>
            <w:r>
              <w:rPr>
                <w:spacing w:val="7"/>
              </w:rPr>
              <w:t xml:space="preserve"> 变电站 2</w:t>
            </w:r>
            <w:r>
              <w:rPr>
                <w:spacing w:val="16"/>
                <w:w w:val="101"/>
              </w:rPr>
              <w:t xml:space="preserve"> </w:t>
            </w:r>
            <w:r>
              <w:rPr>
                <w:spacing w:val="7"/>
              </w:rPr>
              <w:t>处</w:t>
            </w:r>
          </w:p>
        </w:tc>
      </w:tr>
      <w:tr w14:paraId="7AA24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540" w:type="dxa"/>
            <w:vAlign w:val="top"/>
          </w:tcPr>
          <w:p w14:paraId="367AF8EA">
            <w:pPr>
              <w:pStyle w:val="6"/>
              <w:spacing w:before="233" w:line="232" w:lineRule="auto"/>
              <w:ind w:left="216"/>
            </w:pPr>
            <w:r>
              <w:t>9</w:t>
            </w:r>
          </w:p>
        </w:tc>
        <w:tc>
          <w:tcPr>
            <w:tcW w:w="1678" w:type="dxa"/>
            <w:vAlign w:val="top"/>
          </w:tcPr>
          <w:p w14:paraId="2BB40B14">
            <w:pPr>
              <w:pStyle w:val="6"/>
              <w:spacing w:before="233" w:line="208" w:lineRule="auto"/>
              <w:ind w:left="524"/>
            </w:pPr>
            <w:r>
              <w:rPr>
                <w:spacing w:val="-3"/>
              </w:rPr>
              <w:t>配气站</w:t>
            </w:r>
          </w:p>
        </w:tc>
        <w:tc>
          <w:tcPr>
            <w:tcW w:w="1165" w:type="dxa"/>
            <w:vAlign w:val="top"/>
          </w:tcPr>
          <w:p w14:paraId="3E6B5595">
            <w:pPr>
              <w:pStyle w:val="6"/>
              <w:spacing w:before="234" w:line="235" w:lineRule="auto"/>
              <w:ind w:left="547"/>
            </w:pPr>
            <w:r>
              <w:t>1</w:t>
            </w:r>
          </w:p>
        </w:tc>
        <w:tc>
          <w:tcPr>
            <w:tcW w:w="1333" w:type="dxa"/>
            <w:vAlign w:val="top"/>
          </w:tcPr>
          <w:p w14:paraId="6990945E">
            <w:pPr>
              <w:pStyle w:val="6"/>
              <w:spacing w:before="233" w:line="232" w:lineRule="auto"/>
              <w:ind w:left="461"/>
            </w:pPr>
            <w:r>
              <w:rPr>
                <w:spacing w:val="-2"/>
              </w:rPr>
              <w:t>0.49</w:t>
            </w:r>
          </w:p>
        </w:tc>
        <w:tc>
          <w:tcPr>
            <w:tcW w:w="1144" w:type="dxa"/>
            <w:vAlign w:val="top"/>
          </w:tcPr>
          <w:p w14:paraId="41F42794">
            <w:pPr>
              <w:pStyle w:val="6"/>
              <w:spacing w:before="234" w:line="235" w:lineRule="auto"/>
              <w:ind w:left="538"/>
            </w:pPr>
            <w:r>
              <w:t>1</w:t>
            </w:r>
          </w:p>
        </w:tc>
        <w:tc>
          <w:tcPr>
            <w:tcW w:w="1491" w:type="dxa"/>
            <w:vAlign w:val="top"/>
          </w:tcPr>
          <w:p w14:paraId="7E179348">
            <w:pPr>
              <w:pStyle w:val="6"/>
              <w:spacing w:before="233" w:line="232" w:lineRule="auto"/>
              <w:ind w:left="543"/>
            </w:pPr>
            <w:r>
              <w:rPr>
                <w:spacing w:val="-2"/>
              </w:rPr>
              <w:t>0.42</w:t>
            </w:r>
          </w:p>
        </w:tc>
        <w:tc>
          <w:tcPr>
            <w:tcW w:w="2225" w:type="dxa"/>
            <w:vAlign w:val="top"/>
          </w:tcPr>
          <w:p w14:paraId="49CEE785">
            <w:pPr>
              <w:pStyle w:val="6"/>
              <w:spacing w:before="71" w:line="234" w:lineRule="auto"/>
              <w:ind w:left="803" w:right="159" w:hanging="629"/>
            </w:pPr>
            <w:r>
              <w:rPr>
                <w:spacing w:val="-1"/>
              </w:rPr>
              <w:t>新九配气站位于规划</w:t>
            </w:r>
            <w:r>
              <w:rPr>
                <w:spacing w:val="-2"/>
              </w:rPr>
              <w:t>范围外</w:t>
            </w:r>
          </w:p>
        </w:tc>
      </w:tr>
      <w:tr w14:paraId="0B6FF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40" w:type="dxa"/>
            <w:vAlign w:val="top"/>
          </w:tcPr>
          <w:p w14:paraId="582B6420">
            <w:pPr>
              <w:pStyle w:val="6"/>
              <w:spacing w:before="136" w:line="232" w:lineRule="auto"/>
              <w:ind w:left="175"/>
            </w:pPr>
            <w:r>
              <w:rPr>
                <w:spacing w:val="-8"/>
              </w:rPr>
              <w:t>10</w:t>
            </w:r>
          </w:p>
        </w:tc>
        <w:tc>
          <w:tcPr>
            <w:tcW w:w="1678" w:type="dxa"/>
            <w:vAlign w:val="top"/>
          </w:tcPr>
          <w:p w14:paraId="0DDE5CFC">
            <w:pPr>
              <w:pStyle w:val="6"/>
              <w:spacing w:before="136" w:line="207" w:lineRule="auto"/>
              <w:ind w:left="428"/>
            </w:pPr>
            <w:r>
              <w:rPr>
                <w:spacing w:val="-5"/>
              </w:rPr>
              <w:t>邮政电信</w:t>
            </w:r>
          </w:p>
        </w:tc>
        <w:tc>
          <w:tcPr>
            <w:tcW w:w="1165" w:type="dxa"/>
            <w:vAlign w:val="top"/>
          </w:tcPr>
          <w:p w14:paraId="12BC5CCB">
            <w:pPr>
              <w:pStyle w:val="6"/>
              <w:spacing w:before="136" w:line="235" w:lineRule="auto"/>
              <w:ind w:left="547"/>
            </w:pPr>
            <w:r>
              <w:t>1</w:t>
            </w:r>
          </w:p>
        </w:tc>
        <w:tc>
          <w:tcPr>
            <w:tcW w:w="1333" w:type="dxa"/>
            <w:vAlign w:val="top"/>
          </w:tcPr>
          <w:p w14:paraId="6C72F288">
            <w:pPr>
              <w:pStyle w:val="6"/>
              <w:spacing w:before="136" w:line="232" w:lineRule="auto"/>
              <w:ind w:left="484"/>
            </w:pPr>
            <w:r>
              <w:rPr>
                <w:spacing w:val="-5"/>
              </w:rPr>
              <w:t>1.27</w:t>
            </w:r>
          </w:p>
        </w:tc>
        <w:tc>
          <w:tcPr>
            <w:tcW w:w="1144" w:type="dxa"/>
            <w:vAlign w:val="top"/>
          </w:tcPr>
          <w:p w14:paraId="695EBBF4">
            <w:pPr>
              <w:pStyle w:val="6"/>
              <w:spacing w:before="136" w:line="235" w:lineRule="auto"/>
              <w:ind w:left="538"/>
            </w:pPr>
            <w:r>
              <w:t>1</w:t>
            </w:r>
          </w:p>
        </w:tc>
        <w:tc>
          <w:tcPr>
            <w:tcW w:w="1491" w:type="dxa"/>
            <w:vAlign w:val="top"/>
          </w:tcPr>
          <w:p w14:paraId="7D92AD42">
            <w:pPr>
              <w:pStyle w:val="6"/>
              <w:spacing w:before="136" w:line="232" w:lineRule="auto"/>
              <w:ind w:left="543"/>
            </w:pPr>
            <w:r>
              <w:rPr>
                <w:spacing w:val="-1"/>
              </w:rPr>
              <w:t>0.93</w:t>
            </w:r>
          </w:p>
        </w:tc>
        <w:tc>
          <w:tcPr>
            <w:tcW w:w="2225" w:type="dxa"/>
            <w:vAlign w:val="top"/>
          </w:tcPr>
          <w:p w14:paraId="7EB9E422">
            <w:pPr>
              <w:rPr>
                <w:rFonts w:ascii="Arial"/>
                <w:sz w:val="21"/>
              </w:rPr>
            </w:pPr>
          </w:p>
        </w:tc>
      </w:tr>
    </w:tbl>
    <w:p w14:paraId="637E8586">
      <w:pPr>
        <w:spacing w:line="14" w:lineRule="auto"/>
        <w:rPr>
          <w:rFonts w:ascii="Arial"/>
          <w:sz w:val="2"/>
        </w:rPr>
      </w:pPr>
    </w:p>
    <w:p w14:paraId="6D14A1D5">
      <w:pPr>
        <w:spacing w:line="14" w:lineRule="auto"/>
        <w:rPr>
          <w:rFonts w:ascii="Arial" w:hAnsi="Arial" w:eastAsia="Arial" w:cs="Arial"/>
          <w:sz w:val="2"/>
          <w:szCs w:val="2"/>
        </w:rPr>
        <w:sectPr>
          <w:type w:val="continuous"/>
          <w:pgSz w:w="23811" w:h="16839"/>
          <w:pgMar w:top="1274" w:right="1350" w:bottom="1613" w:left="1411" w:header="838" w:footer="1386" w:gutter="0"/>
          <w:cols w:equalWidth="0" w:num="2">
            <w:col w:w="10826" w:space="100"/>
            <w:col w:w="10124"/>
          </w:cols>
        </w:sectPr>
      </w:pPr>
    </w:p>
    <w:p w14:paraId="5A73D8EE">
      <w:pPr>
        <w:spacing w:line="22" w:lineRule="exact"/>
      </w:pPr>
    </w:p>
    <w:p w14:paraId="1CFBA357">
      <w:pPr>
        <w:spacing w:line="22" w:lineRule="exact"/>
        <w:sectPr>
          <w:headerReference r:id="rId23" w:type="default"/>
          <w:footerReference r:id="rId24" w:type="default"/>
          <w:pgSz w:w="23811" w:h="16839"/>
          <w:pgMar w:top="1274" w:right="1349" w:bottom="1613" w:left="1411" w:header="838" w:footer="1386" w:gutter="0"/>
          <w:cols w:equalWidth="0" w:num="1">
            <w:col w:w="21050"/>
          </w:cols>
        </w:sectPr>
      </w:pPr>
    </w:p>
    <w:p w14:paraId="1501EE6D">
      <w:pPr>
        <w:spacing w:line="275" w:lineRule="auto"/>
        <w:rPr>
          <w:rFonts w:ascii="Arial"/>
          <w:sz w:val="21"/>
        </w:rPr>
      </w:pPr>
    </w:p>
    <w:p w14:paraId="4B19F6D6">
      <w:pPr>
        <w:spacing w:line="275" w:lineRule="auto"/>
        <w:rPr>
          <w:rFonts w:ascii="Arial"/>
          <w:sz w:val="21"/>
        </w:rPr>
      </w:pPr>
    </w:p>
    <w:p w14:paraId="305EA033">
      <w:pPr>
        <w:spacing w:line="275" w:lineRule="auto"/>
        <w:rPr>
          <w:rFonts w:ascii="Arial"/>
          <w:sz w:val="21"/>
        </w:rPr>
      </w:pPr>
    </w:p>
    <w:p w14:paraId="08DC7EE3">
      <w:pPr>
        <w:spacing w:before="101" w:line="224" w:lineRule="auto"/>
        <w:ind w:left="3154"/>
        <w:outlineLvl w:val="0"/>
        <w:rPr>
          <w:rFonts w:ascii="黑体" w:hAnsi="黑体" w:eastAsia="黑体" w:cs="黑体"/>
          <w:sz w:val="31"/>
          <w:szCs w:val="31"/>
        </w:rPr>
      </w:pPr>
      <w:bookmarkStart w:id="8" w:name="bookmark9"/>
      <w:bookmarkEnd w:id="8"/>
      <w:r>
        <w:rPr>
          <w:rFonts w:ascii="黑体" w:hAnsi="黑体" w:eastAsia="黑体" w:cs="黑体"/>
          <w:spacing w:val="7"/>
          <w:sz w:val="31"/>
          <w:szCs w:val="31"/>
        </w:rPr>
        <w:t>第九章</w:t>
      </w:r>
      <w:r>
        <w:rPr>
          <w:rFonts w:ascii="黑体" w:hAnsi="黑体" w:eastAsia="黑体" w:cs="黑体"/>
          <w:spacing w:val="3"/>
          <w:sz w:val="31"/>
          <w:szCs w:val="31"/>
        </w:rPr>
        <w:t xml:space="preserve">  </w:t>
      </w:r>
      <w:r>
        <w:rPr>
          <w:rFonts w:ascii="黑体" w:hAnsi="黑体" w:eastAsia="黑体" w:cs="黑体"/>
          <w:spacing w:val="7"/>
          <w:sz w:val="31"/>
          <w:szCs w:val="31"/>
        </w:rPr>
        <w:t>综合交通发展规划</w:t>
      </w:r>
    </w:p>
    <w:p w14:paraId="113C3067">
      <w:pPr>
        <w:spacing w:line="267" w:lineRule="auto"/>
        <w:rPr>
          <w:rFonts w:ascii="Arial"/>
          <w:sz w:val="21"/>
        </w:rPr>
      </w:pPr>
    </w:p>
    <w:p w14:paraId="285865FA">
      <w:pPr>
        <w:spacing w:line="268" w:lineRule="auto"/>
        <w:rPr>
          <w:rFonts w:ascii="Arial"/>
          <w:sz w:val="21"/>
        </w:rPr>
      </w:pPr>
    </w:p>
    <w:p w14:paraId="631165F9">
      <w:pPr>
        <w:spacing w:before="91" w:line="219" w:lineRule="auto"/>
        <w:ind w:left="250"/>
        <w:rPr>
          <w:rFonts w:ascii="黑体" w:hAnsi="黑体" w:eastAsia="黑体" w:cs="黑体"/>
          <w:sz w:val="28"/>
          <w:szCs w:val="28"/>
        </w:rPr>
      </w:pPr>
      <w:r>
        <w:rPr>
          <w:rFonts w:ascii="黑体" w:hAnsi="黑体" w:eastAsia="黑体" w:cs="黑体"/>
          <w:spacing w:val="-2"/>
          <w:sz w:val="28"/>
          <w:szCs w:val="28"/>
        </w:rPr>
        <w:t>第二十四条</w:t>
      </w:r>
      <w:r>
        <w:rPr>
          <w:rFonts w:ascii="黑体" w:hAnsi="黑体" w:eastAsia="黑体" w:cs="黑体"/>
          <w:spacing w:val="27"/>
          <w:sz w:val="28"/>
          <w:szCs w:val="28"/>
        </w:rPr>
        <w:t xml:space="preserve">   </w:t>
      </w:r>
      <w:r>
        <w:rPr>
          <w:rFonts w:ascii="黑体" w:hAnsi="黑体" w:eastAsia="黑体" w:cs="黑体"/>
          <w:spacing w:val="-2"/>
          <w:sz w:val="28"/>
          <w:szCs w:val="28"/>
        </w:rPr>
        <w:t>对外交通规划</w:t>
      </w:r>
    </w:p>
    <w:p w14:paraId="3003F802">
      <w:pPr>
        <w:spacing w:line="437" w:lineRule="auto"/>
        <w:rPr>
          <w:rFonts w:ascii="Arial"/>
          <w:sz w:val="21"/>
        </w:rPr>
      </w:pPr>
    </w:p>
    <w:p w14:paraId="4E5C85BE">
      <w:pPr>
        <w:spacing w:before="78" w:line="221" w:lineRule="auto"/>
        <w:ind w:left="522"/>
        <w:rPr>
          <w:rFonts w:ascii="黑体" w:hAnsi="黑体" w:eastAsia="黑体" w:cs="黑体"/>
          <w:sz w:val="24"/>
          <w:szCs w:val="24"/>
        </w:rPr>
      </w:pPr>
      <w:r>
        <w:rPr>
          <w:rFonts w:ascii="黑体" w:hAnsi="黑体" w:eastAsia="黑体" w:cs="黑体"/>
          <w:spacing w:val="-3"/>
          <w:sz w:val="24"/>
          <w:szCs w:val="24"/>
        </w:rPr>
        <w:t>一、铁路</w:t>
      </w:r>
    </w:p>
    <w:p w14:paraId="2186ADD8">
      <w:pPr>
        <w:spacing w:line="383" w:lineRule="auto"/>
        <w:rPr>
          <w:rFonts w:ascii="Arial"/>
          <w:sz w:val="21"/>
        </w:rPr>
      </w:pPr>
    </w:p>
    <w:p w14:paraId="32029BFB">
      <w:pPr>
        <w:pStyle w:val="2"/>
        <w:spacing w:before="78" w:line="376" w:lineRule="auto"/>
        <w:ind w:left="40" w:right="750" w:firstLine="479"/>
      </w:pPr>
      <w:r>
        <w:rPr>
          <w:spacing w:val="-1"/>
        </w:rPr>
        <w:t>规划位于规划边界西侧的正在建设中的成昆铁路复线为园区主要的铁路交通</w:t>
      </w:r>
      <w:r>
        <w:rPr>
          <w:spacing w:val="-2"/>
        </w:rPr>
        <w:t>，规划该铁路在</w:t>
      </w:r>
      <w:r>
        <w:rPr>
          <w:spacing w:val="-1"/>
        </w:rPr>
        <w:t>盐边县城南部建设中的盐边站（以客运为主的客货两用站）为园区主要对外的铁路交通枢</w:t>
      </w:r>
      <w:r>
        <w:rPr>
          <w:spacing w:val="-2"/>
        </w:rPr>
        <w:t>纽。</w:t>
      </w:r>
    </w:p>
    <w:p w14:paraId="49C55355">
      <w:pPr>
        <w:spacing w:before="259" w:line="222" w:lineRule="auto"/>
        <w:ind w:left="522"/>
        <w:rPr>
          <w:rFonts w:ascii="黑体" w:hAnsi="黑体" w:eastAsia="黑体" w:cs="黑体"/>
          <w:sz w:val="24"/>
          <w:szCs w:val="24"/>
        </w:rPr>
      </w:pPr>
      <w:r>
        <w:rPr>
          <w:rFonts w:ascii="黑体" w:hAnsi="黑体" w:eastAsia="黑体" w:cs="黑体"/>
          <w:spacing w:val="-2"/>
          <w:sz w:val="24"/>
          <w:szCs w:val="24"/>
        </w:rPr>
        <w:t>二、公路</w:t>
      </w:r>
    </w:p>
    <w:p w14:paraId="3BB53F2B">
      <w:pPr>
        <w:spacing w:line="379" w:lineRule="auto"/>
        <w:rPr>
          <w:rFonts w:ascii="Arial"/>
          <w:sz w:val="21"/>
        </w:rPr>
      </w:pPr>
    </w:p>
    <w:p w14:paraId="69F25460">
      <w:pPr>
        <w:pStyle w:val="2"/>
        <w:spacing w:before="79"/>
        <w:ind w:left="471"/>
      </w:pPr>
      <w:r>
        <w:rPr>
          <w:rFonts w:ascii="Calibri" w:hAnsi="Calibri" w:eastAsia="Calibri" w:cs="Calibri"/>
          <w:spacing w:val="-6"/>
        </w:rPr>
        <w:t>1.</w:t>
      </w:r>
      <w:r>
        <w:rPr>
          <w:rFonts w:ascii="Calibri" w:hAnsi="Calibri" w:eastAsia="Calibri" w:cs="Calibri"/>
          <w:spacing w:val="9"/>
        </w:rPr>
        <w:t xml:space="preserve">    </w:t>
      </w:r>
      <w:r>
        <w:rPr>
          <w:spacing w:val="-6"/>
        </w:rPr>
        <w:t>高速公路</w:t>
      </w:r>
    </w:p>
    <w:p w14:paraId="436B475D">
      <w:pPr>
        <w:pStyle w:val="2"/>
        <w:spacing w:before="175" w:line="377" w:lineRule="auto"/>
        <w:ind w:left="74" w:right="751" w:firstLine="444"/>
      </w:pPr>
      <w:r>
        <w:rPr>
          <w:spacing w:val="-1"/>
        </w:rPr>
        <w:t>规划结合现状雅攀高速在安宁片区和新九片区设置的出入口，积极扩建和疏</w:t>
      </w:r>
      <w:r>
        <w:rPr>
          <w:spacing w:val="-2"/>
        </w:rPr>
        <w:t>导高速公路出入口连接线。同时结合规划中的沿江高速，形成钒钛产业开发区对外高效的</w:t>
      </w:r>
      <w:r>
        <w:rPr>
          <w:spacing w:val="-3"/>
        </w:rPr>
        <w:t>连接通道。</w:t>
      </w:r>
    </w:p>
    <w:p w14:paraId="03825C79">
      <w:pPr>
        <w:pStyle w:val="2"/>
        <w:spacing w:before="1" w:line="239" w:lineRule="auto"/>
        <w:ind w:left="464"/>
      </w:pPr>
      <w:r>
        <w:rPr>
          <w:rFonts w:ascii="Calibri" w:hAnsi="Calibri" w:eastAsia="Calibri" w:cs="Calibri"/>
          <w:spacing w:val="-4"/>
        </w:rPr>
        <w:t>2.</w:t>
      </w:r>
      <w:r>
        <w:rPr>
          <w:rFonts w:ascii="Calibri" w:hAnsi="Calibri" w:eastAsia="Calibri" w:cs="Calibri"/>
          <w:spacing w:val="7"/>
        </w:rPr>
        <w:t xml:space="preserve">    </w:t>
      </w:r>
      <w:r>
        <w:rPr>
          <w:spacing w:val="-4"/>
        </w:rPr>
        <w:t>快速路</w:t>
      </w:r>
    </w:p>
    <w:p w14:paraId="2052243A">
      <w:pPr>
        <w:pStyle w:val="2"/>
        <w:spacing w:before="178" w:line="219" w:lineRule="auto"/>
        <w:ind w:left="521"/>
      </w:pPr>
      <w:r>
        <w:rPr>
          <w:b/>
          <w:bCs/>
          <w:spacing w:val="-2"/>
          <w:u w:val="single" w:color="auto"/>
        </w:rPr>
        <w:t>本次规划形成“一横两纵”的区域快速交通网络。</w:t>
      </w:r>
    </w:p>
    <w:p w14:paraId="470A3551">
      <w:pPr>
        <w:pStyle w:val="2"/>
        <w:spacing w:before="203" w:line="233" w:lineRule="auto"/>
        <w:ind w:left="524"/>
      </w:pPr>
      <w:r>
        <w:rPr>
          <w:b/>
          <w:bCs/>
          <w:spacing w:val="-2"/>
          <w:u w:val="single" w:color="auto"/>
        </w:rPr>
        <w:t>一横：将国道</w:t>
      </w:r>
      <w:r>
        <w:rPr>
          <w:spacing w:val="-54"/>
          <w:u w:val="single" w:color="auto"/>
        </w:rPr>
        <w:t xml:space="preserve"> </w:t>
      </w:r>
      <w:r>
        <w:rPr>
          <w:rFonts w:ascii="Times New Roman" w:hAnsi="Times New Roman" w:eastAsia="Times New Roman" w:cs="Times New Roman"/>
          <w:b/>
          <w:bCs/>
          <w:spacing w:val="-2"/>
          <w:u w:val="single" w:color="auto"/>
        </w:rPr>
        <w:t>353</w:t>
      </w:r>
      <w:r>
        <w:rPr>
          <w:b/>
          <w:bCs/>
          <w:spacing w:val="-2"/>
          <w:u w:val="single" w:color="auto"/>
        </w:rPr>
        <w:t>（原省道</w:t>
      </w:r>
      <w:r>
        <w:rPr>
          <w:spacing w:val="-54"/>
          <w:u w:val="single" w:color="auto"/>
        </w:rPr>
        <w:t xml:space="preserve"> </w:t>
      </w:r>
      <w:r>
        <w:rPr>
          <w:rFonts w:ascii="Times New Roman" w:hAnsi="Times New Roman" w:eastAsia="Times New Roman" w:cs="Times New Roman"/>
          <w:b/>
          <w:bCs/>
          <w:spacing w:val="-2"/>
          <w:u w:val="single" w:color="auto"/>
        </w:rPr>
        <w:t>310</w:t>
      </w:r>
      <w:r>
        <w:rPr>
          <w:b/>
          <w:bCs/>
          <w:spacing w:val="-2"/>
          <w:u w:val="single" w:color="auto"/>
        </w:rPr>
        <w:t>）升级成为连接县城、安宁和红格之间的快速通道。</w:t>
      </w:r>
    </w:p>
    <w:p w14:paraId="0BEFBC2C">
      <w:pPr>
        <w:pStyle w:val="2"/>
        <w:spacing w:before="185" w:line="377" w:lineRule="auto"/>
        <w:ind w:left="39" w:right="748" w:firstLine="482"/>
      </w:pPr>
      <w:r>
        <w:rPr>
          <w:b/>
          <w:bCs/>
          <w:spacing w:val="-2"/>
          <w:u w:val="single" w:color="auto"/>
        </w:rPr>
        <w:t>两纵：规划新建的</w:t>
      </w:r>
      <w:r>
        <w:rPr>
          <w:spacing w:val="-2"/>
          <w:u w:val="single" w:color="auto"/>
        </w:rPr>
        <w:t xml:space="preserve"> </w:t>
      </w:r>
      <w:r>
        <w:rPr>
          <w:rFonts w:ascii="Times New Roman" w:hAnsi="Times New Roman" w:eastAsia="Times New Roman" w:cs="Times New Roman"/>
          <w:b/>
          <w:bCs/>
          <w:spacing w:val="-2"/>
          <w:u w:val="single" w:color="auto"/>
        </w:rPr>
        <w:t xml:space="preserve">G4216  </w:t>
      </w:r>
      <w:r>
        <w:rPr>
          <w:b/>
          <w:bCs/>
          <w:spacing w:val="-2"/>
          <w:u w:val="single" w:color="auto"/>
        </w:rPr>
        <w:t>连接线，是连接盐边县城与安宁片区的纵向区间快速通道；规划</w:t>
      </w:r>
      <w:r>
        <w:rPr>
          <w:b/>
          <w:bCs/>
          <w:spacing w:val="-1"/>
          <w:u w:val="single" w:color="auto"/>
        </w:rPr>
        <w:t>保留新九大道新九片区至红格路段。</w:t>
      </w:r>
    </w:p>
    <w:p w14:paraId="68EDE097">
      <w:pPr>
        <w:pStyle w:val="2"/>
        <w:spacing w:before="1" w:line="218" w:lineRule="auto"/>
        <w:ind w:left="519"/>
      </w:pPr>
      <w:r>
        <w:rPr>
          <w:spacing w:val="-2"/>
        </w:rPr>
        <w:t>严格控制新安路、省道</w:t>
      </w:r>
      <w:r>
        <w:rPr>
          <w:spacing w:val="-51"/>
        </w:rPr>
        <w:t xml:space="preserve"> </w:t>
      </w:r>
      <w:r>
        <w:rPr>
          <w:rFonts w:ascii="Calibri" w:hAnsi="Calibri" w:eastAsia="Calibri" w:cs="Calibri"/>
          <w:spacing w:val="-2"/>
        </w:rPr>
        <w:t>S218</w:t>
      </w:r>
      <w:r>
        <w:rPr>
          <w:rFonts w:ascii="Calibri" w:hAnsi="Calibri" w:eastAsia="Calibri" w:cs="Calibri"/>
          <w:spacing w:val="-27"/>
        </w:rPr>
        <w:t xml:space="preserve"> </w:t>
      </w:r>
      <w:r>
        <w:rPr>
          <w:spacing w:val="-2"/>
        </w:rPr>
        <w:t>、新九大道沿线建筑布局，尽量营造优良的道路景观风貌。</w:t>
      </w:r>
    </w:p>
    <w:p w14:paraId="5533D527">
      <w:pPr>
        <w:spacing w:line="300" w:lineRule="auto"/>
        <w:rPr>
          <w:rFonts w:ascii="Arial"/>
          <w:sz w:val="21"/>
        </w:rPr>
      </w:pPr>
    </w:p>
    <w:p w14:paraId="140F0CE1">
      <w:pPr>
        <w:spacing w:before="92" w:line="219" w:lineRule="auto"/>
        <w:ind w:left="250"/>
        <w:rPr>
          <w:rFonts w:ascii="黑体" w:hAnsi="黑体" w:eastAsia="黑体" w:cs="黑体"/>
          <w:sz w:val="28"/>
          <w:szCs w:val="28"/>
        </w:rPr>
      </w:pPr>
      <w:r>
        <w:rPr>
          <w:rFonts w:ascii="黑体" w:hAnsi="黑体" w:eastAsia="黑体" w:cs="黑体"/>
          <w:spacing w:val="-2"/>
          <w:sz w:val="28"/>
          <w:szCs w:val="28"/>
        </w:rPr>
        <w:t>第二十五条</w:t>
      </w:r>
      <w:r>
        <w:rPr>
          <w:rFonts w:ascii="黑体" w:hAnsi="黑体" w:eastAsia="黑体" w:cs="黑体"/>
          <w:spacing w:val="27"/>
          <w:sz w:val="28"/>
          <w:szCs w:val="28"/>
        </w:rPr>
        <w:t xml:space="preserve">   </w:t>
      </w:r>
      <w:r>
        <w:rPr>
          <w:rFonts w:ascii="黑体" w:hAnsi="黑体" w:eastAsia="黑体" w:cs="黑体"/>
          <w:spacing w:val="-2"/>
          <w:sz w:val="28"/>
          <w:szCs w:val="28"/>
        </w:rPr>
        <w:t>道路系统规划</w:t>
      </w:r>
    </w:p>
    <w:p w14:paraId="47561C6E">
      <w:pPr>
        <w:spacing w:line="441" w:lineRule="auto"/>
        <w:rPr>
          <w:rFonts w:ascii="Arial"/>
          <w:sz w:val="21"/>
        </w:rPr>
      </w:pPr>
    </w:p>
    <w:p w14:paraId="0F4F5F06">
      <w:pPr>
        <w:spacing w:before="78" w:line="218" w:lineRule="auto"/>
        <w:ind w:left="522"/>
        <w:rPr>
          <w:rFonts w:ascii="黑体" w:hAnsi="黑体" w:eastAsia="黑体" w:cs="黑体"/>
          <w:sz w:val="24"/>
          <w:szCs w:val="24"/>
        </w:rPr>
      </w:pPr>
      <w:r>
        <w:rPr>
          <w:rFonts w:ascii="黑体" w:hAnsi="黑体" w:eastAsia="黑体" w:cs="黑体"/>
          <w:spacing w:val="-2"/>
          <w:sz w:val="24"/>
          <w:szCs w:val="24"/>
        </w:rPr>
        <w:t>一、道路分类</w:t>
      </w:r>
    </w:p>
    <w:p w14:paraId="7EF60BBC">
      <w:pPr>
        <w:spacing w:line="384" w:lineRule="auto"/>
        <w:rPr>
          <w:rFonts w:ascii="Arial"/>
          <w:sz w:val="21"/>
        </w:rPr>
      </w:pPr>
    </w:p>
    <w:p w14:paraId="5F767C7B">
      <w:pPr>
        <w:pStyle w:val="2"/>
        <w:spacing w:before="78" w:line="219" w:lineRule="auto"/>
        <w:ind w:left="519"/>
      </w:pPr>
      <w:r>
        <w:rPr>
          <w:spacing w:val="-2"/>
        </w:rPr>
        <w:t>规划道路系统分为快速路、主干路、次干路、支路四级。</w:t>
      </w:r>
    </w:p>
    <w:p w14:paraId="14436735">
      <w:pPr>
        <w:pStyle w:val="2"/>
        <w:spacing w:before="203"/>
        <w:ind w:left="471"/>
      </w:pPr>
      <w:r>
        <w:rPr>
          <w:rFonts w:ascii="Calibri" w:hAnsi="Calibri" w:eastAsia="Calibri" w:cs="Calibri"/>
          <w:spacing w:val="-6"/>
        </w:rPr>
        <w:t>1.</w:t>
      </w:r>
      <w:r>
        <w:rPr>
          <w:rFonts w:ascii="Calibri" w:hAnsi="Calibri" w:eastAsia="Calibri" w:cs="Calibri"/>
          <w:spacing w:val="7"/>
        </w:rPr>
        <w:t xml:space="preserve">    </w:t>
      </w:r>
      <w:r>
        <w:rPr>
          <w:spacing w:val="-6"/>
        </w:rPr>
        <w:t>快速路</w:t>
      </w:r>
    </w:p>
    <w:p w14:paraId="29EA897A">
      <w:pPr>
        <w:pStyle w:val="2"/>
        <w:spacing w:before="177" w:line="281" w:lineRule="auto"/>
        <w:ind w:left="40" w:right="748" w:firstLine="477"/>
      </w:pPr>
      <w:r>
        <w:rPr>
          <w:rFonts w:ascii="Times New Roman" w:hAnsi="Times New Roman" w:eastAsia="Times New Roman" w:cs="Times New Roman"/>
        </w:rPr>
        <w:t xml:space="preserve">G4216 </w:t>
      </w:r>
      <w:r>
        <w:t>连接线，道路红线宽度为</w:t>
      </w:r>
      <w:r>
        <w:rPr>
          <w:rFonts w:ascii="Times New Roman" w:hAnsi="Times New Roman" w:eastAsia="Times New Roman" w:cs="Times New Roman"/>
        </w:rPr>
        <w:t>24</w:t>
      </w:r>
      <w:r>
        <w:rPr>
          <w:rFonts w:ascii="Times New Roman" w:hAnsi="Times New Roman" w:eastAsia="Times New Roman" w:cs="Times New Roman"/>
          <w:spacing w:val="-34"/>
        </w:rPr>
        <w:t xml:space="preserve"> </w:t>
      </w:r>
      <w:r>
        <w:t>、</w:t>
      </w:r>
      <w:r>
        <w:rPr>
          <w:rFonts w:ascii="Times New Roman" w:hAnsi="Times New Roman" w:eastAsia="Times New Roman" w:cs="Times New Roman"/>
        </w:rPr>
        <w:t xml:space="preserve">20 </w:t>
      </w:r>
      <w:r>
        <w:t>米，横断面为（</w:t>
      </w:r>
      <w:r>
        <w:rPr>
          <w:rFonts w:ascii="Times New Roman" w:hAnsi="Times New Roman" w:eastAsia="Times New Roman" w:cs="Times New Roman"/>
        </w:rPr>
        <w:t xml:space="preserve">12 </w:t>
      </w:r>
      <w:r>
        <w:t>米</w:t>
      </w:r>
      <w:r>
        <w:rPr>
          <w:rFonts w:ascii="Times New Roman" w:hAnsi="Times New Roman" w:eastAsia="Times New Roman" w:cs="Times New Roman"/>
        </w:rPr>
        <w:t xml:space="preserve">+12 </w:t>
      </w:r>
      <w:r>
        <w:t>米、</w:t>
      </w:r>
      <w:r>
        <w:rPr>
          <w:rFonts w:ascii="Times New Roman" w:hAnsi="Times New Roman" w:eastAsia="Times New Roman" w:cs="Times New Roman"/>
        </w:rPr>
        <w:t xml:space="preserve">10 </w:t>
      </w:r>
      <w:r>
        <w:t>米</w:t>
      </w:r>
      <w:r>
        <w:rPr>
          <w:rFonts w:ascii="Times New Roman" w:hAnsi="Times New Roman" w:eastAsia="Times New Roman" w:cs="Times New Roman"/>
        </w:rPr>
        <w:t xml:space="preserve">+10 </w:t>
      </w:r>
      <w:r>
        <w:t>米</w:t>
      </w:r>
      <w:r>
        <w:rPr>
          <w:spacing w:val="-62"/>
        </w:rPr>
        <w:t>），</w:t>
      </w:r>
      <w:r>
        <w:t>双向</w:t>
      </w:r>
      <w:r>
        <w:rPr>
          <w:spacing w:val="-29"/>
        </w:rPr>
        <w:t xml:space="preserve"> </w:t>
      </w:r>
      <w:r>
        <w:rPr>
          <w:rFonts w:ascii="Times New Roman" w:hAnsi="Times New Roman" w:eastAsia="Times New Roman" w:cs="Times New Roman"/>
        </w:rPr>
        <w:t>4</w:t>
      </w:r>
      <w:r>
        <w:rPr>
          <w:spacing w:val="-11"/>
        </w:rPr>
        <w:t>车道。</w:t>
      </w:r>
    </w:p>
    <w:p w14:paraId="16AA77A4">
      <w:pPr>
        <w:spacing w:line="14" w:lineRule="auto"/>
        <w:rPr>
          <w:rFonts w:ascii="Arial"/>
          <w:sz w:val="2"/>
        </w:rPr>
      </w:pPr>
      <w:r>
        <w:rPr>
          <w:rFonts w:ascii="Arial" w:hAnsi="Arial" w:eastAsia="Arial" w:cs="Arial"/>
          <w:sz w:val="2"/>
          <w:szCs w:val="2"/>
        </w:rPr>
        <w:br w:type="column"/>
      </w:r>
    </w:p>
    <w:p w14:paraId="30E4D5EB">
      <w:pPr>
        <w:pStyle w:val="2"/>
        <w:spacing w:before="61" w:line="377" w:lineRule="auto"/>
        <w:ind w:left="7" w:right="88" w:firstLine="474"/>
      </w:pPr>
      <w:r>
        <w:rPr>
          <w:spacing w:val="-1"/>
        </w:rPr>
        <w:t xml:space="preserve">新九大道——新九片区至红格路段道路红线宽度为 </w:t>
      </w:r>
      <w:r>
        <w:rPr>
          <w:rFonts w:ascii="Times New Roman" w:hAnsi="Times New Roman" w:eastAsia="Times New Roman" w:cs="Times New Roman"/>
          <w:spacing w:val="-1"/>
        </w:rPr>
        <w:t xml:space="preserve">12  </w:t>
      </w:r>
      <w:r>
        <w:rPr>
          <w:spacing w:val="-1"/>
        </w:rPr>
        <w:t>米，为现状改建升级道路，</w:t>
      </w:r>
      <w:r>
        <w:rPr>
          <w:spacing w:val="-2"/>
        </w:rPr>
        <w:t>横断面为</w:t>
      </w:r>
      <w:r>
        <w:rPr>
          <w:spacing w:val="-3"/>
        </w:rPr>
        <w:t>（</w:t>
      </w:r>
      <w:r>
        <w:rPr>
          <w:rFonts w:ascii="Times New Roman" w:hAnsi="Times New Roman" w:eastAsia="Times New Roman" w:cs="Times New Roman"/>
          <w:spacing w:val="-3"/>
        </w:rPr>
        <w:t xml:space="preserve">2 </w:t>
      </w:r>
      <w:r>
        <w:rPr>
          <w:spacing w:val="-3"/>
        </w:rPr>
        <w:t>米</w:t>
      </w:r>
      <w:r>
        <w:rPr>
          <w:rFonts w:ascii="Times New Roman" w:hAnsi="Times New Roman" w:eastAsia="Times New Roman" w:cs="Times New Roman"/>
          <w:spacing w:val="-3"/>
        </w:rPr>
        <w:t xml:space="preserve">+8 </w:t>
      </w:r>
      <w:r>
        <w:rPr>
          <w:spacing w:val="-3"/>
        </w:rPr>
        <w:t>米</w:t>
      </w:r>
      <w:r>
        <w:rPr>
          <w:rFonts w:ascii="Times New Roman" w:hAnsi="Times New Roman" w:eastAsia="Times New Roman" w:cs="Times New Roman"/>
          <w:spacing w:val="-3"/>
        </w:rPr>
        <w:t>+2</w:t>
      </w:r>
      <w:r>
        <w:rPr>
          <w:rFonts w:ascii="Times New Roman" w:hAnsi="Times New Roman" w:eastAsia="Times New Roman" w:cs="Times New Roman"/>
          <w:spacing w:val="10"/>
        </w:rPr>
        <w:t xml:space="preserve"> </w:t>
      </w:r>
      <w:r>
        <w:rPr>
          <w:spacing w:val="-3"/>
        </w:rPr>
        <w:t>米</w:t>
      </w:r>
      <w:r>
        <w:rPr>
          <w:spacing w:val="-33"/>
        </w:rPr>
        <w:t>），</w:t>
      </w:r>
      <w:r>
        <w:rPr>
          <w:spacing w:val="-3"/>
        </w:rPr>
        <w:t>双向</w:t>
      </w:r>
      <w:r>
        <w:rPr>
          <w:rFonts w:ascii="Times New Roman" w:hAnsi="Times New Roman" w:eastAsia="Times New Roman" w:cs="Times New Roman"/>
          <w:spacing w:val="-3"/>
        </w:rPr>
        <w:t>2</w:t>
      </w:r>
      <w:r>
        <w:rPr>
          <w:rFonts w:ascii="Times New Roman" w:hAnsi="Times New Roman" w:eastAsia="Times New Roman" w:cs="Times New Roman"/>
          <w:spacing w:val="12"/>
        </w:rPr>
        <w:t xml:space="preserve"> </w:t>
      </w:r>
      <w:r>
        <w:rPr>
          <w:spacing w:val="-3"/>
        </w:rPr>
        <w:t>车道。</w:t>
      </w:r>
    </w:p>
    <w:p w14:paraId="48D04B7F">
      <w:pPr>
        <w:pStyle w:val="2"/>
        <w:spacing w:before="1" w:line="238" w:lineRule="auto"/>
        <w:ind w:left="427"/>
      </w:pPr>
      <w:r>
        <w:rPr>
          <w:rFonts w:ascii="Calibri" w:hAnsi="Calibri" w:eastAsia="Calibri" w:cs="Calibri"/>
          <w:spacing w:val="-5"/>
        </w:rPr>
        <w:t>2.</w:t>
      </w:r>
      <w:r>
        <w:rPr>
          <w:rFonts w:ascii="Calibri" w:hAnsi="Calibri" w:eastAsia="Calibri" w:cs="Calibri"/>
          <w:spacing w:val="8"/>
        </w:rPr>
        <w:t xml:space="preserve">    </w:t>
      </w:r>
      <w:r>
        <w:rPr>
          <w:spacing w:val="-5"/>
        </w:rPr>
        <w:t>主干路</w:t>
      </w:r>
    </w:p>
    <w:p w14:paraId="574A105B">
      <w:pPr>
        <w:pStyle w:val="2"/>
        <w:spacing w:before="175" w:line="377" w:lineRule="auto"/>
        <w:ind w:left="10" w:firstLine="474"/>
      </w:pPr>
      <w:r>
        <w:rPr>
          <w:spacing w:val="-3"/>
        </w:rPr>
        <w:t>设计车速</w:t>
      </w:r>
      <w:r>
        <w:rPr>
          <w:spacing w:val="-32"/>
        </w:rPr>
        <w:t xml:space="preserve"> </w:t>
      </w:r>
      <w:r>
        <w:rPr>
          <w:rFonts w:ascii="Times New Roman" w:hAnsi="Times New Roman" w:eastAsia="Times New Roman" w:cs="Times New Roman"/>
          <w:spacing w:val="-3"/>
        </w:rPr>
        <w:t>40</w:t>
      </w:r>
      <w:r>
        <w:rPr>
          <w:spacing w:val="-3"/>
        </w:rPr>
        <w:t>—</w:t>
      </w:r>
      <w:r>
        <w:rPr>
          <w:rFonts w:ascii="Times New Roman" w:hAnsi="Times New Roman" w:eastAsia="Times New Roman" w:cs="Times New Roman"/>
          <w:spacing w:val="-3"/>
        </w:rPr>
        <w:t>60</w:t>
      </w:r>
      <w:r>
        <w:rPr>
          <w:rFonts w:ascii="Times New Roman" w:hAnsi="Times New Roman" w:eastAsia="Times New Roman" w:cs="Times New Roman"/>
          <w:spacing w:val="26"/>
          <w:w w:val="101"/>
        </w:rPr>
        <w:t xml:space="preserve"> </w:t>
      </w:r>
      <w:r>
        <w:rPr>
          <w:spacing w:val="-3"/>
        </w:rPr>
        <w:t>公里</w:t>
      </w:r>
      <w:r>
        <w:rPr>
          <w:rFonts w:ascii="Times New Roman" w:hAnsi="Times New Roman" w:eastAsia="Times New Roman" w:cs="Times New Roman"/>
          <w:spacing w:val="-3"/>
        </w:rPr>
        <w:t>/</w:t>
      </w:r>
      <w:r>
        <w:rPr>
          <w:spacing w:val="-3"/>
        </w:rPr>
        <w:t>小时。道路红线宽度分别为</w:t>
      </w:r>
      <w:r>
        <w:rPr>
          <w:spacing w:val="-45"/>
        </w:rPr>
        <w:t xml:space="preserve"> </w:t>
      </w:r>
      <w:r>
        <w:rPr>
          <w:rFonts w:ascii="Times New Roman" w:hAnsi="Times New Roman" w:eastAsia="Times New Roman" w:cs="Times New Roman"/>
          <w:spacing w:val="-3"/>
        </w:rPr>
        <w:t>21</w:t>
      </w:r>
      <w:r>
        <w:rPr>
          <w:rFonts w:ascii="Times New Roman" w:hAnsi="Times New Roman" w:eastAsia="Times New Roman" w:cs="Times New Roman"/>
          <w:spacing w:val="19"/>
        </w:rPr>
        <w:t xml:space="preserve"> </w:t>
      </w:r>
      <w:r>
        <w:rPr>
          <w:spacing w:val="-3"/>
        </w:rPr>
        <w:t>米、</w:t>
      </w:r>
      <w:r>
        <w:rPr>
          <w:rFonts w:ascii="Times New Roman" w:hAnsi="Times New Roman" w:eastAsia="Times New Roman" w:cs="Times New Roman"/>
          <w:spacing w:val="-3"/>
        </w:rPr>
        <w:t>19</w:t>
      </w:r>
      <w:r>
        <w:rPr>
          <w:rFonts w:ascii="Times New Roman" w:hAnsi="Times New Roman" w:eastAsia="Times New Roman" w:cs="Times New Roman"/>
          <w:spacing w:val="19"/>
        </w:rPr>
        <w:t xml:space="preserve"> </w:t>
      </w:r>
      <w:r>
        <w:rPr>
          <w:spacing w:val="-3"/>
        </w:rPr>
        <w:t>米及</w:t>
      </w:r>
      <w:r>
        <w:rPr>
          <w:spacing w:val="-23"/>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19"/>
          <w:w w:val="101"/>
        </w:rPr>
        <w:t xml:space="preserve"> </w:t>
      </w:r>
      <w:r>
        <w:rPr>
          <w:spacing w:val="-3"/>
        </w:rPr>
        <w:t>米，其中</w:t>
      </w:r>
      <w:r>
        <w:rPr>
          <w:spacing w:val="-46"/>
        </w:rPr>
        <w:t xml:space="preserve"> </w:t>
      </w:r>
      <w:r>
        <w:rPr>
          <w:rFonts w:ascii="Times New Roman" w:hAnsi="Times New Roman" w:eastAsia="Times New Roman" w:cs="Times New Roman"/>
          <w:spacing w:val="-3"/>
        </w:rPr>
        <w:t>21</w:t>
      </w:r>
      <w:r>
        <w:rPr>
          <w:rFonts w:ascii="Times New Roman" w:hAnsi="Times New Roman" w:eastAsia="Times New Roman" w:cs="Times New Roman"/>
          <w:spacing w:val="19"/>
          <w:w w:val="101"/>
        </w:rPr>
        <w:t xml:space="preserve"> </w:t>
      </w:r>
      <w:r>
        <w:rPr>
          <w:spacing w:val="-3"/>
        </w:rPr>
        <w:t>米道路横</w:t>
      </w:r>
      <w:r>
        <w:rPr>
          <w:spacing w:val="-7"/>
        </w:rPr>
        <w:t>断面为（</w:t>
      </w:r>
      <w:r>
        <w:rPr>
          <w:rFonts w:ascii="Times New Roman" w:hAnsi="Times New Roman" w:eastAsia="Times New Roman" w:cs="Times New Roman"/>
          <w:spacing w:val="-7"/>
        </w:rPr>
        <w:t>3</w:t>
      </w:r>
      <w:r>
        <w:rPr>
          <w:rFonts w:ascii="Times New Roman" w:hAnsi="Times New Roman" w:eastAsia="Times New Roman" w:cs="Times New Roman"/>
          <w:spacing w:val="19"/>
          <w:w w:val="101"/>
        </w:rPr>
        <w:t xml:space="preserve"> </w:t>
      </w:r>
      <w:r>
        <w:rPr>
          <w:spacing w:val="-7"/>
        </w:rPr>
        <w:t>米</w:t>
      </w:r>
      <w:r>
        <w:rPr>
          <w:rFonts w:ascii="Times New Roman" w:hAnsi="Times New Roman" w:eastAsia="Times New Roman" w:cs="Times New Roman"/>
          <w:spacing w:val="-7"/>
        </w:rPr>
        <w:t>+15</w:t>
      </w:r>
      <w:r>
        <w:rPr>
          <w:rFonts w:ascii="Times New Roman" w:hAnsi="Times New Roman" w:eastAsia="Times New Roman" w:cs="Times New Roman"/>
          <w:spacing w:val="16"/>
          <w:w w:val="101"/>
        </w:rPr>
        <w:t xml:space="preserve"> </w:t>
      </w:r>
      <w:r>
        <w:rPr>
          <w:spacing w:val="-7"/>
        </w:rPr>
        <w:t>米</w:t>
      </w:r>
      <w:r>
        <w:rPr>
          <w:rFonts w:ascii="Times New Roman" w:hAnsi="Times New Roman" w:eastAsia="Times New Roman" w:cs="Times New Roman"/>
          <w:spacing w:val="-7"/>
        </w:rPr>
        <w:t>+3</w:t>
      </w:r>
      <w:r>
        <w:rPr>
          <w:rFonts w:ascii="Times New Roman" w:hAnsi="Times New Roman" w:eastAsia="Times New Roman" w:cs="Times New Roman"/>
          <w:spacing w:val="18"/>
          <w:w w:val="101"/>
        </w:rPr>
        <w:t xml:space="preserve"> </w:t>
      </w:r>
      <w:r>
        <w:rPr>
          <w:spacing w:val="-7"/>
        </w:rPr>
        <w:t>米</w:t>
      </w:r>
      <w:r>
        <w:rPr>
          <w:spacing w:val="-38"/>
        </w:rPr>
        <w:t>），</w:t>
      </w:r>
      <w:r>
        <w:rPr>
          <w:spacing w:val="-7"/>
        </w:rPr>
        <w:t>双向</w:t>
      </w:r>
      <w:r>
        <w:rPr>
          <w:spacing w:val="-24"/>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19"/>
        </w:rPr>
        <w:t xml:space="preserve"> </w:t>
      </w:r>
      <w:r>
        <w:rPr>
          <w:spacing w:val="-7"/>
        </w:rPr>
        <w:t>车道；</w:t>
      </w:r>
      <w:r>
        <w:rPr>
          <w:rFonts w:ascii="Times New Roman" w:hAnsi="Times New Roman" w:eastAsia="Times New Roman" w:cs="Times New Roman"/>
          <w:spacing w:val="-7"/>
        </w:rPr>
        <w:t>19</w:t>
      </w:r>
      <w:r>
        <w:rPr>
          <w:rFonts w:ascii="Times New Roman" w:hAnsi="Times New Roman" w:eastAsia="Times New Roman" w:cs="Times New Roman"/>
          <w:spacing w:val="19"/>
        </w:rPr>
        <w:t xml:space="preserve"> </w:t>
      </w:r>
      <w:r>
        <w:rPr>
          <w:spacing w:val="-7"/>
        </w:rPr>
        <w:t>米道路横断面为（</w:t>
      </w:r>
      <w:r>
        <w:rPr>
          <w:rFonts w:ascii="Times New Roman" w:hAnsi="Times New Roman" w:eastAsia="Times New Roman" w:cs="Times New Roman"/>
          <w:spacing w:val="-7"/>
        </w:rPr>
        <w:t>2</w:t>
      </w:r>
      <w:r>
        <w:rPr>
          <w:rFonts w:ascii="Times New Roman" w:hAnsi="Times New Roman" w:eastAsia="Times New Roman" w:cs="Times New Roman"/>
          <w:spacing w:val="16"/>
          <w:w w:val="101"/>
        </w:rPr>
        <w:t xml:space="preserve"> </w:t>
      </w:r>
      <w:r>
        <w:rPr>
          <w:spacing w:val="-7"/>
        </w:rPr>
        <w:t>米</w:t>
      </w:r>
      <w:r>
        <w:rPr>
          <w:rFonts w:ascii="Times New Roman" w:hAnsi="Times New Roman" w:eastAsia="Times New Roman" w:cs="Times New Roman"/>
          <w:spacing w:val="-7"/>
        </w:rPr>
        <w:t>+15</w:t>
      </w:r>
      <w:r>
        <w:rPr>
          <w:rFonts w:ascii="Times New Roman" w:hAnsi="Times New Roman" w:eastAsia="Times New Roman" w:cs="Times New Roman"/>
          <w:spacing w:val="16"/>
        </w:rPr>
        <w:t xml:space="preserve"> </w:t>
      </w:r>
      <w:r>
        <w:rPr>
          <w:spacing w:val="-7"/>
        </w:rPr>
        <w:t>米</w:t>
      </w:r>
      <w:r>
        <w:rPr>
          <w:rFonts w:ascii="Times New Roman" w:hAnsi="Times New Roman" w:eastAsia="Times New Roman" w:cs="Times New Roman"/>
          <w:spacing w:val="-7"/>
        </w:rPr>
        <w:t>+2</w:t>
      </w:r>
      <w:r>
        <w:rPr>
          <w:rFonts w:ascii="Times New Roman" w:hAnsi="Times New Roman" w:eastAsia="Times New Roman" w:cs="Times New Roman"/>
          <w:spacing w:val="17"/>
        </w:rPr>
        <w:t xml:space="preserve"> </w:t>
      </w:r>
      <w:r>
        <w:rPr>
          <w:spacing w:val="-7"/>
        </w:rPr>
        <w:t>米</w:t>
      </w:r>
      <w:r>
        <w:rPr>
          <w:spacing w:val="-38"/>
        </w:rPr>
        <w:t>），</w:t>
      </w:r>
      <w:r>
        <w:rPr>
          <w:spacing w:val="-7"/>
        </w:rPr>
        <w:t xml:space="preserve">双向 </w:t>
      </w:r>
      <w:r>
        <w:rPr>
          <w:rFonts w:ascii="Times New Roman" w:hAnsi="Times New Roman" w:eastAsia="Times New Roman" w:cs="Times New Roman"/>
          <w:spacing w:val="-7"/>
        </w:rPr>
        <w:t>4</w:t>
      </w:r>
      <w:r>
        <w:rPr>
          <w:rFonts w:ascii="Times New Roman" w:hAnsi="Times New Roman" w:eastAsia="Times New Roman" w:cs="Times New Roman"/>
          <w:spacing w:val="21"/>
        </w:rPr>
        <w:t xml:space="preserve"> </w:t>
      </w:r>
      <w:r>
        <w:rPr>
          <w:spacing w:val="-7"/>
        </w:rPr>
        <w:t>车道。</w:t>
      </w:r>
    </w:p>
    <w:p w14:paraId="3D04F335">
      <w:pPr>
        <w:pStyle w:val="2"/>
        <w:spacing w:before="1" w:line="232" w:lineRule="auto"/>
        <w:ind w:left="19"/>
      </w:pPr>
      <w:r>
        <w:rPr>
          <w:rFonts w:ascii="Times New Roman" w:hAnsi="Times New Roman" w:eastAsia="Times New Roman" w:cs="Times New Roman"/>
          <w:spacing w:val="-1"/>
        </w:rPr>
        <w:t xml:space="preserve">12 </w:t>
      </w:r>
      <w:r>
        <w:rPr>
          <w:spacing w:val="-1"/>
        </w:rPr>
        <w:t>米的主干道为新九大道——新九片区部分路段，横断面为（</w:t>
      </w:r>
      <w:r>
        <w:rPr>
          <w:rFonts w:ascii="Times New Roman" w:hAnsi="Times New Roman" w:eastAsia="Times New Roman" w:cs="Times New Roman"/>
          <w:spacing w:val="-1"/>
        </w:rPr>
        <w:t xml:space="preserve">2 </w:t>
      </w:r>
      <w:r>
        <w:rPr>
          <w:spacing w:val="-1"/>
        </w:rPr>
        <w:t>米</w:t>
      </w:r>
      <w:r>
        <w:rPr>
          <w:rFonts w:ascii="Times New Roman" w:hAnsi="Times New Roman" w:eastAsia="Times New Roman" w:cs="Times New Roman"/>
          <w:spacing w:val="-1"/>
        </w:rPr>
        <w:t xml:space="preserve">+8 </w:t>
      </w:r>
      <w:r>
        <w:rPr>
          <w:spacing w:val="-1"/>
        </w:rPr>
        <w:t>米</w:t>
      </w:r>
      <w:r>
        <w:rPr>
          <w:rFonts w:ascii="Times New Roman" w:hAnsi="Times New Roman" w:eastAsia="Times New Roman" w:cs="Times New Roman"/>
          <w:spacing w:val="-1"/>
        </w:rPr>
        <w:t xml:space="preserve">+2 </w:t>
      </w:r>
      <w:r>
        <w:rPr>
          <w:spacing w:val="-1"/>
        </w:rPr>
        <w:t>米</w:t>
      </w:r>
      <w:r>
        <w:rPr>
          <w:spacing w:val="-30"/>
        </w:rPr>
        <w:t>），</w:t>
      </w:r>
      <w:r>
        <w:rPr>
          <w:spacing w:val="-1"/>
        </w:rPr>
        <w:t>双向</w:t>
      </w:r>
      <w:r>
        <w:rPr>
          <w:rFonts w:ascii="Times New Roman" w:hAnsi="Times New Roman" w:eastAsia="Times New Roman" w:cs="Times New Roman"/>
          <w:spacing w:val="-1"/>
        </w:rPr>
        <w:t xml:space="preserve">2 </w:t>
      </w:r>
      <w:r>
        <w:rPr>
          <w:spacing w:val="-1"/>
        </w:rPr>
        <w:t>车道。</w:t>
      </w:r>
    </w:p>
    <w:p w14:paraId="483924D4">
      <w:pPr>
        <w:pStyle w:val="2"/>
        <w:spacing w:before="187" w:line="239" w:lineRule="auto"/>
        <w:ind w:left="426"/>
      </w:pPr>
      <w:r>
        <w:rPr>
          <w:rFonts w:ascii="Calibri" w:hAnsi="Calibri" w:eastAsia="Calibri" w:cs="Calibri"/>
          <w:spacing w:val="-5"/>
        </w:rPr>
        <w:t>3.</w:t>
      </w:r>
      <w:r>
        <w:rPr>
          <w:rFonts w:ascii="Calibri" w:hAnsi="Calibri" w:eastAsia="Calibri" w:cs="Calibri"/>
          <w:spacing w:val="9"/>
        </w:rPr>
        <w:t xml:space="preserve">    </w:t>
      </w:r>
      <w:r>
        <w:rPr>
          <w:spacing w:val="-5"/>
        </w:rPr>
        <w:t>次干路</w:t>
      </w:r>
    </w:p>
    <w:p w14:paraId="74A76EDC">
      <w:pPr>
        <w:pStyle w:val="2"/>
        <w:spacing w:before="176" w:line="368" w:lineRule="auto"/>
        <w:ind w:left="2" w:right="86" w:firstLine="482"/>
      </w:pPr>
      <w:r>
        <w:rPr>
          <w:spacing w:val="-2"/>
        </w:rPr>
        <w:t>设计车速为</w:t>
      </w:r>
      <w:r>
        <w:rPr>
          <w:spacing w:val="-51"/>
        </w:rPr>
        <w:t xml:space="preserve"> </w:t>
      </w:r>
      <w:r>
        <w:rPr>
          <w:rFonts w:ascii="Times New Roman" w:hAnsi="Times New Roman" w:eastAsia="Times New Roman" w:cs="Times New Roman"/>
          <w:spacing w:val="-2"/>
        </w:rPr>
        <w:t>30</w:t>
      </w:r>
      <w:r>
        <w:rPr>
          <w:spacing w:val="-2"/>
        </w:rPr>
        <w:t>—</w:t>
      </w:r>
      <w:r>
        <w:rPr>
          <w:rFonts w:ascii="Times New Roman" w:hAnsi="Times New Roman" w:eastAsia="Times New Roman" w:cs="Times New Roman"/>
          <w:spacing w:val="-2"/>
        </w:rPr>
        <w:t>50</w:t>
      </w:r>
      <w:r>
        <w:rPr>
          <w:rFonts w:ascii="Times New Roman" w:hAnsi="Times New Roman" w:eastAsia="Times New Roman" w:cs="Times New Roman"/>
          <w:spacing w:val="17"/>
          <w:w w:val="101"/>
        </w:rPr>
        <w:t xml:space="preserve"> </w:t>
      </w:r>
      <w:r>
        <w:rPr>
          <w:spacing w:val="-2"/>
        </w:rPr>
        <w:t>公里</w:t>
      </w:r>
      <w:r>
        <w:rPr>
          <w:rFonts w:ascii="Times New Roman" w:hAnsi="Times New Roman" w:eastAsia="Times New Roman" w:cs="Times New Roman"/>
          <w:spacing w:val="-2"/>
        </w:rPr>
        <w:t>/</w:t>
      </w:r>
      <w:r>
        <w:rPr>
          <w:spacing w:val="-2"/>
        </w:rPr>
        <w:t>小时。道路红线宽度为</w:t>
      </w:r>
      <w:r>
        <w:rPr>
          <w:spacing w:val="-32"/>
        </w:rPr>
        <w:t xml:space="preserve"> </w:t>
      </w:r>
      <w:r>
        <w:rPr>
          <w:rFonts w:ascii="Times New Roman" w:hAnsi="Times New Roman" w:eastAsia="Times New Roman" w:cs="Times New Roman"/>
          <w:spacing w:val="-2"/>
        </w:rPr>
        <w:t xml:space="preserve">12 </w:t>
      </w:r>
      <w:r>
        <w:rPr>
          <w:spacing w:val="-2"/>
        </w:rPr>
        <w:t>米，横断面为（</w:t>
      </w:r>
      <w:r>
        <w:rPr>
          <w:rFonts w:ascii="Times New Roman" w:hAnsi="Times New Roman" w:eastAsia="Times New Roman" w:cs="Times New Roman"/>
          <w:spacing w:val="-2"/>
        </w:rPr>
        <w:t xml:space="preserve">2 </w:t>
      </w:r>
      <w:r>
        <w:rPr>
          <w:spacing w:val="-2"/>
        </w:rPr>
        <w:t>米</w:t>
      </w:r>
      <w:r>
        <w:rPr>
          <w:rFonts w:ascii="Times New Roman" w:hAnsi="Times New Roman" w:eastAsia="Times New Roman" w:cs="Times New Roman"/>
          <w:spacing w:val="-2"/>
        </w:rPr>
        <w:t xml:space="preserve">+8 </w:t>
      </w:r>
      <w:r>
        <w:rPr>
          <w:spacing w:val="-2"/>
        </w:rPr>
        <w:t>米</w:t>
      </w:r>
      <w:r>
        <w:rPr>
          <w:rFonts w:ascii="Times New Roman" w:hAnsi="Times New Roman" w:eastAsia="Times New Roman" w:cs="Times New Roman"/>
          <w:spacing w:val="-2"/>
        </w:rPr>
        <w:t xml:space="preserve">+2 </w:t>
      </w:r>
      <w:r>
        <w:rPr>
          <w:spacing w:val="-2"/>
        </w:rPr>
        <w:t>米</w:t>
      </w:r>
      <w:r>
        <w:rPr>
          <w:spacing w:val="-23"/>
        </w:rPr>
        <w:t>），</w:t>
      </w:r>
      <w:r>
        <w:rPr>
          <w:spacing w:val="-2"/>
        </w:rPr>
        <w:t>双向</w:t>
      </w:r>
      <w:r>
        <w:rPr>
          <w:rFonts w:ascii="Times New Roman" w:hAnsi="Times New Roman" w:eastAsia="Times New Roman" w:cs="Times New Roman"/>
          <w:spacing w:val="-2"/>
        </w:rPr>
        <w:t>2</w:t>
      </w:r>
      <w:r>
        <w:rPr>
          <w:spacing w:val="-11"/>
        </w:rPr>
        <w:t>车道。</w:t>
      </w:r>
    </w:p>
    <w:p w14:paraId="15E5148D">
      <w:pPr>
        <w:pStyle w:val="2"/>
        <w:spacing w:before="23"/>
        <w:ind w:left="419"/>
      </w:pPr>
      <w:r>
        <w:rPr>
          <w:rFonts w:ascii="Calibri" w:hAnsi="Calibri" w:eastAsia="Calibri" w:cs="Calibri"/>
          <w:spacing w:val="-3"/>
        </w:rPr>
        <w:t>4.</w:t>
      </w:r>
      <w:r>
        <w:rPr>
          <w:rFonts w:ascii="Calibri" w:hAnsi="Calibri" w:eastAsia="Calibri" w:cs="Calibri"/>
          <w:spacing w:val="7"/>
        </w:rPr>
        <w:t xml:space="preserve">    </w:t>
      </w:r>
      <w:r>
        <w:rPr>
          <w:spacing w:val="-3"/>
        </w:rPr>
        <w:t>支路</w:t>
      </w:r>
    </w:p>
    <w:p w14:paraId="6212563D">
      <w:pPr>
        <w:pStyle w:val="2"/>
        <w:spacing w:before="177" w:line="233" w:lineRule="auto"/>
        <w:ind w:left="482"/>
      </w:pPr>
      <w:r>
        <w:t>规划弹性道路，设计车速为</w:t>
      </w:r>
      <w:r>
        <w:rPr>
          <w:spacing w:val="-55"/>
        </w:rPr>
        <w:t xml:space="preserve"> </w:t>
      </w:r>
      <w:r>
        <w:rPr>
          <w:rFonts w:ascii="Times New Roman" w:hAnsi="Times New Roman" w:eastAsia="Times New Roman" w:cs="Times New Roman"/>
        </w:rPr>
        <w:t>20</w:t>
      </w:r>
      <w:r>
        <w:t>—</w:t>
      </w:r>
      <w:r>
        <w:rPr>
          <w:rFonts w:ascii="Times New Roman" w:hAnsi="Times New Roman" w:eastAsia="Times New Roman" w:cs="Times New Roman"/>
        </w:rPr>
        <w:t>40</w:t>
      </w:r>
      <w:r>
        <w:rPr>
          <w:rFonts w:ascii="Times New Roman" w:hAnsi="Times New Roman" w:eastAsia="Times New Roman" w:cs="Times New Roman"/>
          <w:spacing w:val="17"/>
        </w:rPr>
        <w:t xml:space="preserve"> </w:t>
      </w:r>
      <w:r>
        <w:t>公里</w:t>
      </w:r>
      <w:r>
        <w:rPr>
          <w:rFonts w:ascii="Times New Roman" w:hAnsi="Times New Roman" w:eastAsia="Times New Roman" w:cs="Times New Roman"/>
        </w:rPr>
        <w:t>/</w:t>
      </w:r>
      <w:r>
        <w:t>小时。道路红线宽度为</w:t>
      </w:r>
      <w:r>
        <w:rPr>
          <w:spacing w:val="-46"/>
        </w:rPr>
        <w:t xml:space="preserve"> </w:t>
      </w:r>
      <w:r>
        <w:rPr>
          <w:rFonts w:ascii="Times New Roman" w:hAnsi="Times New Roman" w:eastAsia="Times New Roman" w:cs="Times New Roman"/>
        </w:rPr>
        <w:t xml:space="preserve">8 </w:t>
      </w:r>
      <w:r>
        <w:t>米，双</w:t>
      </w:r>
      <w:r>
        <w:rPr>
          <w:spacing w:val="-1"/>
        </w:rPr>
        <w:t>向</w:t>
      </w:r>
      <w:r>
        <w:rPr>
          <w:rFonts w:ascii="Times New Roman" w:hAnsi="Times New Roman" w:eastAsia="Times New Roman" w:cs="Times New Roman"/>
          <w:spacing w:val="-1"/>
        </w:rPr>
        <w:t xml:space="preserve">2 </w:t>
      </w:r>
      <w:r>
        <w:rPr>
          <w:spacing w:val="-1"/>
        </w:rPr>
        <w:t>车道。</w:t>
      </w:r>
    </w:p>
    <w:p w14:paraId="4326E70E">
      <w:pPr>
        <w:spacing w:line="366" w:lineRule="auto"/>
        <w:rPr>
          <w:rFonts w:ascii="Arial"/>
          <w:sz w:val="21"/>
        </w:rPr>
      </w:pPr>
    </w:p>
    <w:p w14:paraId="4FB6736F">
      <w:pPr>
        <w:spacing w:before="79" w:line="220" w:lineRule="auto"/>
        <w:ind w:left="485"/>
        <w:rPr>
          <w:rFonts w:ascii="黑体" w:hAnsi="黑体" w:eastAsia="黑体" w:cs="黑体"/>
          <w:sz w:val="24"/>
          <w:szCs w:val="24"/>
        </w:rPr>
      </w:pPr>
      <w:r>
        <w:rPr>
          <w:rFonts w:ascii="黑体" w:hAnsi="黑体" w:eastAsia="黑体" w:cs="黑体"/>
          <w:spacing w:val="-2"/>
          <w:sz w:val="24"/>
          <w:szCs w:val="24"/>
        </w:rPr>
        <w:t>二、干路网结构规划</w:t>
      </w:r>
    </w:p>
    <w:p w14:paraId="21BC7BBB">
      <w:pPr>
        <w:spacing w:line="381" w:lineRule="auto"/>
        <w:rPr>
          <w:rFonts w:ascii="Arial"/>
          <w:sz w:val="21"/>
        </w:rPr>
      </w:pPr>
    </w:p>
    <w:p w14:paraId="34586B70">
      <w:pPr>
        <w:pStyle w:val="2"/>
        <w:spacing w:before="79" w:line="219" w:lineRule="auto"/>
        <w:ind w:left="484"/>
      </w:pPr>
      <w:r>
        <w:rPr>
          <w:b/>
          <w:bCs/>
          <w:spacing w:val="-2"/>
          <w:u w:val="single" w:color="auto"/>
        </w:rPr>
        <w:t>规划钒钛产业开发区</w:t>
      </w:r>
      <w:r>
        <w:rPr>
          <w:rFonts w:hint="eastAsia"/>
          <w:b/>
          <w:bCs/>
          <w:spacing w:val="-2"/>
          <w:u w:val="single" w:color="auto"/>
          <w:lang w:eastAsia="zh-CN"/>
        </w:rPr>
        <w:t>形成</w:t>
      </w:r>
      <w:r>
        <w:rPr>
          <w:b/>
          <w:bCs/>
          <w:spacing w:val="-2"/>
          <w:u w:val="single" w:color="auto"/>
        </w:rPr>
        <w:t>“两横四纵”的干线道路网络系统。</w:t>
      </w:r>
    </w:p>
    <w:p w14:paraId="67140C7D">
      <w:pPr>
        <w:pStyle w:val="2"/>
        <w:tabs>
          <w:tab w:val="left" w:pos="585"/>
        </w:tabs>
        <w:spacing w:before="203" w:line="368" w:lineRule="auto"/>
        <w:ind w:left="20" w:right="104" w:firstLine="453"/>
      </w:pPr>
      <w:r>
        <w:rPr>
          <w:u w:val="single" w:color="auto"/>
        </w:rPr>
        <w:tab/>
      </w:r>
      <w:r>
        <w:rPr>
          <w:b/>
          <w:bCs/>
          <w:spacing w:val="-12"/>
          <w:u w:val="single" w:color="auto"/>
        </w:rPr>
        <w:t>“两横”：即新安路安宁—新九路段（道路红线宽度</w:t>
      </w:r>
      <w:r>
        <w:rPr>
          <w:spacing w:val="-29"/>
          <w:u w:val="single" w:color="auto"/>
        </w:rPr>
        <w:t xml:space="preserve"> </w:t>
      </w:r>
      <w:r>
        <w:rPr>
          <w:rFonts w:ascii="Times New Roman" w:hAnsi="Times New Roman" w:eastAsia="Times New Roman" w:cs="Times New Roman"/>
          <w:b/>
          <w:bCs/>
          <w:spacing w:val="-12"/>
          <w:u w:val="single" w:color="auto"/>
        </w:rPr>
        <w:t xml:space="preserve">19 </w:t>
      </w:r>
      <w:r>
        <w:rPr>
          <w:b/>
          <w:bCs/>
          <w:spacing w:val="-12"/>
          <w:u w:val="single" w:color="auto"/>
        </w:rPr>
        <w:t>米）、国道</w:t>
      </w:r>
      <w:r>
        <w:rPr>
          <w:spacing w:val="-54"/>
          <w:u w:val="single" w:color="auto"/>
        </w:rPr>
        <w:t xml:space="preserve"> </w:t>
      </w:r>
      <w:r>
        <w:rPr>
          <w:rFonts w:ascii="Times New Roman" w:hAnsi="Times New Roman" w:eastAsia="Times New Roman" w:cs="Times New Roman"/>
          <w:b/>
          <w:bCs/>
          <w:spacing w:val="-12"/>
          <w:u w:val="single" w:color="auto"/>
        </w:rPr>
        <w:t>353</w:t>
      </w:r>
      <w:r>
        <w:rPr>
          <w:b/>
          <w:bCs/>
          <w:spacing w:val="-12"/>
          <w:u w:val="single" w:color="auto"/>
        </w:rPr>
        <w:t>（原省道</w:t>
      </w:r>
      <w:r>
        <w:rPr>
          <w:spacing w:val="-53"/>
          <w:u w:val="single" w:color="auto"/>
        </w:rPr>
        <w:t xml:space="preserve"> </w:t>
      </w:r>
      <w:r>
        <w:rPr>
          <w:rFonts w:ascii="Times New Roman" w:hAnsi="Times New Roman" w:eastAsia="Times New Roman" w:cs="Times New Roman"/>
          <w:b/>
          <w:bCs/>
          <w:spacing w:val="-12"/>
          <w:u w:val="single" w:color="auto"/>
        </w:rPr>
        <w:t>310</w:t>
      </w:r>
      <w:r>
        <w:rPr>
          <w:b/>
          <w:bCs/>
          <w:spacing w:val="-12"/>
          <w:u w:val="single" w:color="auto"/>
        </w:rPr>
        <w:t>）升级后</w:t>
      </w:r>
      <w:r>
        <w:rPr>
          <w:b/>
          <w:bCs/>
          <w:spacing w:val="-6"/>
          <w:u w:val="single" w:color="auto"/>
        </w:rPr>
        <w:t>的区域快速通道。</w:t>
      </w:r>
    </w:p>
    <w:p w14:paraId="5AB75A9A">
      <w:pPr>
        <w:pStyle w:val="2"/>
        <w:tabs>
          <w:tab w:val="left" w:pos="585"/>
        </w:tabs>
        <w:spacing w:before="21" w:line="379" w:lineRule="auto"/>
        <w:ind w:left="2" w:right="86" w:firstLine="471"/>
      </w:pPr>
      <w:r>
        <w:rPr>
          <w:u w:val="single" w:color="auto"/>
        </w:rPr>
        <w:tab/>
      </w:r>
      <w:r>
        <w:rPr>
          <w:b/>
          <w:bCs/>
          <w:spacing w:val="-7"/>
          <w:u w:val="single" w:color="auto"/>
        </w:rPr>
        <w:t>“四纵”：为规</w:t>
      </w:r>
      <w:r>
        <w:rPr>
          <w:spacing w:val="-48"/>
          <w:u w:val="single" w:color="auto"/>
        </w:rPr>
        <w:t xml:space="preserve"> </w:t>
      </w:r>
      <w:r>
        <w:rPr>
          <w:rFonts w:ascii="Times New Roman" w:hAnsi="Times New Roman" w:eastAsia="Times New Roman" w:cs="Times New Roman"/>
          <w:b/>
          <w:bCs/>
          <w:spacing w:val="-7"/>
          <w:u w:val="single" w:color="auto"/>
        </w:rPr>
        <w:t xml:space="preserve">G4216 </w:t>
      </w:r>
      <w:r>
        <w:rPr>
          <w:b/>
          <w:bCs/>
          <w:spacing w:val="-7"/>
          <w:u w:val="single" w:color="auto"/>
        </w:rPr>
        <w:t>连接线，新安路、新九大</w:t>
      </w:r>
      <w:r>
        <w:rPr>
          <w:b/>
          <w:bCs/>
          <w:spacing w:val="-8"/>
          <w:u w:val="single" w:color="auto"/>
        </w:rPr>
        <w:t>道（经过新九片区的主干路路段和新九片区</w:t>
      </w:r>
      <w:r>
        <w:rPr>
          <w:b/>
          <w:bCs/>
          <w:spacing w:val="-14"/>
          <w:u w:val="single" w:color="auto"/>
        </w:rPr>
        <w:t>至红格的路段）。</w:t>
      </w:r>
    </w:p>
    <w:p w14:paraId="184AFE51">
      <w:pPr>
        <w:spacing w:before="183" w:line="219" w:lineRule="auto"/>
        <w:ind w:left="213"/>
        <w:rPr>
          <w:rFonts w:ascii="黑体" w:hAnsi="黑体" w:eastAsia="黑体" w:cs="黑体"/>
          <w:sz w:val="28"/>
          <w:szCs w:val="28"/>
        </w:rPr>
      </w:pPr>
      <w:r>
        <w:rPr>
          <w:rFonts w:ascii="黑体" w:hAnsi="黑体" w:eastAsia="黑体" w:cs="黑体"/>
          <w:spacing w:val="-2"/>
          <w:sz w:val="28"/>
          <w:szCs w:val="28"/>
        </w:rPr>
        <w:t>第二十六条</w:t>
      </w:r>
      <w:r>
        <w:rPr>
          <w:rFonts w:ascii="黑体" w:hAnsi="黑体" w:eastAsia="黑体" w:cs="黑体"/>
          <w:spacing w:val="27"/>
          <w:sz w:val="28"/>
          <w:szCs w:val="28"/>
        </w:rPr>
        <w:t xml:space="preserve">   </w:t>
      </w:r>
      <w:r>
        <w:rPr>
          <w:rFonts w:ascii="黑体" w:hAnsi="黑体" w:eastAsia="黑体" w:cs="黑体"/>
          <w:spacing w:val="-2"/>
          <w:sz w:val="28"/>
          <w:szCs w:val="28"/>
        </w:rPr>
        <w:t>物流系统规划</w:t>
      </w:r>
    </w:p>
    <w:p w14:paraId="48DEBB45">
      <w:pPr>
        <w:spacing w:line="441" w:lineRule="auto"/>
        <w:rPr>
          <w:rFonts w:ascii="Arial"/>
          <w:sz w:val="21"/>
        </w:rPr>
      </w:pPr>
    </w:p>
    <w:p w14:paraId="174207B4">
      <w:pPr>
        <w:spacing w:before="78" w:line="219" w:lineRule="auto"/>
        <w:ind w:left="485"/>
        <w:rPr>
          <w:rFonts w:ascii="黑体" w:hAnsi="黑体" w:eastAsia="黑体" w:cs="黑体"/>
          <w:sz w:val="24"/>
          <w:szCs w:val="24"/>
        </w:rPr>
      </w:pPr>
      <w:r>
        <w:rPr>
          <w:rFonts w:ascii="黑体" w:hAnsi="黑体" w:eastAsia="黑体" w:cs="黑体"/>
          <w:spacing w:val="-2"/>
          <w:sz w:val="24"/>
          <w:szCs w:val="24"/>
        </w:rPr>
        <w:t>一、货运交通量预测</w:t>
      </w:r>
    </w:p>
    <w:p w14:paraId="6AB7C232">
      <w:pPr>
        <w:spacing w:line="384" w:lineRule="auto"/>
        <w:rPr>
          <w:rFonts w:ascii="Arial"/>
          <w:sz w:val="21"/>
        </w:rPr>
      </w:pPr>
    </w:p>
    <w:p w14:paraId="4F05B23B">
      <w:pPr>
        <w:pStyle w:val="2"/>
        <w:spacing w:before="79" w:line="377" w:lineRule="auto"/>
        <w:ind w:right="123" w:firstLine="483"/>
      </w:pPr>
      <w:r>
        <w:rPr>
          <w:spacing w:val="-7"/>
        </w:rPr>
        <w:t>预测至</w:t>
      </w:r>
      <w:r>
        <w:rPr>
          <w:spacing w:val="-48"/>
        </w:rPr>
        <w:t xml:space="preserve"> </w:t>
      </w:r>
      <w:r>
        <w:rPr>
          <w:spacing w:val="-7"/>
        </w:rPr>
        <w:t>2020</w:t>
      </w:r>
      <w:r>
        <w:rPr>
          <w:spacing w:val="-50"/>
        </w:rPr>
        <w:t xml:space="preserve"> </w:t>
      </w:r>
      <w:r>
        <w:rPr>
          <w:spacing w:val="-7"/>
        </w:rPr>
        <w:t>年、2025</w:t>
      </w:r>
      <w:r>
        <w:rPr>
          <w:spacing w:val="-49"/>
        </w:rPr>
        <w:t xml:space="preserve"> </w:t>
      </w:r>
      <w:r>
        <w:rPr>
          <w:spacing w:val="-7"/>
        </w:rPr>
        <w:t>年和</w:t>
      </w:r>
      <w:r>
        <w:rPr>
          <w:spacing w:val="-48"/>
        </w:rPr>
        <w:t xml:space="preserve"> </w:t>
      </w:r>
      <w:r>
        <w:rPr>
          <w:spacing w:val="-7"/>
        </w:rPr>
        <w:t>2035</w:t>
      </w:r>
      <w:r>
        <w:rPr>
          <w:spacing w:val="-50"/>
        </w:rPr>
        <w:t xml:space="preserve"> </w:t>
      </w:r>
      <w:r>
        <w:rPr>
          <w:spacing w:val="-7"/>
        </w:rPr>
        <w:t>年，盐边钒钛产业开发区</w:t>
      </w:r>
      <w:r>
        <w:rPr>
          <w:spacing w:val="-8"/>
        </w:rPr>
        <w:t>货运交通量分别将达到</w:t>
      </w:r>
      <w:r>
        <w:rPr>
          <w:spacing w:val="-47"/>
        </w:rPr>
        <w:t xml:space="preserve"> </w:t>
      </w:r>
      <w:r>
        <w:rPr>
          <w:spacing w:val="-8"/>
        </w:rPr>
        <w:t>2245</w:t>
      </w:r>
      <w:r>
        <w:rPr>
          <w:spacing w:val="-45"/>
        </w:rPr>
        <w:t xml:space="preserve"> </w:t>
      </w:r>
      <w:r>
        <w:rPr>
          <w:spacing w:val="-8"/>
        </w:rPr>
        <w:t>万吨、</w:t>
      </w:r>
      <w:r>
        <w:t xml:space="preserve"> </w:t>
      </w:r>
      <w:r>
        <w:rPr>
          <w:spacing w:val="-5"/>
        </w:rPr>
        <w:t>4015</w:t>
      </w:r>
      <w:r>
        <w:rPr>
          <w:spacing w:val="-37"/>
        </w:rPr>
        <w:t xml:space="preserve"> </w:t>
      </w:r>
      <w:r>
        <w:rPr>
          <w:spacing w:val="-5"/>
        </w:rPr>
        <w:t>万吨和</w:t>
      </w:r>
      <w:r>
        <w:rPr>
          <w:spacing w:val="-33"/>
        </w:rPr>
        <w:t xml:space="preserve"> </w:t>
      </w:r>
      <w:r>
        <w:rPr>
          <w:spacing w:val="-5"/>
        </w:rPr>
        <w:t>12160</w:t>
      </w:r>
      <w:r>
        <w:rPr>
          <w:spacing w:val="-44"/>
        </w:rPr>
        <w:t xml:space="preserve"> </w:t>
      </w:r>
      <w:r>
        <w:rPr>
          <w:spacing w:val="-5"/>
        </w:rPr>
        <w:t>万吨。</w:t>
      </w:r>
    </w:p>
    <w:p w14:paraId="6FB42BF7">
      <w:pPr>
        <w:spacing w:line="377" w:lineRule="auto"/>
        <w:sectPr>
          <w:type w:val="continuous"/>
          <w:pgSz w:w="23811" w:h="16839"/>
          <w:pgMar w:top="1274" w:right="1349" w:bottom="1613" w:left="1411" w:header="838" w:footer="1386" w:gutter="0"/>
          <w:cols w:equalWidth="0" w:num="2">
            <w:col w:w="10825" w:space="100"/>
            <w:col w:w="10126"/>
          </w:cols>
        </w:sectPr>
      </w:pPr>
    </w:p>
    <w:p w14:paraId="3D5F9DFA">
      <w:pPr>
        <w:spacing w:line="32" w:lineRule="exact"/>
      </w:pPr>
    </w:p>
    <w:p w14:paraId="270ABBCD">
      <w:pPr>
        <w:spacing w:line="32" w:lineRule="exact"/>
        <w:sectPr>
          <w:headerReference r:id="rId25" w:type="default"/>
          <w:footerReference r:id="rId26" w:type="default"/>
          <w:pgSz w:w="23811" w:h="16839"/>
          <w:pgMar w:top="1274" w:right="1369" w:bottom="1613" w:left="1411" w:header="838" w:footer="1386" w:gutter="0"/>
          <w:cols w:equalWidth="0" w:num="1">
            <w:col w:w="21030"/>
          </w:cols>
        </w:sectPr>
      </w:pPr>
    </w:p>
    <w:p w14:paraId="7590827C">
      <w:pPr>
        <w:spacing w:before="48" w:line="207" w:lineRule="auto"/>
        <w:ind w:left="3034"/>
        <w:rPr>
          <w:rFonts w:ascii="华文细黑" w:hAnsi="华文细黑" w:eastAsia="华文细黑" w:cs="华文细黑"/>
          <w:sz w:val="21"/>
          <w:szCs w:val="21"/>
        </w:rPr>
      </w:pPr>
      <w:r>
        <w:rPr>
          <w:rFonts w:ascii="华文细黑" w:hAnsi="华文细黑" w:eastAsia="华文细黑" w:cs="华文细黑"/>
          <w:spacing w:val="-1"/>
          <w:sz w:val="21"/>
          <w:szCs w:val="21"/>
        </w:rPr>
        <w:t>表格</w:t>
      </w:r>
      <w:r>
        <w:rPr>
          <w:rFonts w:ascii="华文细黑" w:hAnsi="华文细黑" w:eastAsia="华文细黑" w:cs="华文细黑"/>
          <w:spacing w:val="13"/>
          <w:w w:val="101"/>
          <w:sz w:val="21"/>
          <w:szCs w:val="21"/>
        </w:rPr>
        <w:t xml:space="preserve"> </w:t>
      </w:r>
      <w:r>
        <w:rPr>
          <w:rFonts w:ascii="华文细黑" w:hAnsi="华文细黑" w:eastAsia="华文细黑" w:cs="华文细黑"/>
          <w:spacing w:val="-1"/>
          <w:sz w:val="21"/>
          <w:szCs w:val="21"/>
        </w:rPr>
        <w:t>7  盐边钒钛产业开发区货运交通量预测</w:t>
      </w:r>
    </w:p>
    <w:p w14:paraId="1FAE7266">
      <w:pPr>
        <w:spacing w:line="85" w:lineRule="exact"/>
      </w:pPr>
    </w:p>
    <w:tbl>
      <w:tblPr>
        <w:tblStyle w:val="5"/>
        <w:tblW w:w="7706" w:type="dxa"/>
        <w:tblInd w:w="11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4"/>
        <w:gridCol w:w="2178"/>
        <w:gridCol w:w="1600"/>
        <w:gridCol w:w="2324"/>
      </w:tblGrid>
      <w:tr w14:paraId="0634E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04" w:type="dxa"/>
            <w:vAlign w:val="top"/>
          </w:tcPr>
          <w:p w14:paraId="5605DD09">
            <w:pPr>
              <w:rPr>
                <w:rFonts w:ascii="Arial"/>
                <w:sz w:val="21"/>
              </w:rPr>
            </w:pPr>
          </w:p>
        </w:tc>
        <w:tc>
          <w:tcPr>
            <w:tcW w:w="2178" w:type="dxa"/>
            <w:vAlign w:val="top"/>
          </w:tcPr>
          <w:p w14:paraId="5904D6DF">
            <w:pPr>
              <w:pStyle w:val="6"/>
              <w:spacing w:before="68" w:line="208" w:lineRule="auto"/>
              <w:ind w:left="468"/>
            </w:pPr>
            <w:r>
              <w:rPr>
                <w:spacing w:val="-2"/>
              </w:rPr>
              <w:t>产值（亿元）</w:t>
            </w:r>
          </w:p>
        </w:tc>
        <w:tc>
          <w:tcPr>
            <w:tcW w:w="1600" w:type="dxa"/>
            <w:vAlign w:val="top"/>
          </w:tcPr>
          <w:p w14:paraId="3482F0C9">
            <w:pPr>
              <w:pStyle w:val="6"/>
              <w:spacing w:before="68" w:line="208" w:lineRule="auto"/>
              <w:ind w:left="181"/>
            </w:pPr>
            <w:r>
              <w:rPr>
                <w:spacing w:val="-2"/>
              </w:rPr>
              <w:t>产量（万吨）</w:t>
            </w:r>
          </w:p>
        </w:tc>
        <w:tc>
          <w:tcPr>
            <w:tcW w:w="2324" w:type="dxa"/>
            <w:vAlign w:val="top"/>
          </w:tcPr>
          <w:p w14:paraId="6936DC64">
            <w:pPr>
              <w:pStyle w:val="6"/>
              <w:spacing w:before="68" w:line="206" w:lineRule="auto"/>
              <w:ind w:left="432"/>
            </w:pPr>
            <w:r>
              <w:rPr>
                <w:spacing w:val="-5"/>
              </w:rPr>
              <w:t>运输量（万吨）</w:t>
            </w:r>
          </w:p>
        </w:tc>
      </w:tr>
      <w:tr w14:paraId="346EC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604" w:type="dxa"/>
            <w:vAlign w:val="top"/>
          </w:tcPr>
          <w:p w14:paraId="3F570330">
            <w:pPr>
              <w:pStyle w:val="6"/>
              <w:spacing w:before="66" w:line="207" w:lineRule="auto"/>
              <w:ind w:left="442"/>
            </w:pPr>
            <w:r>
              <w:rPr>
                <w:spacing w:val="-1"/>
              </w:rPr>
              <w:t>2018</w:t>
            </w:r>
            <w:r>
              <w:rPr>
                <w:spacing w:val="11"/>
              </w:rPr>
              <w:t xml:space="preserve"> </w:t>
            </w:r>
            <w:r>
              <w:rPr>
                <w:spacing w:val="-1"/>
              </w:rPr>
              <w:t>年</w:t>
            </w:r>
          </w:p>
        </w:tc>
        <w:tc>
          <w:tcPr>
            <w:tcW w:w="2178" w:type="dxa"/>
            <w:vAlign w:val="top"/>
          </w:tcPr>
          <w:p w14:paraId="1759F12A">
            <w:pPr>
              <w:pStyle w:val="6"/>
              <w:spacing w:before="65" w:line="232" w:lineRule="auto"/>
              <w:ind w:left="892"/>
            </w:pPr>
            <w:r>
              <w:rPr>
                <w:spacing w:val="-2"/>
              </w:rPr>
              <w:t>96.5</w:t>
            </w:r>
          </w:p>
        </w:tc>
        <w:tc>
          <w:tcPr>
            <w:tcW w:w="1600" w:type="dxa"/>
            <w:vAlign w:val="top"/>
          </w:tcPr>
          <w:p w14:paraId="76317D00">
            <w:pPr>
              <w:pStyle w:val="6"/>
              <w:spacing w:before="65" w:line="232" w:lineRule="auto"/>
              <w:ind w:left="493"/>
            </w:pPr>
            <w:r>
              <w:rPr>
                <w:spacing w:val="-3"/>
              </w:rPr>
              <w:t>761.15</w:t>
            </w:r>
          </w:p>
        </w:tc>
        <w:tc>
          <w:tcPr>
            <w:tcW w:w="2324" w:type="dxa"/>
            <w:vAlign w:val="top"/>
          </w:tcPr>
          <w:p w14:paraId="1B92BB32">
            <w:pPr>
              <w:pStyle w:val="6"/>
              <w:spacing w:before="65" w:line="232" w:lineRule="auto"/>
              <w:ind w:left="955"/>
            </w:pPr>
            <w:r>
              <w:rPr>
                <w:spacing w:val="-8"/>
              </w:rPr>
              <w:t>1140</w:t>
            </w:r>
          </w:p>
        </w:tc>
      </w:tr>
      <w:tr w14:paraId="712DB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604" w:type="dxa"/>
            <w:vAlign w:val="top"/>
          </w:tcPr>
          <w:p w14:paraId="442B023F">
            <w:pPr>
              <w:pStyle w:val="6"/>
              <w:spacing w:before="67" w:line="207" w:lineRule="auto"/>
              <w:ind w:left="442"/>
            </w:pPr>
            <w:r>
              <w:rPr>
                <w:spacing w:val="-1"/>
              </w:rPr>
              <w:t>2020</w:t>
            </w:r>
            <w:r>
              <w:rPr>
                <w:spacing w:val="11"/>
              </w:rPr>
              <w:t xml:space="preserve"> </w:t>
            </w:r>
            <w:r>
              <w:rPr>
                <w:spacing w:val="-1"/>
              </w:rPr>
              <w:t>年</w:t>
            </w:r>
          </w:p>
        </w:tc>
        <w:tc>
          <w:tcPr>
            <w:tcW w:w="2178" w:type="dxa"/>
            <w:vAlign w:val="top"/>
          </w:tcPr>
          <w:p w14:paraId="5FF8F7C4">
            <w:pPr>
              <w:pStyle w:val="6"/>
              <w:spacing w:before="66" w:line="232" w:lineRule="auto"/>
              <w:ind w:left="917"/>
            </w:pPr>
            <w:r>
              <w:rPr>
                <w:spacing w:val="-2"/>
              </w:rPr>
              <w:t>200</w:t>
            </w:r>
          </w:p>
        </w:tc>
        <w:tc>
          <w:tcPr>
            <w:tcW w:w="1600" w:type="dxa"/>
            <w:vAlign w:val="top"/>
          </w:tcPr>
          <w:p w14:paraId="7FF7CDF7">
            <w:pPr>
              <w:pStyle w:val="6"/>
              <w:spacing w:before="66" w:line="232" w:lineRule="auto"/>
              <w:ind w:left="594"/>
            </w:pPr>
            <w:r>
              <w:rPr>
                <w:spacing w:val="-8"/>
              </w:rPr>
              <w:t>1500</w:t>
            </w:r>
          </w:p>
        </w:tc>
        <w:tc>
          <w:tcPr>
            <w:tcW w:w="2324" w:type="dxa"/>
            <w:vAlign w:val="top"/>
          </w:tcPr>
          <w:p w14:paraId="43F3711A">
            <w:pPr>
              <w:pStyle w:val="6"/>
              <w:spacing w:before="66" w:line="232" w:lineRule="auto"/>
              <w:ind w:left="931"/>
            </w:pPr>
            <w:r>
              <w:rPr>
                <w:spacing w:val="-2"/>
              </w:rPr>
              <w:t>2245</w:t>
            </w:r>
          </w:p>
        </w:tc>
      </w:tr>
      <w:tr w14:paraId="41539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604" w:type="dxa"/>
            <w:vAlign w:val="top"/>
          </w:tcPr>
          <w:p w14:paraId="4066D091">
            <w:pPr>
              <w:pStyle w:val="6"/>
              <w:spacing w:before="68" w:line="207" w:lineRule="auto"/>
              <w:ind w:left="442"/>
            </w:pPr>
            <w:r>
              <w:rPr>
                <w:spacing w:val="-1"/>
              </w:rPr>
              <w:t>2025</w:t>
            </w:r>
            <w:r>
              <w:rPr>
                <w:spacing w:val="11"/>
              </w:rPr>
              <w:t xml:space="preserve"> </w:t>
            </w:r>
            <w:r>
              <w:rPr>
                <w:spacing w:val="-1"/>
              </w:rPr>
              <w:t>年</w:t>
            </w:r>
          </w:p>
        </w:tc>
        <w:tc>
          <w:tcPr>
            <w:tcW w:w="2178" w:type="dxa"/>
            <w:vAlign w:val="top"/>
          </w:tcPr>
          <w:p w14:paraId="7C095CB4">
            <w:pPr>
              <w:pStyle w:val="6"/>
              <w:spacing w:before="67" w:line="232" w:lineRule="auto"/>
              <w:ind w:left="916"/>
            </w:pPr>
            <w:r>
              <w:rPr>
                <w:spacing w:val="-2"/>
              </w:rPr>
              <w:t>400</w:t>
            </w:r>
          </w:p>
        </w:tc>
        <w:tc>
          <w:tcPr>
            <w:tcW w:w="1600" w:type="dxa"/>
            <w:vAlign w:val="top"/>
          </w:tcPr>
          <w:p w14:paraId="2B0F2890">
            <w:pPr>
              <w:pStyle w:val="6"/>
              <w:spacing w:before="67" w:line="232" w:lineRule="auto"/>
              <w:ind w:left="570"/>
            </w:pPr>
            <w:r>
              <w:rPr>
                <w:spacing w:val="-2"/>
              </w:rPr>
              <w:t>2680</w:t>
            </w:r>
          </w:p>
        </w:tc>
        <w:tc>
          <w:tcPr>
            <w:tcW w:w="2324" w:type="dxa"/>
            <w:vAlign w:val="top"/>
          </w:tcPr>
          <w:p w14:paraId="38806C26">
            <w:pPr>
              <w:pStyle w:val="6"/>
              <w:spacing w:before="67" w:line="232" w:lineRule="auto"/>
              <w:ind w:left="930"/>
            </w:pPr>
            <w:r>
              <w:rPr>
                <w:spacing w:val="-1"/>
              </w:rPr>
              <w:t>4015</w:t>
            </w:r>
          </w:p>
        </w:tc>
      </w:tr>
      <w:tr w14:paraId="41959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04" w:type="dxa"/>
            <w:vAlign w:val="top"/>
          </w:tcPr>
          <w:p w14:paraId="0105D76F">
            <w:pPr>
              <w:pStyle w:val="6"/>
              <w:spacing w:before="68" w:line="232" w:lineRule="auto"/>
              <w:ind w:left="572"/>
            </w:pPr>
            <w:r>
              <w:rPr>
                <w:spacing w:val="-2"/>
              </w:rPr>
              <w:t>2035</w:t>
            </w:r>
          </w:p>
        </w:tc>
        <w:tc>
          <w:tcPr>
            <w:tcW w:w="2178" w:type="dxa"/>
            <w:vAlign w:val="top"/>
          </w:tcPr>
          <w:p w14:paraId="6C5CA7B0">
            <w:pPr>
              <w:pStyle w:val="6"/>
              <w:spacing w:before="68" w:line="232" w:lineRule="auto"/>
              <w:ind w:left="883"/>
            </w:pPr>
            <w:r>
              <w:rPr>
                <w:spacing w:val="-7"/>
              </w:rPr>
              <w:t>1600</w:t>
            </w:r>
          </w:p>
        </w:tc>
        <w:tc>
          <w:tcPr>
            <w:tcW w:w="1600" w:type="dxa"/>
            <w:vAlign w:val="top"/>
          </w:tcPr>
          <w:p w14:paraId="7E5C6D05">
            <w:pPr>
              <w:pStyle w:val="6"/>
              <w:spacing w:before="68" w:line="232" w:lineRule="auto"/>
              <w:ind w:left="571"/>
            </w:pPr>
            <w:r>
              <w:rPr>
                <w:spacing w:val="-2"/>
              </w:rPr>
              <w:t>8860</w:t>
            </w:r>
          </w:p>
        </w:tc>
        <w:tc>
          <w:tcPr>
            <w:tcW w:w="2324" w:type="dxa"/>
            <w:vAlign w:val="top"/>
          </w:tcPr>
          <w:p w14:paraId="082FCF6B">
            <w:pPr>
              <w:pStyle w:val="6"/>
              <w:spacing w:before="68" w:line="232" w:lineRule="auto"/>
              <w:ind w:left="897"/>
            </w:pPr>
            <w:r>
              <w:rPr>
                <w:spacing w:val="-6"/>
              </w:rPr>
              <w:t>12160</w:t>
            </w:r>
          </w:p>
        </w:tc>
      </w:tr>
    </w:tbl>
    <w:p w14:paraId="73B5A44B">
      <w:pPr>
        <w:spacing w:line="306" w:lineRule="auto"/>
        <w:rPr>
          <w:rFonts w:ascii="Arial"/>
          <w:sz w:val="21"/>
        </w:rPr>
      </w:pPr>
    </w:p>
    <w:p w14:paraId="6C736BFD">
      <w:pPr>
        <w:spacing w:before="78" w:line="218" w:lineRule="auto"/>
        <w:ind w:left="522"/>
        <w:rPr>
          <w:rFonts w:ascii="黑体" w:hAnsi="黑体" w:eastAsia="黑体" w:cs="黑体"/>
          <w:sz w:val="24"/>
          <w:szCs w:val="24"/>
        </w:rPr>
      </w:pPr>
      <w:r>
        <w:rPr>
          <w:rFonts w:ascii="黑体" w:hAnsi="黑体" w:eastAsia="黑体" w:cs="黑体"/>
          <w:spacing w:val="-2"/>
          <w:sz w:val="24"/>
          <w:szCs w:val="24"/>
        </w:rPr>
        <w:t>二、货物运输方式结构</w:t>
      </w:r>
    </w:p>
    <w:p w14:paraId="58A87B60">
      <w:pPr>
        <w:spacing w:line="385" w:lineRule="auto"/>
        <w:rPr>
          <w:rFonts w:ascii="Arial"/>
          <w:sz w:val="21"/>
        </w:rPr>
      </w:pPr>
    </w:p>
    <w:p w14:paraId="1B49E594">
      <w:pPr>
        <w:pStyle w:val="2"/>
        <w:spacing w:before="78" w:line="377" w:lineRule="auto"/>
        <w:ind w:left="38" w:right="749" w:firstLine="481"/>
        <w:jc w:val="both"/>
      </w:pPr>
      <w:r>
        <w:rPr>
          <w:spacing w:val="-1"/>
        </w:rPr>
        <w:t>盐边钒钛产业开发区</w:t>
      </w:r>
      <w:r>
        <w:rPr>
          <w:rFonts w:hint="eastAsia"/>
          <w:spacing w:val="-1"/>
          <w:lang w:eastAsia="zh-CN"/>
        </w:rPr>
        <w:t>工业原料近中期基本以管道运输为主</w:t>
      </w:r>
      <w:r>
        <w:rPr>
          <w:spacing w:val="-1"/>
        </w:rPr>
        <w:t>；远期部分以公路</w:t>
      </w:r>
      <w:r>
        <w:rPr>
          <w:spacing w:val="-2"/>
        </w:rPr>
        <w:t>、铁路—公</w:t>
      </w:r>
      <w:r>
        <w:rPr>
          <w:spacing w:val="-5"/>
        </w:rPr>
        <w:t>路及铁路—管道联运方式进入园区。工业产品外运近中期以公路为主，</w:t>
      </w:r>
      <w:r>
        <w:rPr>
          <w:spacing w:val="47"/>
        </w:rPr>
        <w:t xml:space="preserve"> </w:t>
      </w:r>
      <w:r>
        <w:rPr>
          <w:spacing w:val="-5"/>
        </w:rPr>
        <w:t>远期主要依靠规划建设的成昆复线盐边站、成昆铁路三河铺铁路物流中心，</w:t>
      </w:r>
      <w:r>
        <w:rPr>
          <w:spacing w:val="47"/>
        </w:rPr>
        <w:t xml:space="preserve"> </w:t>
      </w:r>
      <w:r>
        <w:rPr>
          <w:spacing w:val="-5"/>
        </w:rPr>
        <w:t>利用铁路实现工业物流的长距离大运量的进出</w:t>
      </w:r>
      <w:r>
        <w:rPr>
          <w:spacing w:val="-10"/>
        </w:rPr>
        <w:t>服务。</w:t>
      </w:r>
    </w:p>
    <w:p w14:paraId="642A1229">
      <w:pPr>
        <w:spacing w:before="257" w:line="218" w:lineRule="auto"/>
        <w:ind w:left="522"/>
        <w:rPr>
          <w:rFonts w:ascii="黑体" w:hAnsi="黑体" w:eastAsia="黑体" w:cs="黑体"/>
          <w:sz w:val="24"/>
          <w:szCs w:val="24"/>
        </w:rPr>
      </w:pPr>
      <w:r>
        <w:rPr>
          <w:rFonts w:ascii="黑体" w:hAnsi="黑体" w:eastAsia="黑体" w:cs="黑体"/>
          <w:spacing w:val="-2"/>
          <w:sz w:val="24"/>
          <w:szCs w:val="24"/>
        </w:rPr>
        <w:t>三、物流通道规划</w:t>
      </w:r>
    </w:p>
    <w:p w14:paraId="63F21579">
      <w:pPr>
        <w:spacing w:line="383" w:lineRule="auto"/>
        <w:rPr>
          <w:rFonts w:ascii="Arial"/>
          <w:sz w:val="21"/>
        </w:rPr>
      </w:pPr>
    </w:p>
    <w:p w14:paraId="6F4F8F12">
      <w:pPr>
        <w:pStyle w:val="2"/>
        <w:spacing w:before="78" w:line="234" w:lineRule="auto"/>
        <w:ind w:left="479"/>
      </w:pPr>
      <w:r>
        <w:rPr>
          <w:rFonts w:ascii="Times New Roman" w:hAnsi="Times New Roman" w:eastAsia="Times New Roman" w:cs="Times New Roman"/>
          <w:spacing w:val="-10"/>
        </w:rPr>
        <w:t>1.</w:t>
      </w:r>
      <w:r>
        <w:rPr>
          <w:rFonts w:ascii="Times New Roman" w:hAnsi="Times New Roman" w:eastAsia="Times New Roman" w:cs="Times New Roman"/>
          <w:spacing w:val="7"/>
        </w:rPr>
        <w:t xml:space="preserve">    </w:t>
      </w:r>
      <w:r>
        <w:rPr>
          <w:spacing w:val="-10"/>
        </w:rPr>
        <w:t>区域物流</w:t>
      </w:r>
    </w:p>
    <w:p w14:paraId="5E7AA0E2">
      <w:pPr>
        <w:pStyle w:val="2"/>
        <w:spacing w:before="187" w:line="367" w:lineRule="auto"/>
        <w:ind w:left="41" w:right="800" w:firstLine="478"/>
      </w:pPr>
      <w:r>
        <w:rPr>
          <w:spacing w:val="-5"/>
        </w:rPr>
        <w:t>规划以</w:t>
      </w:r>
      <w:r>
        <w:rPr>
          <w:spacing w:val="-44"/>
        </w:rPr>
        <w:t xml:space="preserve"> </w:t>
      </w:r>
      <w:r>
        <w:rPr>
          <w:rFonts w:ascii="Times New Roman" w:hAnsi="Times New Roman" w:eastAsia="Times New Roman" w:cs="Times New Roman"/>
          <w:spacing w:val="-5"/>
        </w:rPr>
        <w:t>G5</w:t>
      </w:r>
      <w:r>
        <w:rPr>
          <w:rFonts w:ascii="Times New Roman" w:hAnsi="Times New Roman" w:eastAsia="Times New Roman" w:cs="Times New Roman"/>
          <w:spacing w:val="22"/>
          <w:w w:val="101"/>
        </w:rPr>
        <w:t xml:space="preserve"> </w:t>
      </w:r>
      <w:r>
        <w:rPr>
          <w:spacing w:val="-5"/>
        </w:rPr>
        <w:t>京昆高速、</w:t>
      </w:r>
      <w:r>
        <w:rPr>
          <w:rFonts w:ascii="Times New Roman" w:hAnsi="Times New Roman" w:eastAsia="Times New Roman" w:cs="Times New Roman"/>
          <w:spacing w:val="-5"/>
        </w:rPr>
        <w:t>G4216</w:t>
      </w:r>
      <w:r>
        <w:rPr>
          <w:rFonts w:ascii="Times New Roman" w:hAnsi="Times New Roman" w:eastAsia="Times New Roman" w:cs="Times New Roman"/>
          <w:spacing w:val="17"/>
        </w:rPr>
        <w:t xml:space="preserve"> </w:t>
      </w:r>
      <w:r>
        <w:rPr>
          <w:spacing w:val="-5"/>
        </w:rPr>
        <w:t>连接线、国道</w:t>
      </w:r>
      <w:r>
        <w:rPr>
          <w:spacing w:val="-43"/>
        </w:rPr>
        <w:t xml:space="preserve"> </w:t>
      </w:r>
      <w:r>
        <w:rPr>
          <w:rFonts w:ascii="Times New Roman" w:hAnsi="Times New Roman" w:eastAsia="Times New Roman" w:cs="Times New Roman"/>
          <w:spacing w:val="-5"/>
        </w:rPr>
        <w:t>353</w:t>
      </w:r>
      <w:r>
        <w:rPr>
          <w:spacing w:val="-5"/>
        </w:rPr>
        <w:t>（原</w:t>
      </w:r>
      <w:r>
        <w:rPr>
          <w:spacing w:val="-6"/>
        </w:rPr>
        <w:t>省道</w:t>
      </w:r>
      <w:r>
        <w:rPr>
          <w:spacing w:val="-31"/>
        </w:rPr>
        <w:t xml:space="preserve"> </w:t>
      </w:r>
      <w:r>
        <w:rPr>
          <w:rFonts w:ascii="Times New Roman" w:hAnsi="Times New Roman" w:eastAsia="Times New Roman" w:cs="Times New Roman"/>
          <w:spacing w:val="-6"/>
        </w:rPr>
        <w:t>310</w:t>
      </w:r>
      <w:r>
        <w:rPr>
          <w:spacing w:val="-6"/>
        </w:rPr>
        <w:t>）、新安路、新九大道为依托，</w:t>
      </w:r>
      <w:r>
        <w:rPr>
          <w:spacing w:val="-1"/>
        </w:rPr>
        <w:t>组织钒钛产业开发区至盐边、攀枝花、米易、西昌等周</w:t>
      </w:r>
      <w:r>
        <w:rPr>
          <w:spacing w:val="-2"/>
        </w:rPr>
        <w:t>边城市的快速货运通道。</w:t>
      </w:r>
    </w:p>
    <w:p w14:paraId="1F110514">
      <w:pPr>
        <w:pStyle w:val="2"/>
        <w:spacing w:before="21" w:line="235" w:lineRule="auto"/>
        <w:ind w:left="456"/>
      </w:pPr>
      <w:r>
        <w:rPr>
          <w:rFonts w:ascii="Times New Roman" w:hAnsi="Times New Roman" w:eastAsia="Times New Roman" w:cs="Times New Roman"/>
          <w:spacing w:val="-5"/>
        </w:rPr>
        <w:t>2.</w:t>
      </w:r>
      <w:r>
        <w:rPr>
          <w:rFonts w:ascii="Times New Roman" w:hAnsi="Times New Roman" w:eastAsia="Times New Roman" w:cs="Times New Roman"/>
          <w:spacing w:val="7"/>
        </w:rPr>
        <w:t xml:space="preserve">    </w:t>
      </w:r>
      <w:r>
        <w:rPr>
          <w:spacing w:val="-5"/>
        </w:rPr>
        <w:t>园区物流</w:t>
      </w:r>
    </w:p>
    <w:p w14:paraId="53DAE296">
      <w:pPr>
        <w:pStyle w:val="2"/>
        <w:spacing w:before="183" w:line="377" w:lineRule="auto"/>
        <w:ind w:left="46" w:right="749" w:firstLine="470"/>
      </w:pPr>
      <w:r>
        <w:rPr>
          <w:spacing w:val="-1"/>
        </w:rPr>
        <w:t>钒钛产业开发区内的汽车货运物流主要以主干路与快速路形成的“两横四纵”道路网</w:t>
      </w:r>
      <w:r>
        <w:rPr>
          <w:spacing w:val="-2"/>
        </w:rPr>
        <w:t>络为重点依托，并逐步建设次干路与支路网络，整体实现产业开发区物流的进出。</w:t>
      </w:r>
    </w:p>
    <w:p w14:paraId="0ED67B3B">
      <w:pPr>
        <w:pStyle w:val="2"/>
        <w:spacing w:before="1" w:line="233" w:lineRule="auto"/>
        <w:ind w:left="461"/>
      </w:pPr>
      <w:r>
        <w:rPr>
          <w:rFonts w:ascii="Times New Roman" w:hAnsi="Times New Roman" w:eastAsia="Times New Roman" w:cs="Times New Roman"/>
          <w:spacing w:val="-1"/>
        </w:rPr>
        <w:t xml:space="preserve">3.    </w:t>
      </w:r>
      <w:r>
        <w:rPr>
          <w:spacing w:val="-1"/>
        </w:rPr>
        <w:t>铁路物流</w:t>
      </w:r>
    </w:p>
    <w:p w14:paraId="128F1216">
      <w:pPr>
        <w:pStyle w:val="2"/>
        <w:spacing w:before="183" w:line="377" w:lineRule="auto"/>
        <w:ind w:left="39" w:right="764" w:firstLine="480"/>
      </w:pPr>
      <w:r>
        <w:rPr>
          <w:spacing w:val="-1"/>
        </w:rPr>
        <w:t>规划钒钛产业开发区铁路物流主要依靠规划建设</w:t>
      </w:r>
      <w:r>
        <w:rPr>
          <w:spacing w:val="-2"/>
        </w:rPr>
        <w:t>的成昆复线盐边站、成昆铁路三河铺铁路物流中心，实现工业物流的长距离大运量的进出服务。</w:t>
      </w:r>
    </w:p>
    <w:p w14:paraId="077CB49F">
      <w:pPr>
        <w:pStyle w:val="2"/>
        <w:spacing w:before="1" w:line="218" w:lineRule="auto"/>
        <w:ind w:left="519"/>
      </w:pPr>
      <w:r>
        <w:rPr>
          <w:spacing w:val="-1"/>
        </w:rPr>
        <w:t>规划在新九片区新建一处铁路场站连接至三堆子货运站。</w:t>
      </w:r>
    </w:p>
    <w:p w14:paraId="4BBD2513">
      <w:pPr>
        <w:pStyle w:val="2"/>
        <w:spacing w:before="206" w:line="233" w:lineRule="auto"/>
        <w:ind w:left="455"/>
      </w:pPr>
      <w:r>
        <w:rPr>
          <w:rFonts w:ascii="Times New Roman" w:hAnsi="Times New Roman" w:eastAsia="Times New Roman" w:cs="Times New Roman"/>
          <w:spacing w:val="-3"/>
        </w:rPr>
        <w:t>4.</w:t>
      </w:r>
      <w:r>
        <w:rPr>
          <w:rFonts w:ascii="Times New Roman" w:hAnsi="Times New Roman" w:eastAsia="Times New Roman" w:cs="Times New Roman"/>
          <w:spacing w:val="4"/>
        </w:rPr>
        <w:t xml:space="preserve">    </w:t>
      </w:r>
      <w:r>
        <w:rPr>
          <w:spacing w:val="-3"/>
        </w:rPr>
        <w:t>管道物流</w:t>
      </w:r>
    </w:p>
    <w:p w14:paraId="4912C642">
      <w:pPr>
        <w:pStyle w:val="2"/>
        <w:spacing w:before="183" w:line="377" w:lineRule="auto"/>
        <w:ind w:left="38" w:right="749" w:firstLine="480"/>
      </w:pPr>
      <w:r>
        <w:rPr>
          <w:spacing w:val="-1"/>
        </w:rPr>
        <w:t>规划远期新建由北矿区至安宁片区的精矿运输管网，线路整体走向沿西攀高速敷设</w:t>
      </w:r>
      <w:r>
        <w:rPr>
          <w:spacing w:val="-2"/>
        </w:rPr>
        <w:t>，线路整</w:t>
      </w:r>
      <w:r>
        <w:rPr>
          <w:spacing w:val="-1"/>
        </w:rPr>
        <w:t>体采用架空形式建设。</w:t>
      </w:r>
    </w:p>
    <w:p w14:paraId="50F8A7B3">
      <w:pPr>
        <w:pStyle w:val="2"/>
        <w:spacing w:before="1" w:line="198" w:lineRule="auto"/>
        <w:ind w:left="462"/>
      </w:pPr>
      <w:r>
        <w:rPr>
          <w:rFonts w:ascii="Times New Roman" w:hAnsi="Times New Roman" w:eastAsia="Times New Roman" w:cs="Times New Roman"/>
          <w:spacing w:val="-4"/>
        </w:rPr>
        <w:t>5.</w:t>
      </w:r>
      <w:r>
        <w:rPr>
          <w:rFonts w:ascii="Times New Roman" w:hAnsi="Times New Roman" w:eastAsia="Times New Roman" w:cs="Times New Roman"/>
          <w:spacing w:val="4"/>
        </w:rPr>
        <w:t xml:space="preserve">    </w:t>
      </w:r>
      <w:r>
        <w:rPr>
          <w:spacing w:val="-4"/>
        </w:rPr>
        <w:t>危险品通道</w:t>
      </w:r>
    </w:p>
    <w:p w14:paraId="71FB43BB">
      <w:pPr>
        <w:spacing w:line="14" w:lineRule="auto"/>
        <w:rPr>
          <w:rFonts w:ascii="Arial"/>
          <w:sz w:val="2"/>
        </w:rPr>
      </w:pPr>
      <w:r>
        <w:rPr>
          <w:rFonts w:ascii="Arial" w:hAnsi="Arial" w:eastAsia="Arial" w:cs="Arial"/>
          <w:sz w:val="2"/>
          <w:szCs w:val="2"/>
        </w:rPr>
        <w:br w:type="column"/>
      </w:r>
    </w:p>
    <w:p w14:paraId="1B76D258">
      <w:pPr>
        <w:pStyle w:val="2"/>
        <w:spacing w:before="51" w:line="379" w:lineRule="auto"/>
        <w:ind w:right="69" w:firstLine="481"/>
      </w:pPr>
      <w:r>
        <w:rPr>
          <w:spacing w:val="-1"/>
        </w:rPr>
        <w:t>规划在新九片区南部中干沟矿区和安宁片区南部布置危险品作业区及专用</w:t>
      </w:r>
      <w:r>
        <w:rPr>
          <w:spacing w:val="-2"/>
        </w:rPr>
        <w:t>线，需要通过汽车运输的危险品通道主要沿园区边缘的货运通道组织。</w:t>
      </w:r>
    </w:p>
    <w:p w14:paraId="0608D205">
      <w:pPr>
        <w:spacing w:before="186" w:line="219" w:lineRule="auto"/>
        <w:ind w:left="212"/>
        <w:rPr>
          <w:rFonts w:ascii="黑体" w:hAnsi="黑体" w:eastAsia="黑体" w:cs="黑体"/>
          <w:sz w:val="28"/>
          <w:szCs w:val="28"/>
        </w:rPr>
      </w:pPr>
      <w:r>
        <w:rPr>
          <w:rFonts w:ascii="黑体" w:hAnsi="黑体" w:eastAsia="黑体" w:cs="黑体"/>
          <w:spacing w:val="-2"/>
          <w:sz w:val="28"/>
          <w:szCs w:val="28"/>
        </w:rPr>
        <w:t>第二十七条</w:t>
      </w:r>
      <w:r>
        <w:rPr>
          <w:rFonts w:ascii="黑体" w:hAnsi="黑体" w:eastAsia="黑体" w:cs="黑体"/>
          <w:spacing w:val="27"/>
          <w:sz w:val="28"/>
          <w:szCs w:val="28"/>
        </w:rPr>
        <w:t xml:space="preserve">   </w:t>
      </w:r>
      <w:r>
        <w:rPr>
          <w:rFonts w:ascii="黑体" w:hAnsi="黑体" w:eastAsia="黑体" w:cs="黑体"/>
          <w:spacing w:val="-2"/>
          <w:sz w:val="28"/>
          <w:szCs w:val="28"/>
        </w:rPr>
        <w:t>道路工程规划</w:t>
      </w:r>
    </w:p>
    <w:p w14:paraId="120FA125">
      <w:pPr>
        <w:spacing w:line="308" w:lineRule="auto"/>
        <w:rPr>
          <w:rFonts w:ascii="Arial"/>
          <w:sz w:val="21"/>
        </w:rPr>
      </w:pPr>
    </w:p>
    <w:p w14:paraId="0A3B3316">
      <w:pPr>
        <w:pStyle w:val="2"/>
        <w:spacing w:before="78" w:line="235" w:lineRule="auto"/>
        <w:ind w:left="441"/>
      </w:pPr>
      <w:r>
        <w:rPr>
          <w:rFonts w:ascii="Times New Roman" w:hAnsi="Times New Roman" w:eastAsia="Times New Roman" w:cs="Times New Roman"/>
          <w:spacing w:val="-7"/>
        </w:rPr>
        <w:t>1.</w:t>
      </w:r>
      <w:r>
        <w:rPr>
          <w:rFonts w:ascii="Times New Roman" w:hAnsi="Times New Roman" w:eastAsia="Times New Roman" w:cs="Times New Roman"/>
          <w:spacing w:val="4"/>
        </w:rPr>
        <w:t xml:space="preserve">    </w:t>
      </w:r>
      <w:r>
        <w:rPr>
          <w:spacing w:val="-7"/>
        </w:rPr>
        <w:t>竖向规划</w:t>
      </w:r>
    </w:p>
    <w:p w14:paraId="280DD800">
      <w:pPr>
        <w:pStyle w:val="2"/>
        <w:spacing w:before="181" w:line="220" w:lineRule="auto"/>
        <w:ind w:left="481"/>
      </w:pPr>
      <w:r>
        <w:rPr>
          <w:spacing w:val="-1"/>
        </w:rPr>
        <w:t>规划区内填方地块需按相关规范进行压实、分层填筑，并做好排水设</w:t>
      </w:r>
      <w:r>
        <w:rPr>
          <w:spacing w:val="-2"/>
        </w:rPr>
        <w:t>计及支挡工程。</w:t>
      </w:r>
    </w:p>
    <w:p w14:paraId="68D3547B">
      <w:pPr>
        <w:pStyle w:val="2"/>
        <w:spacing w:before="203" w:line="374" w:lineRule="auto"/>
        <w:ind w:firstLine="481"/>
      </w:pPr>
      <w:r>
        <w:rPr>
          <w:spacing w:val="-1"/>
        </w:rPr>
        <w:t>规划钒钛产业开发区，场地排水采用分区排水方式，通过场地坡向或边沟将雨水</w:t>
      </w:r>
      <w:r>
        <w:rPr>
          <w:spacing w:val="-2"/>
        </w:rPr>
        <w:t>汇集到规划区内道路上，再通过管道、涵洞排入自然冲沟或排洪沟内，排出场地外。道路纵坡最小为</w:t>
      </w:r>
      <w:r>
        <w:rPr>
          <w:spacing w:val="-29"/>
        </w:rPr>
        <w:t xml:space="preserve"> </w:t>
      </w:r>
      <w:r>
        <w:rPr>
          <w:rFonts w:ascii="Times New Roman" w:hAnsi="Times New Roman" w:eastAsia="Times New Roman" w:cs="Times New Roman"/>
          <w:spacing w:val="-2"/>
        </w:rPr>
        <w:t>0.3%</w:t>
      </w:r>
      <w:r>
        <w:rPr>
          <w:spacing w:val="-2"/>
        </w:rPr>
        <w:t>，</w:t>
      </w:r>
      <w:r>
        <w:rPr>
          <w:spacing w:val="-6"/>
        </w:rPr>
        <w:t>满足排水需要。</w:t>
      </w:r>
    </w:p>
    <w:p w14:paraId="7CC88D44">
      <w:pPr>
        <w:pStyle w:val="2"/>
        <w:spacing w:before="10" w:line="233" w:lineRule="auto"/>
        <w:ind w:left="418"/>
      </w:pPr>
      <w:r>
        <w:rPr>
          <w:rFonts w:ascii="Times New Roman" w:hAnsi="Times New Roman" w:eastAsia="Times New Roman" w:cs="Times New Roman"/>
          <w:spacing w:val="-1"/>
        </w:rPr>
        <w:t xml:space="preserve">2.    </w:t>
      </w:r>
      <w:r>
        <w:rPr>
          <w:spacing w:val="-1"/>
        </w:rPr>
        <w:t>道路断面规划</w:t>
      </w:r>
    </w:p>
    <w:p w14:paraId="33A2AF0C">
      <w:pPr>
        <w:pStyle w:val="2"/>
        <w:spacing w:before="185" w:line="368" w:lineRule="auto"/>
        <w:ind w:left="5" w:right="68" w:firstLine="475"/>
      </w:pPr>
      <w:r>
        <w:rPr>
          <w:spacing w:val="2"/>
        </w:rPr>
        <w:t>规划钒钛产业开发区主干路以双向</w:t>
      </w:r>
      <w:r>
        <w:rPr>
          <w:rFonts w:ascii="Times New Roman" w:hAnsi="Times New Roman" w:eastAsia="Times New Roman" w:cs="Times New Roman"/>
          <w:spacing w:val="2"/>
        </w:rPr>
        <w:t xml:space="preserve">4 </w:t>
      </w:r>
      <w:r>
        <w:rPr>
          <w:spacing w:val="2"/>
        </w:rPr>
        <w:t>车道为主，次干道、支路以双向</w:t>
      </w:r>
      <w:r>
        <w:rPr>
          <w:rFonts w:ascii="Times New Roman" w:hAnsi="Times New Roman" w:eastAsia="Times New Roman" w:cs="Times New Roman"/>
          <w:spacing w:val="1"/>
        </w:rPr>
        <w:t xml:space="preserve">2 </w:t>
      </w:r>
      <w:r>
        <w:rPr>
          <w:spacing w:val="1"/>
        </w:rPr>
        <w:t>车道为主。规划道路</w:t>
      </w:r>
      <w:r>
        <w:rPr>
          <w:spacing w:val="-6"/>
        </w:rPr>
        <w:t>红线宽度及断面组织如下：</w:t>
      </w:r>
    </w:p>
    <w:p w14:paraId="6A95F1A4">
      <w:pPr>
        <w:pStyle w:val="2"/>
        <w:spacing w:before="23" w:line="213" w:lineRule="auto"/>
        <w:ind w:left="499"/>
      </w:pPr>
      <w:r>
        <w:rPr>
          <w:rFonts w:hint="eastAsia" w:ascii="Times New Roman" w:hAnsi="Times New Roman" w:cs="Times New Roman"/>
          <w:spacing w:val="-5"/>
          <w:lang w:eastAsia="zh-CN"/>
        </w:rPr>
        <w:t>1）</w:t>
      </w:r>
      <w:r>
        <w:rPr>
          <w:rFonts w:ascii="Times New Roman" w:hAnsi="Times New Roman" w:eastAsia="Times New Roman" w:cs="Times New Roman"/>
          <w:spacing w:val="15"/>
        </w:rPr>
        <w:t xml:space="preserve">   </w:t>
      </w:r>
      <w:r>
        <w:rPr>
          <w:rFonts w:ascii="Times New Roman" w:hAnsi="Times New Roman" w:eastAsia="Times New Roman" w:cs="Times New Roman"/>
          <w:spacing w:val="-5"/>
        </w:rPr>
        <w:t xml:space="preserve">24 </w:t>
      </w:r>
      <w:r>
        <w:rPr>
          <w:spacing w:val="-5"/>
        </w:rPr>
        <w:t>米</w:t>
      </w:r>
      <w:r>
        <w:rPr>
          <w:rFonts w:ascii="Times New Roman" w:hAnsi="Times New Roman" w:eastAsia="Times New Roman" w:cs="Times New Roman"/>
          <w:spacing w:val="-5"/>
        </w:rPr>
        <w:t xml:space="preserve">=12 </w:t>
      </w:r>
      <w:r>
        <w:rPr>
          <w:spacing w:val="-5"/>
        </w:rPr>
        <w:t>米（车行道）</w:t>
      </w:r>
      <w:r>
        <w:rPr>
          <w:rFonts w:ascii="Times New Roman" w:hAnsi="Times New Roman" w:eastAsia="Times New Roman" w:cs="Times New Roman"/>
          <w:spacing w:val="-5"/>
        </w:rPr>
        <w:t xml:space="preserve">+12 </w:t>
      </w:r>
      <w:r>
        <w:rPr>
          <w:spacing w:val="-5"/>
        </w:rPr>
        <w:t>米（车</w:t>
      </w:r>
      <w:r>
        <w:rPr>
          <w:spacing w:val="-6"/>
        </w:rPr>
        <w:t>行道</w:t>
      </w:r>
      <w:r>
        <w:rPr>
          <w:spacing w:val="-23"/>
        </w:rPr>
        <w:t>）；</w:t>
      </w:r>
    </w:p>
    <w:p w14:paraId="1A058D9B">
      <w:pPr>
        <w:pStyle w:val="2"/>
        <w:spacing w:before="210" w:line="213" w:lineRule="auto"/>
        <w:ind w:left="476"/>
      </w:pPr>
      <w:r>
        <w:rPr>
          <w:rFonts w:hint="eastAsia" w:ascii="Times New Roman" w:hAnsi="Times New Roman" w:cs="Times New Roman"/>
          <w:spacing w:val="-3"/>
          <w:lang w:eastAsia="zh-CN"/>
        </w:rPr>
        <w:t>2）</w:t>
      </w:r>
      <w:r>
        <w:rPr>
          <w:rFonts w:ascii="Times New Roman" w:hAnsi="Times New Roman" w:eastAsia="Times New Roman" w:cs="Times New Roman"/>
          <w:spacing w:val="15"/>
        </w:rPr>
        <w:t xml:space="preserve">   </w:t>
      </w:r>
      <w:r>
        <w:rPr>
          <w:rFonts w:ascii="Times New Roman" w:hAnsi="Times New Roman" w:eastAsia="Times New Roman" w:cs="Times New Roman"/>
          <w:spacing w:val="-3"/>
        </w:rPr>
        <w:t xml:space="preserve">21 </w:t>
      </w:r>
      <w:r>
        <w:rPr>
          <w:spacing w:val="-3"/>
        </w:rPr>
        <w:t>米</w:t>
      </w:r>
      <w:r>
        <w:rPr>
          <w:rFonts w:ascii="Times New Roman" w:hAnsi="Times New Roman" w:eastAsia="Times New Roman" w:cs="Times New Roman"/>
          <w:spacing w:val="-3"/>
        </w:rPr>
        <w:t>=3</w:t>
      </w:r>
      <w:r>
        <w:rPr>
          <w:spacing w:val="-3"/>
        </w:rPr>
        <w:t>米（人行道）</w:t>
      </w:r>
      <w:r>
        <w:rPr>
          <w:spacing w:val="-55"/>
        </w:rPr>
        <w:t xml:space="preserve"> </w:t>
      </w:r>
      <w:r>
        <w:rPr>
          <w:rFonts w:ascii="Times New Roman" w:hAnsi="Times New Roman" w:eastAsia="Times New Roman" w:cs="Times New Roman"/>
          <w:spacing w:val="-3"/>
        </w:rPr>
        <w:t xml:space="preserve">+15 </w:t>
      </w:r>
      <w:r>
        <w:rPr>
          <w:spacing w:val="-3"/>
        </w:rPr>
        <w:t>米（车行道）</w:t>
      </w:r>
      <w:r>
        <w:rPr>
          <w:rFonts w:ascii="Times New Roman" w:hAnsi="Times New Roman" w:eastAsia="Times New Roman" w:cs="Times New Roman"/>
          <w:spacing w:val="-3"/>
        </w:rPr>
        <w:t xml:space="preserve">+3 </w:t>
      </w:r>
      <w:r>
        <w:rPr>
          <w:spacing w:val="-3"/>
        </w:rPr>
        <w:t>米（人行道</w:t>
      </w:r>
      <w:r>
        <w:rPr>
          <w:spacing w:val="-5"/>
        </w:rPr>
        <w:t>）；</w:t>
      </w:r>
    </w:p>
    <w:p w14:paraId="0D41C956">
      <w:pPr>
        <w:pStyle w:val="2"/>
        <w:spacing w:before="213" w:line="213" w:lineRule="auto"/>
        <w:ind w:left="480"/>
      </w:pPr>
      <w:r>
        <w:rPr>
          <w:rFonts w:hint="eastAsia" w:ascii="Times New Roman" w:hAnsi="Times New Roman" w:cs="Times New Roman"/>
          <w:spacing w:val="-4"/>
          <w:lang w:eastAsia="zh-CN"/>
        </w:rPr>
        <w:t>3）</w:t>
      </w:r>
      <w:r>
        <w:rPr>
          <w:rFonts w:ascii="Times New Roman" w:hAnsi="Times New Roman" w:eastAsia="Times New Roman" w:cs="Times New Roman"/>
          <w:spacing w:val="-4"/>
        </w:rPr>
        <w:t xml:space="preserve">    19 </w:t>
      </w:r>
      <w:r>
        <w:rPr>
          <w:spacing w:val="-4"/>
        </w:rPr>
        <w:t>米</w:t>
      </w:r>
      <w:r>
        <w:rPr>
          <w:rFonts w:ascii="Times New Roman" w:hAnsi="Times New Roman" w:eastAsia="Times New Roman" w:cs="Times New Roman"/>
          <w:spacing w:val="-4"/>
        </w:rPr>
        <w:t xml:space="preserve">=2 </w:t>
      </w:r>
      <w:r>
        <w:rPr>
          <w:spacing w:val="-4"/>
        </w:rPr>
        <w:t>米（人行道）</w:t>
      </w:r>
      <w:r>
        <w:rPr>
          <w:rFonts w:ascii="Times New Roman" w:hAnsi="Times New Roman" w:eastAsia="Times New Roman" w:cs="Times New Roman"/>
          <w:spacing w:val="-4"/>
        </w:rPr>
        <w:t xml:space="preserve">+15 </w:t>
      </w:r>
      <w:r>
        <w:rPr>
          <w:spacing w:val="-4"/>
        </w:rPr>
        <w:t>米（车行</w:t>
      </w:r>
      <w:r>
        <w:rPr>
          <w:spacing w:val="-5"/>
        </w:rPr>
        <w:t>道）</w:t>
      </w:r>
      <w:r>
        <w:rPr>
          <w:rFonts w:ascii="Times New Roman" w:hAnsi="Times New Roman" w:eastAsia="Times New Roman" w:cs="Times New Roman"/>
          <w:spacing w:val="-5"/>
        </w:rPr>
        <w:t>+2</w:t>
      </w:r>
      <w:r>
        <w:rPr>
          <w:rFonts w:ascii="Times New Roman" w:hAnsi="Times New Roman" w:eastAsia="Times New Roman" w:cs="Times New Roman"/>
          <w:spacing w:val="9"/>
        </w:rPr>
        <w:t xml:space="preserve"> </w:t>
      </w:r>
      <w:r>
        <w:rPr>
          <w:spacing w:val="-5"/>
        </w:rPr>
        <w:t>米（人行道</w:t>
      </w:r>
      <w:r>
        <w:rPr>
          <w:spacing w:val="-12"/>
        </w:rPr>
        <w:t>）；</w:t>
      </w:r>
    </w:p>
    <w:p w14:paraId="32D6E9F8">
      <w:pPr>
        <w:pStyle w:val="2"/>
        <w:spacing w:before="213" w:line="213" w:lineRule="auto"/>
        <w:ind w:left="474"/>
      </w:pPr>
      <w:r>
        <w:rPr>
          <w:rFonts w:hint="eastAsia" w:ascii="Times New Roman" w:hAnsi="Times New Roman" w:cs="Times New Roman"/>
          <w:spacing w:val="-4"/>
          <w:lang w:eastAsia="zh-CN"/>
        </w:rPr>
        <w:t>4）</w:t>
      </w:r>
      <w:r>
        <w:rPr>
          <w:rFonts w:ascii="Times New Roman" w:hAnsi="Times New Roman" w:eastAsia="Times New Roman" w:cs="Times New Roman"/>
          <w:spacing w:val="-4"/>
        </w:rPr>
        <w:t xml:space="preserve">    12 </w:t>
      </w:r>
      <w:r>
        <w:rPr>
          <w:spacing w:val="-4"/>
        </w:rPr>
        <w:t>米</w:t>
      </w:r>
      <w:r>
        <w:rPr>
          <w:rFonts w:ascii="Times New Roman" w:hAnsi="Times New Roman" w:eastAsia="Times New Roman" w:cs="Times New Roman"/>
          <w:spacing w:val="-4"/>
        </w:rPr>
        <w:t xml:space="preserve">=2 </w:t>
      </w:r>
      <w:r>
        <w:rPr>
          <w:spacing w:val="-4"/>
        </w:rPr>
        <w:t>米（人行道）</w:t>
      </w:r>
      <w:r>
        <w:rPr>
          <w:rFonts w:ascii="Times New Roman" w:hAnsi="Times New Roman" w:eastAsia="Times New Roman" w:cs="Times New Roman"/>
          <w:spacing w:val="-4"/>
        </w:rPr>
        <w:t xml:space="preserve">+8 </w:t>
      </w:r>
      <w:r>
        <w:rPr>
          <w:spacing w:val="-4"/>
        </w:rPr>
        <w:t>米（车行道）</w:t>
      </w:r>
      <w:r>
        <w:rPr>
          <w:rFonts w:ascii="Times New Roman" w:hAnsi="Times New Roman" w:eastAsia="Times New Roman" w:cs="Times New Roman"/>
          <w:spacing w:val="-5"/>
        </w:rPr>
        <w:t>+2</w:t>
      </w:r>
      <w:r>
        <w:rPr>
          <w:rFonts w:ascii="Times New Roman" w:hAnsi="Times New Roman" w:eastAsia="Times New Roman" w:cs="Times New Roman"/>
          <w:spacing w:val="9"/>
        </w:rPr>
        <w:t xml:space="preserve"> </w:t>
      </w:r>
      <w:r>
        <w:rPr>
          <w:spacing w:val="-5"/>
        </w:rPr>
        <w:t>米（人行道</w:t>
      </w:r>
      <w:r>
        <w:rPr>
          <w:spacing w:val="-12"/>
        </w:rPr>
        <w:t>）；</w:t>
      </w:r>
    </w:p>
    <w:p w14:paraId="372265BA">
      <w:pPr>
        <w:pStyle w:val="2"/>
        <w:spacing w:before="213" w:line="213" w:lineRule="auto"/>
        <w:ind w:left="482"/>
      </w:pPr>
      <w:r>
        <w:rPr>
          <w:rFonts w:hint="eastAsia" w:ascii="Times New Roman" w:hAnsi="Times New Roman" w:cs="Times New Roman"/>
          <w:spacing w:val="-6"/>
          <w:lang w:eastAsia="zh-CN"/>
        </w:rPr>
        <w:t>5）</w:t>
      </w:r>
      <w:r>
        <w:rPr>
          <w:rFonts w:ascii="Times New Roman" w:hAnsi="Times New Roman" w:eastAsia="Times New Roman" w:cs="Times New Roman"/>
          <w:spacing w:val="-6"/>
        </w:rPr>
        <w:t xml:space="preserve">    8 </w:t>
      </w:r>
      <w:r>
        <w:rPr>
          <w:spacing w:val="-6"/>
        </w:rPr>
        <w:t>米</w:t>
      </w:r>
      <w:r>
        <w:rPr>
          <w:rFonts w:ascii="Times New Roman" w:hAnsi="Times New Roman" w:eastAsia="Times New Roman" w:cs="Times New Roman"/>
          <w:spacing w:val="-6"/>
        </w:rPr>
        <w:t xml:space="preserve">=4 </w:t>
      </w:r>
      <w:r>
        <w:rPr>
          <w:spacing w:val="-6"/>
        </w:rPr>
        <w:t>米（人车混行）</w:t>
      </w:r>
      <w:r>
        <w:rPr>
          <w:rFonts w:ascii="Times New Roman" w:hAnsi="Times New Roman" w:eastAsia="Times New Roman" w:cs="Times New Roman"/>
          <w:spacing w:val="-6"/>
        </w:rPr>
        <w:t xml:space="preserve">+4 </w:t>
      </w:r>
      <w:r>
        <w:rPr>
          <w:spacing w:val="-6"/>
        </w:rPr>
        <w:t>米（人车混行）。</w:t>
      </w:r>
    </w:p>
    <w:p w14:paraId="1128BCA3">
      <w:pPr>
        <w:spacing w:line="213" w:lineRule="auto"/>
        <w:sectPr>
          <w:type w:val="continuous"/>
          <w:pgSz w:w="23811" w:h="16839"/>
          <w:pgMar w:top="1274" w:right="1369" w:bottom="1613" w:left="1411" w:header="838" w:footer="1386" w:gutter="0"/>
          <w:cols w:equalWidth="0" w:num="2">
            <w:col w:w="10826" w:space="100"/>
            <w:col w:w="10105"/>
          </w:cols>
        </w:sectPr>
      </w:pPr>
    </w:p>
    <w:p w14:paraId="6B3EEF25">
      <w:pPr>
        <w:spacing w:line="22" w:lineRule="exact"/>
      </w:pPr>
    </w:p>
    <w:p w14:paraId="6CCF2B8B">
      <w:pPr>
        <w:spacing w:line="22" w:lineRule="exact"/>
        <w:sectPr>
          <w:headerReference r:id="rId27" w:type="default"/>
          <w:footerReference r:id="rId28" w:type="default"/>
          <w:pgSz w:w="23811" w:h="16839"/>
          <w:pgMar w:top="1274" w:right="1367" w:bottom="1613" w:left="1411" w:header="838" w:footer="1385" w:gutter="0"/>
          <w:cols w:equalWidth="0" w:num="1">
            <w:col w:w="21032"/>
          </w:cols>
        </w:sectPr>
      </w:pPr>
    </w:p>
    <w:p w14:paraId="142DFA43">
      <w:pPr>
        <w:spacing w:line="275" w:lineRule="auto"/>
        <w:rPr>
          <w:rFonts w:ascii="Arial"/>
          <w:sz w:val="21"/>
        </w:rPr>
      </w:pPr>
    </w:p>
    <w:p w14:paraId="605EA90A">
      <w:pPr>
        <w:spacing w:line="275" w:lineRule="auto"/>
        <w:rPr>
          <w:rFonts w:ascii="Arial"/>
          <w:sz w:val="21"/>
        </w:rPr>
      </w:pPr>
    </w:p>
    <w:p w14:paraId="7EA3870F">
      <w:pPr>
        <w:spacing w:line="275" w:lineRule="auto"/>
        <w:rPr>
          <w:rFonts w:ascii="Arial"/>
          <w:sz w:val="21"/>
        </w:rPr>
      </w:pPr>
    </w:p>
    <w:p w14:paraId="24D55B4B">
      <w:pPr>
        <w:spacing w:before="101" w:line="224" w:lineRule="auto"/>
        <w:ind w:left="3154"/>
        <w:outlineLvl w:val="0"/>
        <w:rPr>
          <w:rFonts w:ascii="黑体" w:hAnsi="黑体" w:eastAsia="黑体" w:cs="黑体"/>
          <w:sz w:val="31"/>
          <w:szCs w:val="31"/>
        </w:rPr>
      </w:pPr>
      <w:bookmarkStart w:id="9" w:name="bookmark10"/>
      <w:bookmarkEnd w:id="9"/>
      <w:r>
        <w:rPr>
          <w:rFonts w:ascii="黑体" w:hAnsi="黑体" w:eastAsia="黑体" w:cs="黑体"/>
          <w:spacing w:val="7"/>
          <w:sz w:val="31"/>
          <w:szCs w:val="31"/>
        </w:rPr>
        <w:t>第十章</w:t>
      </w:r>
      <w:r>
        <w:rPr>
          <w:rFonts w:ascii="黑体" w:hAnsi="黑体" w:eastAsia="黑体" w:cs="黑体"/>
          <w:spacing w:val="3"/>
          <w:sz w:val="31"/>
          <w:szCs w:val="31"/>
        </w:rPr>
        <w:t xml:space="preserve">  </w:t>
      </w:r>
      <w:r>
        <w:rPr>
          <w:rFonts w:ascii="黑体" w:hAnsi="黑体" w:eastAsia="黑体" w:cs="黑体"/>
          <w:spacing w:val="7"/>
          <w:sz w:val="31"/>
          <w:szCs w:val="31"/>
        </w:rPr>
        <w:t>绿地景观系统规划</w:t>
      </w:r>
    </w:p>
    <w:p w14:paraId="6EEAA295">
      <w:pPr>
        <w:spacing w:line="267" w:lineRule="auto"/>
        <w:rPr>
          <w:rFonts w:ascii="Arial"/>
          <w:sz w:val="21"/>
        </w:rPr>
      </w:pPr>
    </w:p>
    <w:p w14:paraId="59CE28A0">
      <w:pPr>
        <w:spacing w:line="267" w:lineRule="auto"/>
        <w:rPr>
          <w:rFonts w:ascii="Arial"/>
          <w:sz w:val="21"/>
        </w:rPr>
      </w:pPr>
    </w:p>
    <w:p w14:paraId="50FCBFC1">
      <w:pPr>
        <w:spacing w:before="91" w:line="219" w:lineRule="auto"/>
        <w:ind w:left="250"/>
        <w:rPr>
          <w:rFonts w:ascii="黑体" w:hAnsi="黑体" w:eastAsia="黑体" w:cs="黑体"/>
          <w:sz w:val="28"/>
          <w:szCs w:val="28"/>
        </w:rPr>
      </w:pPr>
      <w:r>
        <w:rPr>
          <w:rFonts w:ascii="黑体" w:hAnsi="黑体" w:eastAsia="黑体" w:cs="黑体"/>
          <w:spacing w:val="-2"/>
          <w:sz w:val="28"/>
          <w:szCs w:val="28"/>
        </w:rPr>
        <w:t>第二十八条</w:t>
      </w:r>
      <w:r>
        <w:rPr>
          <w:rFonts w:ascii="黑体" w:hAnsi="黑体" w:eastAsia="黑体" w:cs="黑体"/>
          <w:spacing w:val="27"/>
          <w:sz w:val="28"/>
          <w:szCs w:val="28"/>
        </w:rPr>
        <w:t xml:space="preserve">   </w:t>
      </w:r>
      <w:r>
        <w:rPr>
          <w:rFonts w:ascii="黑体" w:hAnsi="黑体" w:eastAsia="黑体" w:cs="黑体"/>
          <w:spacing w:val="-2"/>
          <w:sz w:val="28"/>
          <w:szCs w:val="28"/>
        </w:rPr>
        <w:t>绿地景观结构</w:t>
      </w:r>
    </w:p>
    <w:p w14:paraId="7D5B1706">
      <w:pPr>
        <w:spacing w:line="438" w:lineRule="auto"/>
        <w:rPr>
          <w:rFonts w:ascii="Arial"/>
          <w:sz w:val="21"/>
        </w:rPr>
      </w:pPr>
    </w:p>
    <w:p w14:paraId="3AEA4820">
      <w:pPr>
        <w:spacing w:before="78" w:line="218" w:lineRule="auto"/>
        <w:ind w:left="522"/>
        <w:rPr>
          <w:rFonts w:ascii="黑体" w:hAnsi="黑体" w:eastAsia="黑体" w:cs="黑体"/>
          <w:sz w:val="24"/>
          <w:szCs w:val="24"/>
        </w:rPr>
      </w:pPr>
      <w:r>
        <w:rPr>
          <w:rFonts w:ascii="黑体" w:hAnsi="黑体" w:eastAsia="黑体" w:cs="黑体"/>
          <w:spacing w:val="-3"/>
          <w:sz w:val="24"/>
          <w:szCs w:val="24"/>
        </w:rPr>
        <w:t>一、景观结构</w:t>
      </w:r>
    </w:p>
    <w:p w14:paraId="69B202B0">
      <w:pPr>
        <w:spacing w:line="385" w:lineRule="auto"/>
        <w:rPr>
          <w:rFonts w:ascii="Arial"/>
          <w:sz w:val="21"/>
        </w:rPr>
      </w:pPr>
    </w:p>
    <w:p w14:paraId="17D1BFE4">
      <w:pPr>
        <w:pStyle w:val="2"/>
        <w:spacing w:before="78" w:line="219" w:lineRule="auto"/>
        <w:ind w:left="519"/>
      </w:pPr>
      <w:r>
        <w:rPr>
          <w:spacing w:val="-2"/>
        </w:rPr>
        <w:t>规划形成“三心、两轴、六廊、一带、多点”的绿地景观结构。</w:t>
      </w:r>
    </w:p>
    <w:p w14:paraId="3458F050">
      <w:pPr>
        <w:pStyle w:val="2"/>
        <w:spacing w:before="202" w:line="377" w:lineRule="auto"/>
        <w:ind w:left="40" w:right="749" w:firstLine="478"/>
        <w:rPr>
          <w:rFonts w:ascii="Times New Roman" w:hAnsi="Times New Roman" w:eastAsia="Times New Roman" w:cs="Times New Roman"/>
        </w:rPr>
      </w:pPr>
      <w:r>
        <w:rPr>
          <w:spacing w:val="-1"/>
        </w:rPr>
        <w:t>三心：即位于安宁片区南部的中心公园、坝塘水库周边打造的综合公园和新九片区中</w:t>
      </w:r>
      <w:r>
        <w:rPr>
          <w:spacing w:val="-2"/>
        </w:rPr>
        <w:t>部的观</w:t>
      </w:r>
      <w:r>
        <w:rPr>
          <w:spacing w:val="-1"/>
        </w:rPr>
        <w:t>音岩公园打造的景观中心</w:t>
      </w:r>
      <w:r>
        <w:rPr>
          <w:rFonts w:hint="eastAsia"/>
          <w:spacing w:val="-1"/>
          <w:lang w:eastAsia="zh-CN"/>
        </w:rPr>
        <w:t>；</w:t>
      </w:r>
    </w:p>
    <w:p w14:paraId="0EDD4638">
      <w:pPr>
        <w:pStyle w:val="2"/>
        <w:spacing w:before="2" w:line="375" w:lineRule="auto"/>
        <w:ind w:left="40" w:right="751" w:firstLine="479"/>
        <w:rPr>
          <w:rFonts w:ascii="Times New Roman" w:hAnsi="Times New Roman" w:eastAsia="Times New Roman" w:cs="Times New Roman"/>
        </w:rPr>
      </w:pPr>
      <w:r>
        <w:rPr>
          <w:spacing w:val="-2"/>
        </w:rPr>
        <w:t>两轴：即结合</w:t>
      </w:r>
      <w:r>
        <w:rPr>
          <w:spacing w:val="-51"/>
        </w:rPr>
        <w:t xml:space="preserve"> </w:t>
      </w:r>
      <w:r>
        <w:rPr>
          <w:rFonts w:ascii="Times New Roman" w:hAnsi="Times New Roman" w:eastAsia="Times New Roman" w:cs="Times New Roman"/>
          <w:spacing w:val="-2"/>
        </w:rPr>
        <w:t xml:space="preserve">G4216 </w:t>
      </w:r>
      <w:r>
        <w:rPr>
          <w:spacing w:val="-2"/>
        </w:rPr>
        <w:t>连接线道路绿化打</w:t>
      </w:r>
      <w:r>
        <w:rPr>
          <w:spacing w:val="-3"/>
        </w:rPr>
        <w:t>造的生态景观轴和结合流经观音岩公园的水系打造的</w:t>
      </w:r>
      <w:r>
        <w:rPr>
          <w:spacing w:val="-2"/>
        </w:rPr>
        <w:t>生态景观轴</w:t>
      </w:r>
      <w:r>
        <w:rPr>
          <w:rFonts w:hint="eastAsia"/>
          <w:spacing w:val="-2"/>
          <w:lang w:eastAsia="zh-CN"/>
        </w:rPr>
        <w:t>；</w:t>
      </w:r>
    </w:p>
    <w:p w14:paraId="568AA3FD">
      <w:pPr>
        <w:pStyle w:val="2"/>
        <w:spacing w:line="221" w:lineRule="auto"/>
        <w:ind w:left="520"/>
        <w:rPr>
          <w:rFonts w:ascii="Times New Roman" w:hAnsi="Times New Roman" w:eastAsia="Times New Roman" w:cs="Times New Roman"/>
        </w:rPr>
      </w:pPr>
      <w:r>
        <w:t>六廊：即沿园区部分干道两边的道路绿地、滨河绿地等</w:t>
      </w:r>
      <w:r>
        <w:rPr>
          <w:spacing w:val="-1"/>
        </w:rPr>
        <w:t>打造的八条生态景观通廊</w:t>
      </w:r>
      <w:r>
        <w:rPr>
          <w:rFonts w:hint="eastAsia"/>
          <w:spacing w:val="-1"/>
          <w:lang w:eastAsia="zh-CN"/>
        </w:rPr>
        <w:t>；</w:t>
      </w:r>
    </w:p>
    <w:p w14:paraId="0AE17297">
      <w:pPr>
        <w:pStyle w:val="2"/>
        <w:spacing w:before="203" w:line="221" w:lineRule="auto"/>
        <w:ind w:left="522"/>
        <w:rPr>
          <w:rFonts w:ascii="Times New Roman" w:hAnsi="Times New Roman" w:eastAsia="Times New Roman" w:cs="Times New Roman"/>
        </w:rPr>
      </w:pPr>
      <w:r>
        <w:rPr>
          <w:spacing w:val="-1"/>
        </w:rPr>
        <w:t>一带：即沿金沙江打造的位于安宁片区西南侧的滨水景观带</w:t>
      </w:r>
      <w:r>
        <w:rPr>
          <w:rFonts w:hint="eastAsia"/>
          <w:spacing w:val="-1"/>
          <w:lang w:eastAsia="zh-CN"/>
        </w:rPr>
        <w:t>；</w:t>
      </w:r>
    </w:p>
    <w:p w14:paraId="3DDA58C5">
      <w:pPr>
        <w:pStyle w:val="2"/>
        <w:spacing w:before="201" w:line="220" w:lineRule="auto"/>
        <w:ind w:left="529"/>
      </w:pPr>
      <w:r>
        <w:rPr>
          <w:spacing w:val="-1"/>
        </w:rPr>
        <w:t>多点：即在高速公路出入口、滨水空间和梯道集散空间的绿地形成的多处景观节点。</w:t>
      </w:r>
    </w:p>
    <w:p w14:paraId="7D96CC4A">
      <w:pPr>
        <w:spacing w:line="385" w:lineRule="auto"/>
        <w:rPr>
          <w:rFonts w:ascii="Arial"/>
          <w:sz w:val="21"/>
        </w:rPr>
      </w:pPr>
    </w:p>
    <w:p w14:paraId="327FEC7C">
      <w:pPr>
        <w:spacing w:before="79" w:line="218" w:lineRule="auto"/>
        <w:ind w:left="522"/>
        <w:rPr>
          <w:rFonts w:ascii="黑体" w:hAnsi="黑体" w:eastAsia="黑体" w:cs="黑体"/>
          <w:sz w:val="24"/>
          <w:szCs w:val="24"/>
        </w:rPr>
      </w:pPr>
      <w:r>
        <w:rPr>
          <w:rFonts w:ascii="黑体" w:hAnsi="黑体" w:eastAsia="黑体" w:cs="黑体"/>
          <w:spacing w:val="-2"/>
          <w:sz w:val="24"/>
          <w:szCs w:val="24"/>
        </w:rPr>
        <w:t>二、景观风貌控制规划</w:t>
      </w:r>
    </w:p>
    <w:p w14:paraId="40775B50">
      <w:pPr>
        <w:spacing w:line="382" w:lineRule="auto"/>
        <w:rPr>
          <w:rFonts w:ascii="Arial"/>
          <w:sz w:val="21"/>
        </w:rPr>
      </w:pPr>
    </w:p>
    <w:p w14:paraId="6FD5FE80">
      <w:pPr>
        <w:pStyle w:val="2"/>
        <w:spacing w:before="78" w:line="219" w:lineRule="auto"/>
        <w:ind w:left="519"/>
      </w:pPr>
      <w:r>
        <w:rPr>
          <w:spacing w:val="-1"/>
        </w:rPr>
        <w:t>规划钒钛产业开发区分区为综合服务风貌区、产业风貌区和自然山</w:t>
      </w:r>
      <w:r>
        <w:rPr>
          <w:spacing w:val="-2"/>
        </w:rPr>
        <w:t>林风貌区。</w:t>
      </w:r>
    </w:p>
    <w:p w14:paraId="6DCE2AF1">
      <w:pPr>
        <w:pStyle w:val="2"/>
        <w:spacing w:before="205" w:line="233" w:lineRule="auto"/>
        <w:ind w:left="479"/>
      </w:pPr>
      <w:r>
        <w:rPr>
          <w:rFonts w:ascii="Times New Roman" w:hAnsi="Times New Roman" w:eastAsia="Times New Roman" w:cs="Times New Roman"/>
          <w:spacing w:val="-3"/>
        </w:rPr>
        <w:t xml:space="preserve">1.    </w:t>
      </w:r>
      <w:r>
        <w:rPr>
          <w:spacing w:val="-3"/>
        </w:rPr>
        <w:t>综合服务风貌区</w:t>
      </w:r>
    </w:p>
    <w:p w14:paraId="7765677A">
      <w:pPr>
        <w:pStyle w:val="2"/>
        <w:spacing w:before="188" w:line="376" w:lineRule="auto"/>
        <w:ind w:left="38" w:right="752" w:firstLine="480"/>
      </w:pPr>
      <w:r>
        <w:rPr>
          <w:spacing w:val="-1"/>
        </w:rPr>
        <w:t>两大服务中心作为体现一流企业管理服务的重点展示地段，规划要求建筑空</w:t>
      </w:r>
      <w:r>
        <w:rPr>
          <w:spacing w:val="-2"/>
        </w:rPr>
        <w:t>间组合应丰富多</w:t>
      </w:r>
      <w:r>
        <w:rPr>
          <w:spacing w:val="-5"/>
        </w:rPr>
        <w:t>变，高低错落，体现现代建筑空间艺术特点。在道路景观视线通道上的主体建</w:t>
      </w:r>
      <w:r>
        <w:rPr>
          <w:spacing w:val="-6"/>
        </w:rPr>
        <w:t>筑形态宜突出，</w:t>
      </w:r>
      <w:r>
        <w:rPr>
          <w:spacing w:val="51"/>
        </w:rPr>
        <w:t xml:space="preserve"> </w:t>
      </w:r>
      <w:r>
        <w:rPr>
          <w:spacing w:val="-6"/>
        </w:rPr>
        <w:t>且</w:t>
      </w:r>
      <w:r>
        <w:rPr>
          <w:spacing w:val="-5"/>
        </w:rPr>
        <w:t>与周边环境相融合。建筑材料应体现科技与低碳环保相结合，</w:t>
      </w:r>
      <w:r>
        <w:rPr>
          <w:spacing w:val="52"/>
        </w:rPr>
        <w:t xml:space="preserve"> </w:t>
      </w:r>
      <w:r>
        <w:rPr>
          <w:spacing w:val="-5"/>
        </w:rPr>
        <w:t>注重现代</w:t>
      </w:r>
      <w:r>
        <w:rPr>
          <w:spacing w:val="-6"/>
        </w:rPr>
        <w:t>绿化景观设计，大气、开</w:t>
      </w:r>
      <w:r>
        <w:rPr>
          <w:spacing w:val="-7"/>
        </w:rPr>
        <w:t>阔、简洁。</w:t>
      </w:r>
    </w:p>
    <w:p w14:paraId="1E64BBD9">
      <w:pPr>
        <w:pStyle w:val="2"/>
        <w:spacing w:before="1" w:line="232" w:lineRule="auto"/>
        <w:ind w:left="456"/>
      </w:pPr>
      <w:r>
        <w:rPr>
          <w:rFonts w:ascii="Times New Roman" w:hAnsi="Times New Roman" w:eastAsia="Times New Roman" w:cs="Times New Roman"/>
          <w:spacing w:val="-1"/>
        </w:rPr>
        <w:t xml:space="preserve">2.    </w:t>
      </w:r>
      <w:r>
        <w:rPr>
          <w:spacing w:val="-1"/>
        </w:rPr>
        <w:t>产业风貌区</w:t>
      </w:r>
    </w:p>
    <w:p w14:paraId="55A1B2B3">
      <w:pPr>
        <w:pStyle w:val="2"/>
        <w:spacing w:before="183" w:line="329" w:lineRule="auto"/>
        <w:ind w:left="39" w:right="546" w:firstLine="480"/>
      </w:pPr>
      <w:r>
        <w:rPr>
          <w:spacing w:val="-2"/>
        </w:rPr>
        <w:t>规划要求钒钛产业开发区建设应具有现代风格，以满足现代工业生产和企业文化的发展要求。</w:t>
      </w:r>
      <w:r>
        <w:rPr>
          <w:spacing w:val="-1"/>
        </w:rPr>
        <w:t>建筑宜采用简洁的造型和明快的色彩，注重企业文化和标志在建筑风格、环境设计</w:t>
      </w:r>
      <w:r>
        <w:rPr>
          <w:spacing w:val="-2"/>
        </w:rPr>
        <w:t>、空间结构等</w:t>
      </w:r>
      <w:r>
        <w:rPr>
          <w:spacing w:val="2"/>
        </w:rPr>
        <w:t>方面对企业个性特色的体现；注重新材料、新技术在建筑上的运用，结合地</w:t>
      </w:r>
      <w:r>
        <w:rPr>
          <w:spacing w:val="1"/>
        </w:rPr>
        <w:t>形和企业工艺特点，营造随地形高低起伏、错落有致的空间特色，使产业区整体风貌具有现代感、秩序感和优越感。</w:t>
      </w:r>
    </w:p>
    <w:p w14:paraId="294D28EF">
      <w:pPr>
        <w:spacing w:line="14" w:lineRule="auto"/>
        <w:rPr>
          <w:rFonts w:ascii="Arial"/>
          <w:sz w:val="2"/>
        </w:rPr>
      </w:pPr>
      <w:r>
        <w:rPr>
          <w:rFonts w:ascii="Arial" w:hAnsi="Arial" w:eastAsia="Arial" w:cs="Arial"/>
          <w:sz w:val="2"/>
          <w:szCs w:val="2"/>
        </w:rPr>
        <w:br w:type="column"/>
      </w:r>
    </w:p>
    <w:p w14:paraId="433FA555">
      <w:pPr>
        <w:pStyle w:val="2"/>
        <w:spacing w:before="61" w:line="233" w:lineRule="auto"/>
        <w:ind w:left="423"/>
      </w:pPr>
      <w:r>
        <w:rPr>
          <w:rFonts w:ascii="Times New Roman" w:hAnsi="Times New Roman" w:eastAsia="Times New Roman" w:cs="Times New Roman"/>
          <w:spacing w:val="-6"/>
        </w:rPr>
        <w:t>3.</w:t>
      </w:r>
      <w:r>
        <w:rPr>
          <w:rFonts w:ascii="Times New Roman" w:hAnsi="Times New Roman" w:eastAsia="Times New Roman" w:cs="Times New Roman"/>
          <w:spacing w:val="12"/>
        </w:rPr>
        <w:t xml:space="preserve">    </w:t>
      </w:r>
      <w:r>
        <w:rPr>
          <w:spacing w:val="-6"/>
        </w:rPr>
        <w:t>自然山林风貌区</w:t>
      </w:r>
    </w:p>
    <w:p w14:paraId="0F9C729E">
      <w:pPr>
        <w:pStyle w:val="2"/>
        <w:spacing w:before="187" w:line="377" w:lineRule="auto"/>
        <w:ind w:right="68" w:firstLine="481"/>
      </w:pPr>
      <w:r>
        <w:rPr>
          <w:spacing w:val="-1"/>
        </w:rPr>
        <w:t>规划对整个钒钛产业开发区及其外围山林进行保护，作为园区的生态涵养区和景</w:t>
      </w:r>
      <w:r>
        <w:rPr>
          <w:spacing w:val="-2"/>
        </w:rPr>
        <w:t>观底景。并</w:t>
      </w:r>
      <w:r>
        <w:rPr>
          <w:spacing w:val="-1"/>
        </w:rPr>
        <w:t>加强植被覆盖质量和矿区生态环境修复，提高生（植）物多样性和景观多样性，形成</w:t>
      </w:r>
      <w:r>
        <w:rPr>
          <w:spacing w:val="-2"/>
        </w:rPr>
        <w:t>集生态、景</w:t>
      </w:r>
      <w:r>
        <w:rPr>
          <w:spacing w:val="-1"/>
        </w:rPr>
        <w:t>观、抗污染等功能为一体、与产业区人文景观相互渗透的</w:t>
      </w:r>
      <w:r>
        <w:rPr>
          <w:spacing w:val="-2"/>
        </w:rPr>
        <w:t>园区自然山林背景。</w:t>
      </w:r>
    </w:p>
    <w:p w14:paraId="063D22ED">
      <w:pPr>
        <w:spacing w:before="186" w:line="219" w:lineRule="auto"/>
        <w:ind w:left="212"/>
        <w:rPr>
          <w:rFonts w:ascii="黑体" w:hAnsi="黑体" w:eastAsia="黑体" w:cs="黑体"/>
          <w:sz w:val="28"/>
          <w:szCs w:val="28"/>
        </w:rPr>
      </w:pPr>
      <w:r>
        <w:rPr>
          <w:rFonts w:ascii="黑体" w:hAnsi="黑体" w:eastAsia="黑体" w:cs="黑体"/>
          <w:spacing w:val="-2"/>
          <w:sz w:val="28"/>
          <w:szCs w:val="28"/>
        </w:rPr>
        <w:t>第二十九条</w:t>
      </w:r>
      <w:r>
        <w:rPr>
          <w:rFonts w:ascii="黑体" w:hAnsi="黑体" w:eastAsia="黑体" w:cs="黑体"/>
          <w:spacing w:val="27"/>
          <w:sz w:val="28"/>
          <w:szCs w:val="28"/>
        </w:rPr>
        <w:t xml:space="preserve">   </w:t>
      </w:r>
      <w:r>
        <w:rPr>
          <w:rFonts w:ascii="黑体" w:hAnsi="黑体" w:eastAsia="黑体" w:cs="黑体"/>
          <w:spacing w:val="-2"/>
          <w:sz w:val="28"/>
          <w:szCs w:val="28"/>
        </w:rPr>
        <w:t>绿地系统规划</w:t>
      </w:r>
    </w:p>
    <w:p w14:paraId="7E3CF33A">
      <w:pPr>
        <w:spacing w:line="311" w:lineRule="auto"/>
        <w:rPr>
          <w:rFonts w:ascii="Arial"/>
          <w:sz w:val="21"/>
        </w:rPr>
      </w:pPr>
    </w:p>
    <w:p w14:paraId="6D55CB50">
      <w:pPr>
        <w:pStyle w:val="2"/>
        <w:spacing w:before="78" w:line="368" w:lineRule="auto"/>
        <w:ind w:right="77" w:firstLine="481"/>
      </w:pPr>
      <w:r>
        <w:rPr>
          <w:spacing w:val="-2"/>
        </w:rPr>
        <w:t>规划绿地与广场用地</w:t>
      </w:r>
      <w:r>
        <w:rPr>
          <w:spacing w:val="-38"/>
        </w:rPr>
        <w:t xml:space="preserve"> </w:t>
      </w:r>
      <w:r>
        <w:rPr>
          <w:spacing w:val="-2"/>
        </w:rPr>
        <w:t>292.41</w:t>
      </w:r>
      <w:r>
        <w:rPr>
          <w:spacing w:val="-34"/>
        </w:rPr>
        <w:t xml:space="preserve"> </w:t>
      </w:r>
      <w:r>
        <w:rPr>
          <w:spacing w:val="-2"/>
        </w:rPr>
        <w:t xml:space="preserve">公顷，占城市建设总用地的 </w:t>
      </w:r>
      <w:r>
        <w:rPr>
          <w:rFonts w:ascii="Calibri" w:hAnsi="Calibri" w:eastAsia="Calibri" w:cs="Calibri"/>
          <w:spacing w:val="-2"/>
        </w:rPr>
        <w:t>14.06%</w:t>
      </w:r>
      <w:r>
        <w:rPr>
          <w:spacing w:val="-2"/>
        </w:rPr>
        <w:t>，主要</w:t>
      </w:r>
      <w:r>
        <w:rPr>
          <w:spacing w:val="-3"/>
        </w:rPr>
        <w:t>为公园绿地与防护绿</w:t>
      </w:r>
      <w:r>
        <w:rPr>
          <w:spacing w:val="-11"/>
        </w:rPr>
        <w:t>地。</w:t>
      </w:r>
    </w:p>
    <w:p w14:paraId="29E7F690">
      <w:pPr>
        <w:spacing w:before="283" w:line="218" w:lineRule="auto"/>
        <w:ind w:left="484"/>
        <w:rPr>
          <w:rFonts w:ascii="黑体" w:hAnsi="黑体" w:eastAsia="黑体" w:cs="黑体"/>
          <w:sz w:val="24"/>
          <w:szCs w:val="24"/>
        </w:rPr>
      </w:pPr>
      <w:r>
        <w:rPr>
          <w:rFonts w:ascii="黑体" w:hAnsi="黑体" w:eastAsia="黑体" w:cs="黑体"/>
          <w:spacing w:val="-2"/>
          <w:sz w:val="24"/>
          <w:szCs w:val="24"/>
        </w:rPr>
        <w:t>一、公园绿地</w:t>
      </w:r>
    </w:p>
    <w:p w14:paraId="457C41D1">
      <w:pPr>
        <w:spacing w:line="381" w:lineRule="auto"/>
        <w:rPr>
          <w:rFonts w:ascii="Arial"/>
          <w:sz w:val="21"/>
        </w:rPr>
      </w:pPr>
    </w:p>
    <w:p w14:paraId="48C2DE79">
      <w:pPr>
        <w:pStyle w:val="2"/>
        <w:spacing w:before="79" w:line="220" w:lineRule="auto"/>
        <w:ind w:left="481"/>
      </w:pPr>
      <w:r>
        <w:t>规划公园绿地面积</w:t>
      </w:r>
      <w:r>
        <w:rPr>
          <w:spacing w:val="-28"/>
        </w:rPr>
        <w:t xml:space="preserve"> </w:t>
      </w:r>
      <w:r>
        <w:t>130.8</w:t>
      </w:r>
      <w:r>
        <w:rPr>
          <w:spacing w:val="-43"/>
        </w:rPr>
        <w:t xml:space="preserve"> </w:t>
      </w:r>
      <w:r>
        <w:t>公顷，占城市建设总用地的6.29%。</w:t>
      </w:r>
    </w:p>
    <w:p w14:paraId="765A5D07">
      <w:pPr>
        <w:pStyle w:val="2"/>
        <w:spacing w:before="203" w:line="362" w:lineRule="auto"/>
        <w:ind w:left="6" w:right="77" w:firstLine="498"/>
      </w:pPr>
      <w:r>
        <w:rPr>
          <w:b/>
          <w:bCs/>
          <w:spacing w:val="-2"/>
          <w:u w:val="single" w:color="auto"/>
        </w:rPr>
        <w:t>中心公园：布置于安宁片区南部，规划面积</w:t>
      </w:r>
      <w:r>
        <w:rPr>
          <w:spacing w:val="-2"/>
          <w:u w:val="single" w:color="auto"/>
        </w:rPr>
        <w:t xml:space="preserve"> </w:t>
      </w:r>
      <w:r>
        <w:rPr>
          <w:rFonts w:ascii="Calibri" w:hAnsi="Calibri" w:eastAsia="Calibri" w:cs="Calibri"/>
          <w:b/>
          <w:bCs/>
          <w:spacing w:val="-2"/>
          <w:u w:val="single" w:color="auto"/>
        </w:rPr>
        <w:t xml:space="preserve">1.34  </w:t>
      </w:r>
      <w:r>
        <w:rPr>
          <w:b/>
          <w:bCs/>
          <w:spacing w:val="-2"/>
          <w:u w:val="single" w:color="auto"/>
        </w:rPr>
        <w:t>公顷。</w:t>
      </w:r>
      <w:r>
        <w:rPr>
          <w:spacing w:val="-2"/>
        </w:rPr>
        <w:t>设置文化站、活动中心及适量园林</w:t>
      </w:r>
      <w:r>
        <w:rPr>
          <w:spacing w:val="-1"/>
        </w:rPr>
        <w:t>小品，打造为滨水公园，亦成为整个钒钛产业开发区综合服务中心</w:t>
      </w:r>
      <w:r>
        <w:rPr>
          <w:spacing w:val="-2"/>
        </w:rPr>
        <w:t>区域的绿色屏障。</w:t>
      </w:r>
    </w:p>
    <w:p w14:paraId="5EC485FA">
      <w:pPr>
        <w:pStyle w:val="2"/>
        <w:spacing w:before="36" w:line="377" w:lineRule="auto"/>
        <w:ind w:right="68" w:firstLine="481"/>
      </w:pPr>
      <w:r>
        <w:rPr>
          <w:b/>
          <w:bCs/>
          <w:spacing w:val="-2"/>
          <w:u w:val="single" w:color="auto"/>
        </w:rPr>
        <w:t>观音岩公园：位于新九片区中部，</w:t>
      </w:r>
      <w:r>
        <w:rPr>
          <w:spacing w:val="-2"/>
        </w:rPr>
        <w:t>以生态系统保护为主，休闲游憩为辅，在修复</w:t>
      </w:r>
      <w:r>
        <w:rPr>
          <w:spacing w:val="-3"/>
        </w:rPr>
        <w:t>区域内尾矿</w:t>
      </w:r>
      <w:r>
        <w:rPr>
          <w:spacing w:val="-1"/>
        </w:rPr>
        <w:t>库的基础上，打造具有矿区特色的生态公园。</w:t>
      </w:r>
      <w:r>
        <w:rPr>
          <w:b/>
          <w:bCs/>
          <w:spacing w:val="-1"/>
          <w:u w:val="single" w:color="auto"/>
        </w:rPr>
        <w:t>规</w:t>
      </w:r>
      <w:r>
        <w:rPr>
          <w:b/>
          <w:bCs/>
          <w:spacing w:val="-2"/>
          <w:u w:val="single" w:color="auto"/>
        </w:rPr>
        <w:t>划面积</w:t>
      </w:r>
      <w:r>
        <w:rPr>
          <w:spacing w:val="-51"/>
          <w:u w:val="single" w:color="auto"/>
        </w:rPr>
        <w:t xml:space="preserve"> </w:t>
      </w:r>
      <w:r>
        <w:rPr>
          <w:rFonts w:ascii="Calibri" w:hAnsi="Calibri" w:eastAsia="Calibri" w:cs="Calibri"/>
          <w:b/>
          <w:bCs/>
          <w:spacing w:val="-2"/>
          <w:u w:val="single" w:color="auto"/>
        </w:rPr>
        <w:t>94.52</w:t>
      </w:r>
      <w:r>
        <w:rPr>
          <w:rFonts w:ascii="Calibri" w:hAnsi="Calibri" w:eastAsia="Calibri" w:cs="Calibri"/>
          <w:b/>
          <w:bCs/>
          <w:spacing w:val="23"/>
          <w:u w:val="single" w:color="auto"/>
        </w:rPr>
        <w:t xml:space="preserve"> </w:t>
      </w:r>
      <w:r>
        <w:rPr>
          <w:b/>
          <w:bCs/>
          <w:spacing w:val="-2"/>
          <w:u w:val="single" w:color="auto"/>
        </w:rPr>
        <w:t>公顷。</w:t>
      </w:r>
    </w:p>
    <w:p w14:paraId="49A87E07">
      <w:pPr>
        <w:pStyle w:val="2"/>
        <w:spacing w:before="2" w:line="218" w:lineRule="auto"/>
        <w:ind w:left="482"/>
      </w:pPr>
      <w:r>
        <w:rPr>
          <w:b/>
          <w:bCs/>
          <w:spacing w:val="-1"/>
        </w:rPr>
        <w:t>游园：</w:t>
      </w:r>
      <w:r>
        <w:rPr>
          <w:spacing w:val="-1"/>
        </w:rPr>
        <w:t>主要分布于各个产业单元可利用空地。</w:t>
      </w:r>
    </w:p>
    <w:p w14:paraId="4DFB7724">
      <w:pPr>
        <w:spacing w:line="384" w:lineRule="auto"/>
        <w:rPr>
          <w:rFonts w:ascii="Arial"/>
          <w:sz w:val="21"/>
        </w:rPr>
      </w:pPr>
    </w:p>
    <w:p w14:paraId="595AF8E6">
      <w:pPr>
        <w:spacing w:before="78" w:line="218" w:lineRule="auto"/>
        <w:ind w:left="484"/>
        <w:rPr>
          <w:rFonts w:ascii="黑体" w:hAnsi="黑体" w:eastAsia="黑体" w:cs="黑体"/>
          <w:sz w:val="24"/>
          <w:szCs w:val="24"/>
        </w:rPr>
      </w:pPr>
      <w:r>
        <w:rPr>
          <w:rFonts w:ascii="黑体" w:hAnsi="黑体" w:eastAsia="黑体" w:cs="黑体"/>
          <w:spacing w:val="-2"/>
          <w:sz w:val="24"/>
          <w:szCs w:val="24"/>
        </w:rPr>
        <w:t>二、防护绿地</w:t>
      </w:r>
    </w:p>
    <w:p w14:paraId="3203A2B1">
      <w:pPr>
        <w:spacing w:line="384" w:lineRule="auto"/>
        <w:rPr>
          <w:rFonts w:ascii="Arial"/>
          <w:sz w:val="21"/>
        </w:rPr>
      </w:pPr>
    </w:p>
    <w:p w14:paraId="5F7A93AC">
      <w:pPr>
        <w:pStyle w:val="2"/>
        <w:spacing w:before="78" w:line="219" w:lineRule="auto"/>
        <w:ind w:left="481"/>
      </w:pPr>
      <w:r>
        <w:rPr>
          <w:spacing w:val="-2"/>
        </w:rPr>
        <w:t>规划防护绿地主要布置于城市交通干线两侧和管线走廊两侧和市政设施周边，其中：</w:t>
      </w:r>
    </w:p>
    <w:p w14:paraId="7914B6CC">
      <w:pPr>
        <w:pStyle w:val="2"/>
        <w:spacing w:before="205" w:line="376" w:lineRule="auto"/>
        <w:ind w:firstLine="481"/>
      </w:pPr>
      <w:r>
        <w:rPr>
          <w:b/>
          <w:bCs/>
          <w:spacing w:val="-4"/>
          <w:u w:val="single" w:color="auto"/>
        </w:rPr>
        <w:t>快速路两侧各控制不少于</w:t>
      </w:r>
      <w:r>
        <w:rPr>
          <w:spacing w:val="-35"/>
          <w:u w:val="single" w:color="auto"/>
        </w:rPr>
        <w:t xml:space="preserve"> </w:t>
      </w:r>
      <w:r>
        <w:rPr>
          <w:rFonts w:ascii="Times New Roman" w:hAnsi="Times New Roman" w:eastAsia="Times New Roman" w:cs="Times New Roman"/>
          <w:b/>
          <w:bCs/>
          <w:spacing w:val="-4"/>
          <w:u w:val="single" w:color="auto"/>
        </w:rPr>
        <w:t>20</w:t>
      </w:r>
      <w:r>
        <w:rPr>
          <w:rFonts w:ascii="Times New Roman" w:hAnsi="Times New Roman" w:eastAsia="Times New Roman" w:cs="Times New Roman"/>
          <w:b/>
          <w:bCs/>
          <w:spacing w:val="21"/>
          <w:w w:val="101"/>
          <w:u w:val="single" w:color="auto"/>
        </w:rPr>
        <w:t xml:space="preserve"> </w:t>
      </w:r>
      <w:r>
        <w:rPr>
          <w:b/>
          <w:bCs/>
          <w:spacing w:val="-4"/>
          <w:u w:val="single" w:color="auto"/>
        </w:rPr>
        <w:t>米的防护绿带，铁路、高速公路两侧按</w:t>
      </w:r>
      <w:r>
        <w:rPr>
          <w:spacing w:val="-36"/>
          <w:u w:val="single" w:color="auto"/>
        </w:rPr>
        <w:t xml:space="preserve"> </w:t>
      </w:r>
      <w:r>
        <w:rPr>
          <w:rFonts w:ascii="Times New Roman" w:hAnsi="Times New Roman" w:eastAsia="Times New Roman" w:cs="Times New Roman"/>
          <w:b/>
          <w:bCs/>
          <w:spacing w:val="-4"/>
          <w:u w:val="single" w:color="auto"/>
        </w:rPr>
        <w:t>50</w:t>
      </w:r>
      <w:r>
        <w:rPr>
          <w:rFonts w:ascii="Times New Roman" w:hAnsi="Times New Roman" w:eastAsia="Times New Roman" w:cs="Times New Roman"/>
          <w:b/>
          <w:bCs/>
          <w:spacing w:val="22"/>
          <w:u w:val="single" w:color="auto"/>
        </w:rPr>
        <w:t xml:space="preserve"> </w:t>
      </w:r>
      <w:r>
        <w:rPr>
          <w:b/>
          <w:bCs/>
          <w:spacing w:val="-4"/>
          <w:u w:val="single" w:color="auto"/>
        </w:rPr>
        <w:t>米防护隔离带控制，</w:t>
      </w:r>
      <w:r>
        <w:rPr>
          <w:b/>
          <w:bCs/>
          <w:spacing w:val="-3"/>
          <w:u w:val="single" w:color="auto"/>
        </w:rPr>
        <w:t>其中规划建设区内按不小于</w:t>
      </w:r>
      <w:r>
        <w:rPr>
          <w:spacing w:val="-33"/>
          <w:u w:val="single" w:color="auto"/>
        </w:rPr>
        <w:t xml:space="preserve"> </w:t>
      </w:r>
      <w:r>
        <w:rPr>
          <w:rFonts w:ascii="Times New Roman" w:hAnsi="Times New Roman" w:eastAsia="Times New Roman" w:cs="Times New Roman"/>
          <w:b/>
          <w:bCs/>
          <w:spacing w:val="-3"/>
          <w:u w:val="single" w:color="auto"/>
        </w:rPr>
        <w:t xml:space="preserve">20 </w:t>
      </w:r>
      <w:r>
        <w:rPr>
          <w:b/>
          <w:bCs/>
          <w:spacing w:val="-3"/>
          <w:u w:val="single" w:color="auto"/>
        </w:rPr>
        <w:t>米防护隔离带控制。</w:t>
      </w:r>
    </w:p>
    <w:p w14:paraId="1C3B4055">
      <w:pPr>
        <w:pStyle w:val="2"/>
        <w:spacing w:before="1" w:line="377" w:lineRule="auto"/>
        <w:ind w:left="6" w:right="70" w:firstLine="475"/>
      </w:pPr>
      <w:r>
        <w:rPr>
          <w:rFonts w:ascii="Times New Roman" w:hAnsi="Times New Roman" w:eastAsia="Times New Roman" w:cs="Times New Roman"/>
          <w:b/>
          <w:bCs/>
          <w:spacing w:val="-2"/>
          <w:u w:val="single" w:color="auto"/>
        </w:rPr>
        <w:t>500kV</w:t>
      </w:r>
      <w:r>
        <w:rPr>
          <w:rFonts w:ascii="Times New Roman" w:hAnsi="Times New Roman" w:eastAsia="Times New Roman" w:cs="Times New Roman"/>
          <w:b/>
          <w:bCs/>
          <w:spacing w:val="42"/>
          <w:u w:val="single" w:color="auto"/>
        </w:rPr>
        <w:t xml:space="preserve"> </w:t>
      </w:r>
      <w:r>
        <w:rPr>
          <w:b/>
          <w:bCs/>
          <w:spacing w:val="-2"/>
          <w:u w:val="single" w:color="auto"/>
        </w:rPr>
        <w:t>高压线设置宽度</w:t>
      </w:r>
      <w:r>
        <w:rPr>
          <w:spacing w:val="-22"/>
          <w:u w:val="single" w:color="auto"/>
        </w:rPr>
        <w:t xml:space="preserve"> </w:t>
      </w:r>
      <w:r>
        <w:rPr>
          <w:rFonts w:ascii="Times New Roman" w:hAnsi="Times New Roman" w:eastAsia="Times New Roman" w:cs="Times New Roman"/>
          <w:b/>
          <w:bCs/>
          <w:spacing w:val="-2"/>
          <w:u w:val="single" w:color="auto"/>
        </w:rPr>
        <w:t>60</w:t>
      </w:r>
      <w:r>
        <w:rPr>
          <w:b/>
          <w:bCs/>
          <w:spacing w:val="-2"/>
          <w:u w:val="single" w:color="auto"/>
        </w:rPr>
        <w:t>－</w:t>
      </w:r>
      <w:r>
        <w:rPr>
          <w:rFonts w:ascii="Times New Roman" w:hAnsi="Times New Roman" w:eastAsia="Times New Roman" w:cs="Times New Roman"/>
          <w:b/>
          <w:bCs/>
          <w:spacing w:val="-2"/>
          <w:u w:val="single" w:color="auto"/>
        </w:rPr>
        <w:t>75</w:t>
      </w:r>
      <w:r>
        <w:rPr>
          <w:rFonts w:ascii="Times New Roman" w:hAnsi="Times New Roman" w:eastAsia="Times New Roman" w:cs="Times New Roman"/>
          <w:b/>
          <w:bCs/>
          <w:spacing w:val="36"/>
          <w:u w:val="single" w:color="auto"/>
        </w:rPr>
        <w:t xml:space="preserve"> </w:t>
      </w:r>
      <w:r>
        <w:rPr>
          <w:b/>
          <w:bCs/>
          <w:spacing w:val="-2"/>
          <w:u w:val="single" w:color="auto"/>
        </w:rPr>
        <w:t>米防</w:t>
      </w:r>
      <w:r>
        <w:rPr>
          <w:b/>
          <w:bCs/>
          <w:spacing w:val="-3"/>
          <w:u w:val="single" w:color="auto"/>
        </w:rPr>
        <w:t>护绿带；</w:t>
      </w:r>
      <w:r>
        <w:rPr>
          <w:rFonts w:ascii="Times New Roman" w:hAnsi="Times New Roman" w:eastAsia="Times New Roman" w:cs="Times New Roman"/>
          <w:b/>
          <w:bCs/>
          <w:spacing w:val="-3"/>
          <w:u w:val="single" w:color="auto"/>
        </w:rPr>
        <w:t>220kV</w:t>
      </w:r>
      <w:r>
        <w:rPr>
          <w:rFonts w:ascii="Times New Roman" w:hAnsi="Times New Roman" w:eastAsia="Times New Roman" w:cs="Times New Roman"/>
          <w:b/>
          <w:bCs/>
          <w:spacing w:val="42"/>
          <w:w w:val="101"/>
          <w:u w:val="single" w:color="auto"/>
        </w:rPr>
        <w:t xml:space="preserve"> </w:t>
      </w:r>
      <w:r>
        <w:rPr>
          <w:b/>
          <w:bCs/>
          <w:spacing w:val="-3"/>
          <w:u w:val="single" w:color="auto"/>
        </w:rPr>
        <w:t>高压线设置宽度</w:t>
      </w:r>
      <w:r>
        <w:rPr>
          <w:spacing w:val="-27"/>
          <w:u w:val="single" w:color="auto"/>
        </w:rPr>
        <w:t xml:space="preserve"> </w:t>
      </w:r>
      <w:r>
        <w:rPr>
          <w:rFonts w:ascii="Times New Roman" w:hAnsi="Times New Roman" w:eastAsia="Times New Roman" w:cs="Times New Roman"/>
          <w:b/>
          <w:bCs/>
          <w:spacing w:val="-3"/>
          <w:u w:val="single" w:color="auto"/>
        </w:rPr>
        <w:t>30</w:t>
      </w:r>
      <w:r>
        <w:rPr>
          <w:b/>
          <w:bCs/>
          <w:spacing w:val="-3"/>
          <w:u w:val="single" w:color="auto"/>
        </w:rPr>
        <w:t>－</w:t>
      </w:r>
      <w:r>
        <w:rPr>
          <w:rFonts w:ascii="Times New Roman" w:hAnsi="Times New Roman" w:eastAsia="Times New Roman" w:cs="Times New Roman"/>
          <w:b/>
          <w:bCs/>
          <w:spacing w:val="-3"/>
          <w:u w:val="single" w:color="auto"/>
        </w:rPr>
        <w:t>40</w:t>
      </w:r>
      <w:r>
        <w:rPr>
          <w:rFonts w:ascii="Times New Roman" w:hAnsi="Times New Roman" w:eastAsia="Times New Roman" w:cs="Times New Roman"/>
          <w:b/>
          <w:bCs/>
          <w:spacing w:val="36"/>
          <w:u w:val="single" w:color="auto"/>
        </w:rPr>
        <w:t xml:space="preserve"> </w:t>
      </w:r>
      <w:r>
        <w:rPr>
          <w:b/>
          <w:bCs/>
          <w:spacing w:val="-3"/>
          <w:u w:val="single" w:color="auto"/>
        </w:rPr>
        <w:t>米防护绿带；</w:t>
      </w:r>
      <w:r>
        <w:t xml:space="preserve"> </w:t>
      </w:r>
      <w:r>
        <w:rPr>
          <w:rFonts w:ascii="Times New Roman" w:hAnsi="Times New Roman" w:eastAsia="Times New Roman" w:cs="Times New Roman"/>
          <w:b/>
          <w:bCs/>
          <w:spacing w:val="-2"/>
          <w:u w:val="single" w:color="auto"/>
        </w:rPr>
        <w:t>110kV</w:t>
      </w:r>
      <w:r>
        <w:rPr>
          <w:rFonts w:ascii="Times New Roman" w:hAnsi="Times New Roman" w:eastAsia="Times New Roman" w:cs="Times New Roman"/>
          <w:b/>
          <w:bCs/>
          <w:spacing w:val="20"/>
          <w:w w:val="101"/>
          <w:u w:val="single" w:color="auto"/>
        </w:rPr>
        <w:t xml:space="preserve"> </w:t>
      </w:r>
      <w:r>
        <w:rPr>
          <w:b/>
          <w:bCs/>
          <w:spacing w:val="-2"/>
          <w:u w:val="single" w:color="auto"/>
        </w:rPr>
        <w:t>高压线设置宽度</w:t>
      </w:r>
      <w:r>
        <w:rPr>
          <w:spacing w:val="-41"/>
          <w:u w:val="single" w:color="auto"/>
        </w:rPr>
        <w:t xml:space="preserve"> </w:t>
      </w:r>
      <w:r>
        <w:rPr>
          <w:rFonts w:ascii="Times New Roman" w:hAnsi="Times New Roman" w:eastAsia="Times New Roman" w:cs="Times New Roman"/>
          <w:b/>
          <w:bCs/>
          <w:spacing w:val="-2"/>
          <w:u w:val="single" w:color="auto"/>
        </w:rPr>
        <w:t>15</w:t>
      </w:r>
      <w:r>
        <w:rPr>
          <w:b/>
          <w:bCs/>
          <w:spacing w:val="-2"/>
          <w:u w:val="single" w:color="auto"/>
        </w:rPr>
        <w:t>－</w:t>
      </w:r>
      <w:r>
        <w:rPr>
          <w:rFonts w:ascii="Times New Roman" w:hAnsi="Times New Roman" w:eastAsia="Times New Roman" w:cs="Times New Roman"/>
          <w:b/>
          <w:bCs/>
          <w:spacing w:val="-2"/>
          <w:u w:val="single" w:color="auto"/>
        </w:rPr>
        <w:t xml:space="preserve">25 </w:t>
      </w:r>
      <w:r>
        <w:rPr>
          <w:b/>
          <w:bCs/>
          <w:spacing w:val="-2"/>
          <w:u w:val="single" w:color="auto"/>
        </w:rPr>
        <w:t>米护绿带。</w:t>
      </w:r>
      <w:r>
        <w:rPr>
          <w:spacing w:val="-2"/>
        </w:rPr>
        <w:t>现状已建成区域的高压走廊根据实际情况考虑。</w:t>
      </w:r>
    </w:p>
    <w:p w14:paraId="59213ED0">
      <w:pPr>
        <w:spacing w:before="189" w:line="219" w:lineRule="auto"/>
        <w:ind w:left="351"/>
        <w:rPr>
          <w:rFonts w:ascii="黑体" w:hAnsi="黑体" w:eastAsia="黑体" w:cs="黑体"/>
          <w:sz w:val="28"/>
          <w:szCs w:val="28"/>
        </w:rPr>
      </w:pPr>
      <w:r>
        <w:rPr>
          <w:rFonts w:ascii="黑体" w:hAnsi="黑体" w:eastAsia="黑体" w:cs="黑体"/>
          <w:spacing w:val="-2"/>
          <w:sz w:val="28"/>
          <w:szCs w:val="28"/>
        </w:rPr>
        <w:t>第三十条</w:t>
      </w:r>
      <w:r>
        <w:rPr>
          <w:rFonts w:ascii="黑体" w:hAnsi="黑体" w:eastAsia="黑体" w:cs="黑体"/>
          <w:spacing w:val="78"/>
          <w:sz w:val="28"/>
          <w:szCs w:val="28"/>
        </w:rPr>
        <w:t xml:space="preserve"> </w:t>
      </w:r>
      <w:r>
        <w:rPr>
          <w:rFonts w:ascii="黑体" w:hAnsi="黑体" w:eastAsia="黑体" w:cs="黑体"/>
          <w:spacing w:val="-2"/>
          <w:sz w:val="28"/>
          <w:szCs w:val="28"/>
        </w:rPr>
        <w:t>水系规划</w:t>
      </w:r>
    </w:p>
    <w:p w14:paraId="604E3CC0">
      <w:pPr>
        <w:spacing w:line="308" w:lineRule="auto"/>
        <w:rPr>
          <w:rFonts w:ascii="Arial"/>
          <w:sz w:val="21"/>
        </w:rPr>
      </w:pPr>
    </w:p>
    <w:p w14:paraId="6D9814A5">
      <w:pPr>
        <w:pStyle w:val="2"/>
        <w:spacing w:before="79" w:line="377" w:lineRule="auto"/>
        <w:ind w:left="4" w:right="76" w:firstLine="476"/>
      </w:pPr>
      <w:r>
        <w:rPr>
          <w:spacing w:val="-1"/>
        </w:rPr>
        <w:t>规划重点打造由巴拉河引入至观音岩公园内部的水系，围绕水</w:t>
      </w:r>
      <w:r>
        <w:rPr>
          <w:spacing w:val="-2"/>
        </w:rPr>
        <w:t>面营造开敞空间。并疏通整理</w:t>
      </w:r>
      <w:r>
        <w:rPr>
          <w:spacing w:val="-1"/>
        </w:rPr>
        <w:t>安宁片区内的水系，沿水系打造生态绿廊，最终构筑“活水</w:t>
      </w:r>
      <w:r>
        <w:rPr>
          <w:spacing w:val="-2"/>
        </w:rPr>
        <w:t>汇绿”的水网体系。</w:t>
      </w:r>
    </w:p>
    <w:p w14:paraId="59113F01">
      <w:pPr>
        <w:spacing w:line="377" w:lineRule="auto"/>
        <w:sectPr>
          <w:type w:val="continuous"/>
          <w:pgSz w:w="23811" w:h="16839"/>
          <w:pgMar w:top="1274" w:right="1367" w:bottom="1613" w:left="1411" w:header="838" w:footer="1385" w:gutter="0"/>
          <w:cols w:equalWidth="0" w:num="2">
            <w:col w:w="10826" w:space="100"/>
            <w:col w:w="10106"/>
          </w:cols>
        </w:sectPr>
      </w:pPr>
    </w:p>
    <w:p w14:paraId="1923A902">
      <w:pPr>
        <w:spacing w:line="60" w:lineRule="exact"/>
      </w:pPr>
    </w:p>
    <w:p w14:paraId="790A7B92">
      <w:pPr>
        <w:spacing w:line="60" w:lineRule="exact"/>
        <w:sectPr>
          <w:headerReference r:id="rId29" w:type="default"/>
          <w:footerReference r:id="rId30" w:type="default"/>
          <w:pgSz w:w="23811" w:h="16839"/>
          <w:pgMar w:top="1274" w:right="1350" w:bottom="1613" w:left="1411" w:header="838" w:footer="1385" w:gutter="0"/>
          <w:cols w:equalWidth="0" w:num="1">
            <w:col w:w="21049"/>
          </w:cols>
        </w:sectPr>
      </w:pPr>
    </w:p>
    <w:p w14:paraId="5BA026E1">
      <w:pPr>
        <w:spacing w:before="87" w:line="219" w:lineRule="auto"/>
        <w:ind w:left="250"/>
        <w:rPr>
          <w:rFonts w:ascii="黑体" w:hAnsi="黑体" w:eastAsia="黑体" w:cs="黑体"/>
          <w:sz w:val="28"/>
          <w:szCs w:val="28"/>
        </w:rPr>
      </w:pPr>
      <w:r>
        <w:rPr>
          <w:rFonts w:ascii="黑体" w:hAnsi="黑体" w:eastAsia="黑体" w:cs="黑体"/>
          <w:spacing w:val="-2"/>
          <w:sz w:val="28"/>
          <w:szCs w:val="28"/>
        </w:rPr>
        <w:t>第三十一条</w:t>
      </w:r>
      <w:r>
        <w:rPr>
          <w:rFonts w:ascii="黑体" w:hAnsi="黑体" w:eastAsia="黑体" w:cs="黑体"/>
          <w:spacing w:val="28"/>
          <w:sz w:val="28"/>
          <w:szCs w:val="28"/>
        </w:rPr>
        <w:t xml:space="preserve">   </w:t>
      </w:r>
      <w:r>
        <w:rPr>
          <w:rFonts w:ascii="黑体" w:hAnsi="黑体" w:eastAsia="黑体" w:cs="黑体"/>
          <w:spacing w:val="-2"/>
          <w:sz w:val="28"/>
          <w:szCs w:val="28"/>
        </w:rPr>
        <w:t>生态保护与修复规划</w:t>
      </w:r>
    </w:p>
    <w:p w14:paraId="22FE4A79">
      <w:pPr>
        <w:spacing w:line="440" w:lineRule="auto"/>
        <w:rPr>
          <w:rFonts w:ascii="Arial"/>
          <w:sz w:val="21"/>
        </w:rPr>
      </w:pPr>
    </w:p>
    <w:p w14:paraId="6CC314D9">
      <w:pPr>
        <w:spacing w:before="78" w:line="218" w:lineRule="auto"/>
        <w:ind w:left="522"/>
        <w:rPr>
          <w:rFonts w:ascii="黑体" w:hAnsi="黑体" w:eastAsia="黑体" w:cs="黑体"/>
          <w:sz w:val="24"/>
          <w:szCs w:val="24"/>
        </w:rPr>
      </w:pPr>
      <w:r>
        <w:rPr>
          <w:rFonts w:ascii="黑体" w:hAnsi="黑体" w:eastAsia="黑体" w:cs="黑体"/>
          <w:spacing w:val="-2"/>
          <w:sz w:val="24"/>
          <w:szCs w:val="24"/>
        </w:rPr>
        <w:t>一、区域绿地保护</w:t>
      </w:r>
    </w:p>
    <w:p w14:paraId="3382F423">
      <w:pPr>
        <w:spacing w:line="381" w:lineRule="auto"/>
        <w:rPr>
          <w:rFonts w:ascii="Arial"/>
          <w:sz w:val="21"/>
        </w:rPr>
      </w:pPr>
    </w:p>
    <w:p w14:paraId="03A85B19">
      <w:pPr>
        <w:pStyle w:val="2"/>
        <w:spacing w:before="78" w:line="377" w:lineRule="auto"/>
        <w:ind w:left="55" w:right="748" w:firstLine="463"/>
      </w:pPr>
      <w:r>
        <w:rPr>
          <w:spacing w:val="-1"/>
        </w:rPr>
        <w:t>规划将钒钛产业开发区内区域绿地划分为农林文化展示区、外围生态维持区、山</w:t>
      </w:r>
      <w:r>
        <w:rPr>
          <w:spacing w:val="-2"/>
        </w:rPr>
        <w:t>地生态维持</w:t>
      </w:r>
      <w:r>
        <w:rPr>
          <w:spacing w:val="-3"/>
        </w:rPr>
        <w:t>区三类。实现山区绿化覆盖率达</w:t>
      </w:r>
      <w:r>
        <w:rPr>
          <w:spacing w:val="-51"/>
        </w:rPr>
        <w:t xml:space="preserve"> </w:t>
      </w:r>
      <w:r>
        <w:rPr>
          <w:rFonts w:ascii="Times New Roman" w:hAnsi="Times New Roman" w:eastAsia="Times New Roman" w:cs="Times New Roman"/>
          <w:spacing w:val="-3"/>
        </w:rPr>
        <w:t>70%</w:t>
      </w:r>
      <w:r>
        <w:rPr>
          <w:spacing w:val="-3"/>
        </w:rPr>
        <w:t>以上。</w:t>
      </w:r>
    </w:p>
    <w:p w14:paraId="51BF5B72">
      <w:pPr>
        <w:pStyle w:val="2"/>
        <w:spacing w:line="219" w:lineRule="auto"/>
        <w:ind w:left="541"/>
      </w:pPr>
      <w:r>
        <w:rPr>
          <w:spacing w:val="-3"/>
        </w:rPr>
        <w:t>同时规划在新九片区与红格镇交界处设置生态防护廊道。</w:t>
      </w:r>
    </w:p>
    <w:p w14:paraId="28CE8584">
      <w:pPr>
        <w:spacing w:line="383" w:lineRule="auto"/>
        <w:rPr>
          <w:rFonts w:ascii="Arial"/>
          <w:sz w:val="21"/>
        </w:rPr>
      </w:pPr>
    </w:p>
    <w:p w14:paraId="1289F05B">
      <w:pPr>
        <w:spacing w:before="79" w:line="219" w:lineRule="auto"/>
        <w:ind w:left="522"/>
        <w:rPr>
          <w:rFonts w:ascii="黑体" w:hAnsi="黑体" w:eastAsia="黑体" w:cs="黑体"/>
          <w:sz w:val="24"/>
          <w:szCs w:val="24"/>
        </w:rPr>
      </w:pPr>
      <w:r>
        <w:rPr>
          <w:rFonts w:ascii="黑体" w:hAnsi="黑体" w:eastAsia="黑体" w:cs="黑体"/>
          <w:spacing w:val="-2"/>
          <w:sz w:val="24"/>
          <w:szCs w:val="24"/>
        </w:rPr>
        <w:t>二、</w:t>
      </w:r>
      <w:r>
        <w:rPr>
          <w:rFonts w:hint="eastAsia" w:ascii="黑体" w:hAnsi="黑体" w:eastAsia="黑体" w:cs="黑体"/>
          <w:spacing w:val="-2"/>
          <w:sz w:val="24"/>
          <w:szCs w:val="24"/>
          <w:lang w:eastAsia="zh-CN"/>
        </w:rPr>
        <w:t>矿山生态修复</w:t>
      </w:r>
    </w:p>
    <w:p w14:paraId="2363DBB4">
      <w:pPr>
        <w:spacing w:line="384" w:lineRule="auto"/>
        <w:rPr>
          <w:rFonts w:ascii="Arial"/>
          <w:sz w:val="21"/>
        </w:rPr>
      </w:pPr>
    </w:p>
    <w:p w14:paraId="2C33C892">
      <w:pPr>
        <w:pStyle w:val="2"/>
        <w:spacing w:before="78" w:line="233" w:lineRule="auto"/>
        <w:ind w:left="479"/>
      </w:pPr>
      <w:r>
        <w:rPr>
          <w:rFonts w:ascii="Times New Roman" w:hAnsi="Times New Roman" w:eastAsia="Times New Roman" w:cs="Times New Roman"/>
          <w:spacing w:val="-2"/>
        </w:rPr>
        <w:t xml:space="preserve">1.    </w:t>
      </w:r>
      <w:r>
        <w:rPr>
          <w:spacing w:val="-2"/>
        </w:rPr>
        <w:t>尾矿库的综合利用</w:t>
      </w:r>
    </w:p>
    <w:p w14:paraId="1E217141">
      <w:pPr>
        <w:pStyle w:val="2"/>
        <w:spacing w:before="186" w:line="373" w:lineRule="auto"/>
        <w:ind w:left="39" w:right="750" w:firstLine="481"/>
      </w:pPr>
      <w:r>
        <w:rPr>
          <w:spacing w:val="1"/>
        </w:rPr>
        <w:t>从废弃物中进一步回收有价元素</w:t>
      </w:r>
      <w:r>
        <w:rPr>
          <w:rFonts w:hint="eastAsia"/>
          <w:spacing w:val="1"/>
          <w:lang w:eastAsia="zh-CN"/>
        </w:rPr>
        <w:t>，</w:t>
      </w:r>
      <w:r>
        <w:rPr>
          <w:rFonts w:ascii="Times New Roman" w:hAnsi="Times New Roman" w:eastAsia="Times New Roman" w:cs="Times New Roman"/>
          <w:spacing w:val="-30"/>
        </w:rPr>
        <w:t xml:space="preserve"> </w:t>
      </w:r>
      <w:r>
        <w:rPr>
          <w:spacing w:val="1"/>
        </w:rPr>
        <w:t>降低成本</w:t>
      </w:r>
      <w:r>
        <w:rPr>
          <w:rFonts w:hint="eastAsia"/>
          <w:spacing w:val="1"/>
          <w:lang w:eastAsia="zh-CN"/>
        </w:rPr>
        <w:t>，</w:t>
      </w:r>
      <w:r>
        <w:rPr>
          <w:spacing w:val="1"/>
        </w:rPr>
        <w:t>减少环境污染。通过净化层、粘土层及植被层覆</w:t>
      </w:r>
      <w:r>
        <w:rPr>
          <w:spacing w:val="-3"/>
        </w:rPr>
        <w:t>盖，封存保护尾矿，治理污染，美化环境。</w:t>
      </w:r>
    </w:p>
    <w:p w14:paraId="06CE239C">
      <w:pPr>
        <w:pStyle w:val="2"/>
        <w:spacing w:before="7" w:line="233" w:lineRule="auto"/>
        <w:ind w:left="456"/>
      </w:pPr>
      <w:r>
        <w:rPr>
          <w:rFonts w:ascii="Times New Roman" w:hAnsi="Times New Roman" w:eastAsia="Times New Roman" w:cs="Times New Roman"/>
        </w:rPr>
        <w:t xml:space="preserve">2.    </w:t>
      </w:r>
      <w:r>
        <w:t>排土场和采矿坑的土壤整治和</w:t>
      </w:r>
      <w:r>
        <w:rPr>
          <w:spacing w:val="-1"/>
        </w:rPr>
        <w:t>植被恢复重建</w:t>
      </w:r>
    </w:p>
    <w:p w14:paraId="12959BF6">
      <w:pPr>
        <w:pStyle w:val="2"/>
        <w:spacing w:before="189" w:line="376" w:lineRule="auto"/>
        <w:ind w:left="36" w:right="684" w:firstLine="480"/>
      </w:pPr>
      <w:r>
        <w:rPr>
          <w:spacing w:val="-1"/>
        </w:rPr>
        <w:t>对废石场周边植树造林，建立防护林带，以改变废石场绿化前的荒芜景象。对</w:t>
      </w:r>
      <w:r>
        <w:rPr>
          <w:spacing w:val="-2"/>
        </w:rPr>
        <w:t>于没有土壤层</w:t>
      </w:r>
      <w:r>
        <w:rPr>
          <w:spacing w:val="-1"/>
        </w:rPr>
        <w:t>的，先在废弃地上覆土，再改良；对于有土壤层的废弃地，可以用化肥、有机废弃物、绿肥和固氮植物来改良土壤的营养状况。优选经济价值高</w:t>
      </w:r>
      <w:r>
        <w:rPr>
          <w:rFonts w:hint="eastAsia"/>
          <w:spacing w:val="-1"/>
          <w:lang w:eastAsia="zh-CN"/>
        </w:rPr>
        <w:t>，</w:t>
      </w:r>
      <w:r>
        <w:rPr>
          <w:spacing w:val="-1"/>
        </w:rPr>
        <w:t>功能效益强的当地优良的乡土树种和先锋树种，</w:t>
      </w:r>
      <w:r>
        <w:rPr>
          <w:spacing w:val="-7"/>
        </w:rPr>
        <w:t>进行植被群落建立。达到减缓地表径流，拦截泥沙，调蓄土体</w:t>
      </w:r>
      <w:r>
        <w:rPr>
          <w:rFonts w:hint="eastAsia"/>
          <w:spacing w:val="-7"/>
          <w:lang w:eastAsia="zh-CN"/>
        </w:rPr>
        <w:t>水分</w:t>
      </w:r>
      <w:r>
        <w:rPr>
          <w:spacing w:val="-7"/>
        </w:rPr>
        <w:t>，</w:t>
      </w:r>
      <w:r>
        <w:rPr>
          <w:spacing w:val="-8"/>
        </w:rPr>
        <w:t>防止风蚀及粉尘污染的目的。</w:t>
      </w:r>
    </w:p>
    <w:p w14:paraId="39135151">
      <w:pPr>
        <w:spacing w:line="14" w:lineRule="auto"/>
        <w:rPr>
          <w:rFonts w:ascii="Arial"/>
          <w:sz w:val="2"/>
        </w:rPr>
      </w:pPr>
      <w:r>
        <w:rPr>
          <w:rFonts w:ascii="Arial" w:hAnsi="Arial" w:eastAsia="Arial" w:cs="Arial"/>
          <w:sz w:val="2"/>
          <w:szCs w:val="2"/>
        </w:rPr>
        <w:br w:type="column"/>
      </w:r>
    </w:p>
    <w:p w14:paraId="4D159721">
      <w:pPr>
        <w:spacing w:before="61" w:line="224" w:lineRule="auto"/>
        <w:ind w:left="2906"/>
        <w:outlineLvl w:val="0"/>
        <w:rPr>
          <w:rFonts w:ascii="黑体" w:hAnsi="黑体" w:eastAsia="黑体" w:cs="黑体"/>
          <w:sz w:val="31"/>
          <w:szCs w:val="31"/>
        </w:rPr>
      </w:pPr>
      <w:bookmarkStart w:id="10" w:name="bookmark11"/>
      <w:bookmarkEnd w:id="10"/>
      <w:r>
        <w:rPr>
          <w:rFonts w:ascii="黑体" w:hAnsi="黑体" w:eastAsia="黑体" w:cs="黑体"/>
          <w:spacing w:val="7"/>
          <w:sz w:val="31"/>
          <w:szCs w:val="31"/>
        </w:rPr>
        <w:t>第十一章</w:t>
      </w:r>
      <w:r>
        <w:rPr>
          <w:rFonts w:ascii="黑体" w:hAnsi="黑体" w:eastAsia="黑体" w:cs="黑体"/>
          <w:spacing w:val="55"/>
          <w:sz w:val="31"/>
          <w:szCs w:val="31"/>
        </w:rPr>
        <w:t xml:space="preserve">  </w:t>
      </w:r>
      <w:r>
        <w:rPr>
          <w:rFonts w:ascii="黑体" w:hAnsi="黑体" w:eastAsia="黑体" w:cs="黑体"/>
          <w:spacing w:val="7"/>
          <w:sz w:val="31"/>
          <w:szCs w:val="31"/>
        </w:rPr>
        <w:t>市政基础设施规划</w:t>
      </w:r>
    </w:p>
    <w:p w14:paraId="5585EC92">
      <w:pPr>
        <w:spacing w:line="267" w:lineRule="auto"/>
        <w:rPr>
          <w:rFonts w:ascii="Arial"/>
          <w:sz w:val="21"/>
        </w:rPr>
      </w:pPr>
    </w:p>
    <w:p w14:paraId="35E0AE2B">
      <w:pPr>
        <w:spacing w:line="268" w:lineRule="auto"/>
        <w:rPr>
          <w:rFonts w:ascii="Arial"/>
          <w:sz w:val="21"/>
        </w:rPr>
      </w:pPr>
    </w:p>
    <w:p w14:paraId="4ADB5299">
      <w:pPr>
        <w:spacing w:before="91" w:line="219" w:lineRule="auto"/>
        <w:ind w:left="213"/>
        <w:rPr>
          <w:rFonts w:ascii="黑体" w:hAnsi="黑体" w:eastAsia="黑体" w:cs="黑体"/>
          <w:sz w:val="28"/>
          <w:szCs w:val="28"/>
        </w:rPr>
      </w:pPr>
      <w:r>
        <w:rPr>
          <w:rFonts w:ascii="黑体" w:hAnsi="黑体" w:eastAsia="黑体" w:cs="黑体"/>
          <w:spacing w:val="-2"/>
          <w:sz w:val="28"/>
          <w:szCs w:val="28"/>
        </w:rPr>
        <w:t>第三十二条</w:t>
      </w:r>
      <w:r>
        <w:rPr>
          <w:rFonts w:ascii="黑体" w:hAnsi="黑体" w:eastAsia="黑体" w:cs="黑体"/>
          <w:spacing w:val="27"/>
          <w:sz w:val="28"/>
          <w:szCs w:val="28"/>
        </w:rPr>
        <w:t xml:space="preserve">   </w:t>
      </w:r>
      <w:r>
        <w:rPr>
          <w:rFonts w:ascii="黑体" w:hAnsi="黑体" w:eastAsia="黑体" w:cs="黑体"/>
          <w:spacing w:val="-2"/>
          <w:sz w:val="28"/>
          <w:szCs w:val="28"/>
        </w:rPr>
        <w:t>给水工程规划</w:t>
      </w:r>
    </w:p>
    <w:p w14:paraId="20DC3CE8">
      <w:pPr>
        <w:spacing w:line="439" w:lineRule="auto"/>
        <w:rPr>
          <w:rFonts w:ascii="Arial"/>
          <w:sz w:val="21"/>
        </w:rPr>
      </w:pPr>
    </w:p>
    <w:p w14:paraId="1A5331BF">
      <w:pPr>
        <w:spacing w:before="78" w:line="219" w:lineRule="auto"/>
        <w:ind w:left="485"/>
        <w:rPr>
          <w:rFonts w:ascii="黑体" w:hAnsi="黑体" w:eastAsia="黑体" w:cs="黑体"/>
          <w:sz w:val="24"/>
          <w:szCs w:val="24"/>
        </w:rPr>
      </w:pPr>
      <w:r>
        <w:rPr>
          <w:rFonts w:ascii="黑体" w:hAnsi="黑体" w:eastAsia="黑体" w:cs="黑体"/>
          <w:spacing w:val="-2"/>
          <w:sz w:val="24"/>
          <w:szCs w:val="24"/>
        </w:rPr>
        <w:t>一、用水量预测</w:t>
      </w:r>
    </w:p>
    <w:p w14:paraId="03C2BBFC">
      <w:pPr>
        <w:spacing w:line="380" w:lineRule="auto"/>
        <w:rPr>
          <w:rFonts w:ascii="Arial"/>
          <w:sz w:val="21"/>
        </w:rPr>
      </w:pPr>
    </w:p>
    <w:p w14:paraId="186FC40A">
      <w:pPr>
        <w:pStyle w:val="2"/>
        <w:spacing w:before="79" w:line="379" w:lineRule="auto"/>
        <w:ind w:left="42" w:right="87" w:firstLine="441"/>
      </w:pPr>
      <w:r>
        <w:rPr>
          <w:spacing w:val="-2"/>
        </w:rPr>
        <w:t>预测至</w:t>
      </w:r>
      <w:r>
        <w:rPr>
          <w:spacing w:val="-50"/>
        </w:rPr>
        <w:t xml:space="preserve"> </w:t>
      </w:r>
      <w:r>
        <w:rPr>
          <w:rFonts w:ascii="Times New Roman" w:hAnsi="Times New Roman" w:eastAsia="Times New Roman" w:cs="Times New Roman"/>
          <w:spacing w:val="-2"/>
        </w:rPr>
        <w:t xml:space="preserve">2035 </w:t>
      </w:r>
      <w:r>
        <w:rPr>
          <w:spacing w:val="-2"/>
        </w:rPr>
        <w:t>年，盐边钒钛产业开发区最高日用水量为</w:t>
      </w:r>
      <w:r>
        <w:rPr>
          <w:spacing w:val="-50"/>
        </w:rPr>
        <w:t xml:space="preserve"> </w:t>
      </w:r>
      <w:r>
        <w:rPr>
          <w:rFonts w:ascii="Times New Roman" w:hAnsi="Times New Roman" w:eastAsia="Times New Roman" w:cs="Times New Roman"/>
          <w:spacing w:val="-2"/>
        </w:rPr>
        <w:t>9.03</w:t>
      </w:r>
      <w:r>
        <w:rPr>
          <w:rFonts w:ascii="Times New Roman" w:hAnsi="Times New Roman" w:eastAsia="Times New Roman" w:cs="Times New Roman"/>
          <w:spacing w:val="15"/>
          <w:w w:val="101"/>
        </w:rPr>
        <w:t xml:space="preserve"> </w:t>
      </w:r>
      <w:r>
        <w:rPr>
          <w:spacing w:val="-2"/>
        </w:rPr>
        <w:t>万立方米</w:t>
      </w:r>
      <w:r>
        <w:rPr>
          <w:rFonts w:ascii="Times New Roman" w:hAnsi="Times New Roman" w:eastAsia="Times New Roman" w:cs="Times New Roman"/>
          <w:spacing w:val="-2"/>
        </w:rPr>
        <w:t>/</w:t>
      </w:r>
      <w:r>
        <w:rPr>
          <w:spacing w:val="-2"/>
        </w:rPr>
        <w:t>日。其中安宁片区最高</w:t>
      </w:r>
      <w:r>
        <w:rPr>
          <w:spacing w:val="-3"/>
        </w:rPr>
        <w:t>日用水量为</w:t>
      </w:r>
      <w:r>
        <w:rPr>
          <w:spacing w:val="-52"/>
        </w:rPr>
        <w:t xml:space="preserve"> </w:t>
      </w:r>
      <w:r>
        <w:rPr>
          <w:rFonts w:ascii="Calibri" w:hAnsi="Calibri" w:eastAsia="Calibri" w:cs="Calibri"/>
          <w:spacing w:val="-3"/>
        </w:rPr>
        <w:t>4.53</w:t>
      </w:r>
      <w:r>
        <w:rPr>
          <w:rFonts w:ascii="Calibri" w:hAnsi="Calibri" w:eastAsia="Calibri" w:cs="Calibri"/>
          <w:spacing w:val="22"/>
        </w:rPr>
        <w:t xml:space="preserve"> </w:t>
      </w:r>
      <w:r>
        <w:rPr>
          <w:spacing w:val="-3"/>
        </w:rPr>
        <w:t>万立方米</w:t>
      </w:r>
      <w:r>
        <w:rPr>
          <w:rFonts w:ascii="Calibri" w:hAnsi="Calibri" w:eastAsia="Calibri" w:cs="Calibri"/>
          <w:spacing w:val="-3"/>
        </w:rPr>
        <w:t>/</w:t>
      </w:r>
      <w:r>
        <w:rPr>
          <w:spacing w:val="-3"/>
        </w:rPr>
        <w:t>日，新九片区最高日用水量为</w:t>
      </w:r>
      <w:r>
        <w:rPr>
          <w:spacing w:val="-54"/>
        </w:rPr>
        <w:t xml:space="preserve"> </w:t>
      </w:r>
      <w:r>
        <w:rPr>
          <w:rFonts w:ascii="Calibri" w:hAnsi="Calibri" w:eastAsia="Calibri" w:cs="Calibri"/>
          <w:spacing w:val="-3"/>
        </w:rPr>
        <w:t>4.50</w:t>
      </w:r>
      <w:r>
        <w:rPr>
          <w:rFonts w:ascii="Calibri" w:hAnsi="Calibri" w:eastAsia="Calibri" w:cs="Calibri"/>
          <w:spacing w:val="21"/>
          <w:w w:val="101"/>
        </w:rPr>
        <w:t xml:space="preserve"> </w:t>
      </w:r>
      <w:r>
        <w:rPr>
          <w:spacing w:val="-3"/>
        </w:rPr>
        <w:t>万立方米</w:t>
      </w:r>
      <w:r>
        <w:rPr>
          <w:rFonts w:ascii="Calibri" w:hAnsi="Calibri" w:eastAsia="Calibri" w:cs="Calibri"/>
          <w:spacing w:val="-3"/>
        </w:rPr>
        <w:t>/</w:t>
      </w:r>
      <w:r>
        <w:rPr>
          <w:spacing w:val="-3"/>
        </w:rPr>
        <w:t>日。</w:t>
      </w:r>
    </w:p>
    <w:p w14:paraId="3785DC9C">
      <w:pPr>
        <w:spacing w:before="257" w:line="218" w:lineRule="auto"/>
        <w:ind w:left="485"/>
        <w:rPr>
          <w:rFonts w:ascii="黑体" w:hAnsi="黑体" w:eastAsia="黑体" w:cs="黑体"/>
          <w:sz w:val="24"/>
          <w:szCs w:val="24"/>
        </w:rPr>
      </w:pPr>
      <w:r>
        <w:rPr>
          <w:rFonts w:ascii="黑体" w:hAnsi="黑体" w:eastAsia="黑体" w:cs="黑体"/>
          <w:spacing w:val="-2"/>
          <w:sz w:val="24"/>
          <w:szCs w:val="24"/>
        </w:rPr>
        <w:t>二、水源规划</w:t>
      </w:r>
    </w:p>
    <w:p w14:paraId="78129A03">
      <w:pPr>
        <w:spacing w:line="383" w:lineRule="auto"/>
        <w:rPr>
          <w:rFonts w:ascii="Arial"/>
          <w:sz w:val="21"/>
        </w:rPr>
      </w:pPr>
    </w:p>
    <w:p w14:paraId="57FE9B84">
      <w:pPr>
        <w:pStyle w:val="2"/>
        <w:spacing w:before="78" w:line="378" w:lineRule="auto"/>
        <w:ind w:right="87" w:firstLine="486"/>
      </w:pPr>
      <w:r>
        <w:rPr>
          <w:spacing w:val="-1"/>
        </w:rPr>
        <w:t>安宁片区近期供水水源为金沙江，近期保留现状取水口，远期结合</w:t>
      </w:r>
      <w:r>
        <w:rPr>
          <w:spacing w:val="-2"/>
        </w:rPr>
        <w:t>引水工程实施情况，采用</w:t>
      </w:r>
      <w:r>
        <w:t>雅砻江为供水水源。新九片区供水水源为金沙江、巴</w:t>
      </w:r>
      <w:r>
        <w:rPr>
          <w:spacing w:val="-1"/>
        </w:rPr>
        <w:t>拉河、高堰沟水库。</w:t>
      </w:r>
    </w:p>
    <w:p w14:paraId="39940597">
      <w:pPr>
        <w:spacing w:before="257" w:line="219" w:lineRule="auto"/>
        <w:ind w:left="486"/>
        <w:rPr>
          <w:rFonts w:ascii="黑体" w:hAnsi="黑体" w:eastAsia="黑体" w:cs="黑体"/>
          <w:sz w:val="24"/>
          <w:szCs w:val="24"/>
        </w:rPr>
      </w:pPr>
      <w:r>
        <w:rPr>
          <w:rFonts w:ascii="黑体" w:hAnsi="黑体" w:eastAsia="黑体" w:cs="黑体"/>
          <w:spacing w:val="-2"/>
          <w:sz w:val="24"/>
          <w:szCs w:val="24"/>
        </w:rPr>
        <w:t>三、供水设施规划</w:t>
      </w:r>
    </w:p>
    <w:p w14:paraId="45376F5E">
      <w:pPr>
        <w:spacing w:line="382" w:lineRule="auto"/>
        <w:rPr>
          <w:rFonts w:ascii="Arial"/>
          <w:sz w:val="21"/>
        </w:rPr>
      </w:pPr>
    </w:p>
    <w:p w14:paraId="0C7A1CB2">
      <w:pPr>
        <w:pStyle w:val="2"/>
        <w:spacing w:before="79" w:line="233" w:lineRule="auto"/>
        <w:ind w:left="442"/>
      </w:pPr>
      <w:r>
        <w:rPr>
          <w:rFonts w:ascii="Times New Roman" w:hAnsi="Times New Roman" w:eastAsia="Times New Roman" w:cs="Times New Roman"/>
          <w:spacing w:val="-7"/>
        </w:rPr>
        <w:t>1.</w:t>
      </w:r>
      <w:r>
        <w:rPr>
          <w:rFonts w:ascii="Times New Roman" w:hAnsi="Times New Roman" w:eastAsia="Times New Roman" w:cs="Times New Roman"/>
          <w:spacing w:val="3"/>
        </w:rPr>
        <w:t xml:space="preserve">    </w:t>
      </w:r>
      <w:r>
        <w:rPr>
          <w:spacing w:val="-7"/>
        </w:rPr>
        <w:t>水厂规划</w:t>
      </w:r>
    </w:p>
    <w:p w14:paraId="1A120347">
      <w:pPr>
        <w:pStyle w:val="2"/>
        <w:spacing w:before="186" w:line="376" w:lineRule="auto"/>
        <w:ind w:left="1" w:right="4" w:firstLine="482"/>
        <w:jc w:val="both"/>
      </w:pPr>
      <w:r>
        <w:rPr>
          <w:b/>
          <w:bCs/>
          <w:spacing w:val="-2"/>
          <w:u w:val="single" w:color="auto"/>
        </w:rPr>
        <w:t>保留安宁现状水厂，近期在安宁片区内新建水厂，供水规模</w:t>
      </w:r>
      <w:r>
        <w:rPr>
          <w:spacing w:val="-2"/>
          <w:u w:val="single" w:color="auto"/>
        </w:rPr>
        <w:t xml:space="preserve"> </w:t>
      </w:r>
      <w:r>
        <w:rPr>
          <w:rFonts w:ascii="Times New Roman" w:hAnsi="Times New Roman" w:eastAsia="Times New Roman" w:cs="Times New Roman"/>
          <w:b/>
          <w:bCs/>
          <w:spacing w:val="-2"/>
          <w:u w:val="single" w:color="auto"/>
        </w:rPr>
        <w:t xml:space="preserve">3  </w:t>
      </w:r>
      <w:r>
        <w:rPr>
          <w:b/>
          <w:bCs/>
          <w:spacing w:val="-2"/>
          <w:u w:val="single" w:color="auto"/>
        </w:rPr>
        <w:t>万立方米</w:t>
      </w:r>
      <w:r>
        <w:rPr>
          <w:rFonts w:ascii="Times New Roman" w:hAnsi="Times New Roman" w:eastAsia="Times New Roman" w:cs="Times New Roman"/>
          <w:b/>
          <w:bCs/>
          <w:spacing w:val="-2"/>
          <w:u w:val="single" w:color="auto"/>
        </w:rPr>
        <w:t>/</w:t>
      </w:r>
      <w:r>
        <w:rPr>
          <w:b/>
          <w:bCs/>
          <w:spacing w:val="-2"/>
          <w:u w:val="single" w:color="auto"/>
        </w:rPr>
        <w:t>日</w:t>
      </w:r>
      <w:r>
        <w:rPr>
          <w:b/>
          <w:bCs/>
          <w:spacing w:val="-3"/>
          <w:u w:val="single" w:color="auto"/>
        </w:rPr>
        <w:t>，远期对该规划</w:t>
      </w:r>
      <w:r>
        <w:rPr>
          <w:b/>
          <w:bCs/>
          <w:spacing w:val="-4"/>
          <w:u w:val="single" w:color="auto"/>
        </w:rPr>
        <w:t>水厂扩容，最终规模为</w:t>
      </w:r>
      <w:r>
        <w:rPr>
          <w:spacing w:val="-38"/>
          <w:u w:val="single" w:color="auto"/>
        </w:rPr>
        <w:t xml:space="preserve"> </w:t>
      </w:r>
      <w:r>
        <w:rPr>
          <w:rFonts w:ascii="Times New Roman" w:hAnsi="Times New Roman" w:eastAsia="Times New Roman" w:cs="Times New Roman"/>
          <w:b/>
          <w:bCs/>
          <w:spacing w:val="-4"/>
          <w:u w:val="single" w:color="auto"/>
        </w:rPr>
        <w:t>5</w:t>
      </w:r>
      <w:r>
        <w:rPr>
          <w:rFonts w:ascii="Times New Roman" w:hAnsi="Times New Roman" w:eastAsia="Times New Roman" w:cs="Times New Roman"/>
          <w:b/>
          <w:bCs/>
          <w:spacing w:val="25"/>
          <w:u w:val="single" w:color="auto"/>
        </w:rPr>
        <w:t xml:space="preserve"> </w:t>
      </w:r>
      <w:r>
        <w:rPr>
          <w:b/>
          <w:bCs/>
          <w:spacing w:val="-4"/>
          <w:u w:val="single" w:color="auto"/>
        </w:rPr>
        <w:t>万立方米</w:t>
      </w:r>
      <w:r>
        <w:rPr>
          <w:rFonts w:ascii="Times New Roman" w:hAnsi="Times New Roman" w:eastAsia="Times New Roman" w:cs="Times New Roman"/>
          <w:b/>
          <w:bCs/>
          <w:spacing w:val="-4"/>
          <w:u w:val="single" w:color="auto"/>
        </w:rPr>
        <w:t>/</w:t>
      </w:r>
      <w:r>
        <w:rPr>
          <w:b/>
          <w:bCs/>
          <w:spacing w:val="-4"/>
          <w:u w:val="single" w:color="auto"/>
        </w:rPr>
        <w:t>日，</w:t>
      </w:r>
      <w:r>
        <w:rPr>
          <w:spacing w:val="-71"/>
          <w:u w:val="single" w:color="auto"/>
        </w:rPr>
        <w:t xml:space="preserve"> </w:t>
      </w:r>
      <w:r>
        <w:rPr>
          <w:b/>
          <w:bCs/>
          <w:spacing w:val="-4"/>
          <w:u w:val="single" w:color="auto"/>
        </w:rPr>
        <w:t>占地面积为</w:t>
      </w:r>
      <w:r>
        <w:rPr>
          <w:spacing w:val="-42"/>
          <w:u w:val="single" w:color="auto"/>
        </w:rPr>
        <w:t xml:space="preserve"> </w:t>
      </w:r>
      <w:r>
        <w:rPr>
          <w:rFonts w:ascii="Times New Roman" w:hAnsi="Times New Roman" w:eastAsia="Times New Roman" w:cs="Times New Roman"/>
          <w:b/>
          <w:bCs/>
          <w:spacing w:val="-4"/>
          <w:u w:val="single" w:color="auto"/>
        </w:rPr>
        <w:t>4.63</w:t>
      </w:r>
      <w:r>
        <w:rPr>
          <w:rFonts w:ascii="Times New Roman" w:hAnsi="Times New Roman" w:eastAsia="Times New Roman" w:cs="Times New Roman"/>
          <w:b/>
          <w:bCs/>
          <w:spacing w:val="27"/>
          <w:w w:val="101"/>
          <w:u w:val="single" w:color="auto"/>
        </w:rPr>
        <w:t xml:space="preserve"> </w:t>
      </w:r>
      <w:r>
        <w:rPr>
          <w:b/>
          <w:bCs/>
          <w:spacing w:val="-4"/>
          <w:u w:val="single" w:color="auto"/>
        </w:rPr>
        <w:t>公顷。近期在新九片区新建水</w:t>
      </w:r>
      <w:r>
        <w:rPr>
          <w:b/>
          <w:bCs/>
          <w:spacing w:val="-5"/>
          <w:u w:val="single" w:color="auto"/>
        </w:rPr>
        <w:t>厂，供水</w:t>
      </w:r>
      <w:r>
        <w:rPr>
          <w:b/>
          <w:bCs/>
          <w:spacing w:val="-3"/>
          <w:u w:val="single" w:color="auto"/>
        </w:rPr>
        <w:t>规模</w:t>
      </w:r>
      <w:r>
        <w:rPr>
          <w:spacing w:val="-42"/>
          <w:u w:val="single" w:color="auto"/>
        </w:rPr>
        <w:t xml:space="preserve"> </w:t>
      </w:r>
      <w:r>
        <w:rPr>
          <w:rFonts w:ascii="Times New Roman" w:hAnsi="Times New Roman" w:eastAsia="Times New Roman" w:cs="Times New Roman"/>
          <w:b/>
          <w:bCs/>
          <w:spacing w:val="-3"/>
          <w:u w:val="single" w:color="auto"/>
        </w:rPr>
        <w:t xml:space="preserve">1 </w:t>
      </w:r>
      <w:r>
        <w:rPr>
          <w:b/>
          <w:bCs/>
          <w:spacing w:val="-3"/>
          <w:u w:val="single" w:color="auto"/>
        </w:rPr>
        <w:t>万立方米</w:t>
      </w:r>
      <w:r>
        <w:rPr>
          <w:rFonts w:ascii="Times New Roman" w:hAnsi="Times New Roman" w:eastAsia="Times New Roman" w:cs="Times New Roman"/>
          <w:b/>
          <w:bCs/>
          <w:spacing w:val="-3"/>
          <w:u w:val="single" w:color="auto"/>
        </w:rPr>
        <w:t>/</w:t>
      </w:r>
      <w:r>
        <w:rPr>
          <w:b/>
          <w:bCs/>
          <w:spacing w:val="-3"/>
          <w:u w:val="single" w:color="auto"/>
        </w:rPr>
        <w:t>日，远期对新九水厂扩容，最终规模为</w:t>
      </w:r>
      <w:r>
        <w:rPr>
          <w:spacing w:val="-42"/>
          <w:u w:val="single" w:color="auto"/>
        </w:rPr>
        <w:t xml:space="preserve"> </w:t>
      </w:r>
      <w:r>
        <w:rPr>
          <w:rFonts w:ascii="Times New Roman" w:hAnsi="Times New Roman" w:eastAsia="Times New Roman" w:cs="Times New Roman"/>
          <w:b/>
          <w:bCs/>
          <w:spacing w:val="-3"/>
          <w:u w:val="single" w:color="auto"/>
        </w:rPr>
        <w:t>5</w:t>
      </w:r>
      <w:r>
        <w:rPr>
          <w:rFonts w:ascii="Times New Roman" w:hAnsi="Times New Roman" w:eastAsia="Times New Roman" w:cs="Times New Roman"/>
          <w:b/>
          <w:bCs/>
          <w:spacing w:val="17"/>
          <w:w w:val="101"/>
          <w:u w:val="single" w:color="auto"/>
        </w:rPr>
        <w:t xml:space="preserve"> </w:t>
      </w:r>
      <w:r>
        <w:rPr>
          <w:b/>
          <w:bCs/>
          <w:spacing w:val="-3"/>
          <w:u w:val="single" w:color="auto"/>
        </w:rPr>
        <w:t>万立方米</w:t>
      </w:r>
      <w:r>
        <w:rPr>
          <w:rFonts w:ascii="Times New Roman" w:hAnsi="Times New Roman" w:eastAsia="Times New Roman" w:cs="Times New Roman"/>
          <w:b/>
          <w:bCs/>
          <w:spacing w:val="-3"/>
          <w:u w:val="single" w:color="auto"/>
        </w:rPr>
        <w:t>/</w:t>
      </w:r>
      <w:r>
        <w:rPr>
          <w:b/>
          <w:bCs/>
          <w:spacing w:val="-3"/>
          <w:u w:val="single" w:color="auto"/>
        </w:rPr>
        <w:t>日，</w:t>
      </w:r>
      <w:r>
        <w:rPr>
          <w:spacing w:val="-65"/>
          <w:u w:val="single" w:color="auto"/>
        </w:rPr>
        <w:t xml:space="preserve"> </w:t>
      </w:r>
      <w:r>
        <w:rPr>
          <w:b/>
          <w:bCs/>
          <w:spacing w:val="-3"/>
          <w:u w:val="single" w:color="auto"/>
        </w:rPr>
        <w:t>占地</w:t>
      </w:r>
      <w:r>
        <w:rPr>
          <w:b/>
          <w:bCs/>
          <w:spacing w:val="-4"/>
          <w:u w:val="single" w:color="auto"/>
        </w:rPr>
        <w:t>面积为</w:t>
      </w:r>
      <w:r>
        <w:rPr>
          <w:spacing w:val="-48"/>
          <w:u w:val="single" w:color="auto"/>
        </w:rPr>
        <w:t xml:space="preserve"> </w:t>
      </w:r>
      <w:r>
        <w:rPr>
          <w:rFonts w:ascii="Times New Roman" w:hAnsi="Times New Roman" w:eastAsia="Times New Roman" w:cs="Times New Roman"/>
          <w:b/>
          <w:bCs/>
          <w:spacing w:val="-4"/>
          <w:u w:val="single" w:color="auto"/>
        </w:rPr>
        <w:t>4.07</w:t>
      </w:r>
      <w:r>
        <w:rPr>
          <w:rFonts w:ascii="Times New Roman" w:hAnsi="Times New Roman" w:eastAsia="Times New Roman" w:cs="Times New Roman"/>
          <w:b/>
          <w:bCs/>
          <w:spacing w:val="17"/>
          <w:w w:val="101"/>
          <w:u w:val="single" w:color="auto"/>
        </w:rPr>
        <w:t xml:space="preserve"> </w:t>
      </w:r>
      <w:r>
        <w:rPr>
          <w:b/>
          <w:bCs/>
          <w:spacing w:val="-4"/>
          <w:u w:val="single" w:color="auto"/>
        </w:rPr>
        <w:t>公顷。</w:t>
      </w:r>
    </w:p>
    <w:p w14:paraId="277CD9B1">
      <w:pPr>
        <w:pStyle w:val="2"/>
        <w:spacing w:before="1" w:line="232" w:lineRule="auto"/>
        <w:ind w:left="419"/>
      </w:pPr>
      <w:r>
        <w:rPr>
          <w:rFonts w:ascii="Times New Roman" w:hAnsi="Times New Roman" w:eastAsia="Times New Roman" w:cs="Times New Roman"/>
          <w:spacing w:val="-1"/>
        </w:rPr>
        <w:t xml:space="preserve">2.    </w:t>
      </w:r>
      <w:r>
        <w:rPr>
          <w:spacing w:val="-1"/>
        </w:rPr>
        <w:t>供水管网规划</w:t>
      </w:r>
    </w:p>
    <w:p w14:paraId="24E41670">
      <w:pPr>
        <w:pStyle w:val="2"/>
        <w:spacing w:before="188" w:line="376" w:lineRule="auto"/>
        <w:ind w:left="5" w:right="87" w:firstLine="480"/>
      </w:pPr>
      <w:r>
        <w:rPr>
          <w:spacing w:val="-8"/>
        </w:rPr>
        <w:t>安宁片区供水管网采用生活、生产、消防共网的系统。其中</w:t>
      </w:r>
      <w:r>
        <w:rPr>
          <w:b/>
          <w:bCs/>
          <w:spacing w:val="-8"/>
          <w:u w:val="single" w:color="auto"/>
        </w:rPr>
        <w:t>规划给水主干管沿钒钛大道布局，</w:t>
      </w:r>
      <w:r>
        <w:rPr>
          <w:b/>
          <w:bCs/>
          <w:spacing w:val="-3"/>
          <w:u w:val="single" w:color="auto"/>
        </w:rPr>
        <w:t>管径</w:t>
      </w:r>
      <w:r>
        <w:rPr>
          <w:spacing w:val="-31"/>
          <w:u w:val="single" w:color="auto"/>
        </w:rPr>
        <w:t xml:space="preserve"> </w:t>
      </w:r>
      <w:r>
        <w:rPr>
          <w:rFonts w:ascii="Calibri" w:hAnsi="Calibri" w:eastAsia="Calibri" w:cs="Calibri"/>
          <w:b/>
          <w:bCs/>
          <w:spacing w:val="-3"/>
          <w:u w:val="single" w:color="auto"/>
        </w:rPr>
        <w:t>DN800</w:t>
      </w:r>
      <w:r>
        <w:rPr>
          <w:b/>
          <w:bCs/>
          <w:spacing w:val="-3"/>
          <w:u w:val="single" w:color="auto"/>
        </w:rPr>
        <w:t>；另沿</w:t>
      </w:r>
      <w:r>
        <w:rPr>
          <w:spacing w:val="-39"/>
          <w:u w:val="single" w:color="auto"/>
        </w:rPr>
        <w:t xml:space="preserve"> </w:t>
      </w:r>
      <w:r>
        <w:rPr>
          <w:rFonts w:ascii="Calibri" w:hAnsi="Calibri" w:eastAsia="Calibri" w:cs="Calibri"/>
          <w:b/>
          <w:bCs/>
          <w:spacing w:val="-3"/>
          <w:u w:val="single" w:color="auto"/>
        </w:rPr>
        <w:t>G4216</w:t>
      </w:r>
      <w:r>
        <w:rPr>
          <w:rFonts w:ascii="Calibri" w:hAnsi="Calibri" w:eastAsia="Calibri" w:cs="Calibri"/>
          <w:b/>
          <w:bCs/>
          <w:spacing w:val="27"/>
          <w:w w:val="101"/>
          <w:u w:val="single" w:color="auto"/>
        </w:rPr>
        <w:t xml:space="preserve"> </w:t>
      </w:r>
      <w:r>
        <w:rPr>
          <w:b/>
          <w:bCs/>
          <w:spacing w:val="-3"/>
          <w:u w:val="single" w:color="auto"/>
        </w:rPr>
        <w:t>连接线与钒钛大道交叉口以</w:t>
      </w:r>
      <w:r>
        <w:rPr>
          <w:b/>
          <w:bCs/>
          <w:spacing w:val="-4"/>
          <w:u w:val="single" w:color="auto"/>
        </w:rPr>
        <w:t>南路段布局管径</w:t>
      </w:r>
      <w:r>
        <w:rPr>
          <w:spacing w:val="-30"/>
          <w:u w:val="single" w:color="auto"/>
        </w:rPr>
        <w:t xml:space="preserve"> </w:t>
      </w:r>
      <w:r>
        <w:rPr>
          <w:rFonts w:ascii="Calibri" w:hAnsi="Calibri" w:eastAsia="Calibri" w:cs="Calibri"/>
          <w:b/>
          <w:bCs/>
          <w:spacing w:val="-4"/>
          <w:u w:val="single" w:color="auto"/>
        </w:rPr>
        <w:t>DN500</w:t>
      </w:r>
      <w:r>
        <w:rPr>
          <w:rFonts w:ascii="Calibri" w:hAnsi="Calibri" w:eastAsia="Calibri" w:cs="Calibri"/>
          <w:b/>
          <w:bCs/>
          <w:spacing w:val="45"/>
          <w:w w:val="101"/>
          <w:u w:val="single" w:color="auto"/>
        </w:rPr>
        <w:t xml:space="preserve"> </w:t>
      </w:r>
      <w:r>
        <w:rPr>
          <w:b/>
          <w:bCs/>
          <w:spacing w:val="-4"/>
          <w:u w:val="single" w:color="auto"/>
        </w:rPr>
        <w:t>的给水干管至现状</w:t>
      </w:r>
      <w:r>
        <w:rPr>
          <w:b/>
          <w:bCs/>
          <w:spacing w:val="-5"/>
          <w:u w:val="single" w:color="auto"/>
        </w:rPr>
        <w:t>安宁水厂。</w:t>
      </w:r>
    </w:p>
    <w:p w14:paraId="2EAF4D89">
      <w:pPr>
        <w:pStyle w:val="2"/>
        <w:spacing w:line="376" w:lineRule="auto"/>
        <w:ind w:left="1" w:firstLine="480"/>
        <w:jc w:val="both"/>
      </w:pPr>
      <w:r>
        <w:rPr>
          <w:spacing w:val="-1"/>
        </w:rPr>
        <w:t>新九片区供水管网采用分质供水系统。钒钛洗选及道路绿地浇洒用水经过</w:t>
      </w:r>
      <w:r>
        <w:rPr>
          <w:spacing w:val="-2"/>
        </w:rPr>
        <w:t>简单沉砂处理后由</w:t>
      </w:r>
      <w:r>
        <w:rPr>
          <w:spacing w:val="-5"/>
        </w:rPr>
        <w:t>单独给水系统直接供用户，管网由各高位水池接出后沿规划道路敷设，形成枝状管网为企业供水。</w:t>
      </w:r>
      <w:r>
        <w:rPr>
          <w:rFonts w:hint="eastAsia"/>
          <w:spacing w:val="-5"/>
          <w:lang w:eastAsia="zh-CN"/>
        </w:rPr>
        <w:t>其他生产</w:t>
      </w:r>
      <w:r>
        <w:rPr>
          <w:spacing w:val="-1"/>
        </w:rPr>
        <w:t>、生活、消防共用给水系统，给水管网由水厂接出后沿规划道路敷设，形成</w:t>
      </w:r>
      <w:r>
        <w:rPr>
          <w:spacing w:val="-2"/>
        </w:rPr>
        <w:t>环枝状管网</w:t>
      </w:r>
      <w:r>
        <w:rPr>
          <w:spacing w:val="-12"/>
        </w:rPr>
        <w:t>为园区供水。其中</w:t>
      </w:r>
      <w:r>
        <w:rPr>
          <w:b/>
          <w:bCs/>
          <w:spacing w:val="-12"/>
          <w:u w:val="single" w:color="auto"/>
        </w:rPr>
        <w:t>规划给水主干管主要沿新安路、新九大道、工业路及荞地箐路布局，管径</w:t>
      </w:r>
      <w:r>
        <w:rPr>
          <w:spacing w:val="-41"/>
          <w:u w:val="single" w:color="auto"/>
        </w:rPr>
        <w:t xml:space="preserve"> </w:t>
      </w:r>
      <w:r>
        <w:rPr>
          <w:rFonts w:ascii="Calibri" w:hAnsi="Calibri" w:eastAsia="Calibri" w:cs="Calibri"/>
          <w:b/>
          <w:bCs/>
          <w:spacing w:val="-12"/>
          <w:u w:val="single" w:color="auto"/>
        </w:rPr>
        <w:t>D</w:t>
      </w:r>
      <w:r>
        <w:rPr>
          <w:rFonts w:ascii="Calibri" w:hAnsi="Calibri" w:eastAsia="Calibri" w:cs="Calibri"/>
          <w:b/>
          <w:bCs/>
          <w:spacing w:val="-13"/>
          <w:u w:val="single" w:color="auto"/>
        </w:rPr>
        <w:t>N500</w:t>
      </w:r>
      <w:r>
        <w:rPr>
          <w:b/>
          <w:bCs/>
          <w:spacing w:val="-13"/>
          <w:u w:val="single" w:color="auto"/>
        </w:rPr>
        <w:t>。</w:t>
      </w:r>
    </w:p>
    <w:p w14:paraId="2226F9D5">
      <w:pPr>
        <w:pStyle w:val="2"/>
        <w:spacing w:before="1" w:line="233" w:lineRule="auto"/>
        <w:ind w:left="424"/>
      </w:pPr>
      <w:r>
        <w:rPr>
          <w:rFonts w:ascii="Times New Roman" w:hAnsi="Times New Roman" w:eastAsia="Times New Roman" w:cs="Times New Roman"/>
          <w:spacing w:val="-3"/>
        </w:rPr>
        <w:t>3.</w:t>
      </w:r>
      <w:r>
        <w:rPr>
          <w:rFonts w:ascii="Times New Roman" w:hAnsi="Times New Roman" w:eastAsia="Times New Roman" w:cs="Times New Roman"/>
          <w:spacing w:val="2"/>
        </w:rPr>
        <w:t xml:space="preserve">    </w:t>
      </w:r>
      <w:r>
        <w:rPr>
          <w:spacing w:val="-3"/>
        </w:rPr>
        <w:t>泵站规划</w:t>
      </w:r>
    </w:p>
    <w:p w14:paraId="6FF3A599">
      <w:pPr>
        <w:pStyle w:val="2"/>
        <w:spacing w:before="186" w:line="233" w:lineRule="auto"/>
        <w:ind w:left="486"/>
      </w:pPr>
      <w:r>
        <w:t>安宁片区规划设置</w:t>
      </w:r>
      <w:r>
        <w:rPr>
          <w:rFonts w:ascii="Times New Roman" w:hAnsi="Times New Roman" w:eastAsia="Times New Roman" w:cs="Times New Roman"/>
        </w:rPr>
        <w:t xml:space="preserve">2 </w:t>
      </w:r>
      <w:r>
        <w:t>处泵站，新九片区保留现状南部供水工程的泵站。</w:t>
      </w:r>
    </w:p>
    <w:p w14:paraId="40126553">
      <w:pPr>
        <w:pStyle w:val="2"/>
        <w:spacing w:before="188" w:line="198" w:lineRule="auto"/>
        <w:ind w:left="418"/>
      </w:pPr>
      <w:r>
        <w:rPr>
          <w:rFonts w:ascii="Times New Roman" w:hAnsi="Times New Roman" w:eastAsia="Times New Roman" w:cs="Times New Roman"/>
          <w:spacing w:val="-3"/>
        </w:rPr>
        <w:t>4.</w:t>
      </w:r>
      <w:r>
        <w:rPr>
          <w:rFonts w:ascii="Times New Roman" w:hAnsi="Times New Roman" w:eastAsia="Times New Roman" w:cs="Times New Roman"/>
          <w:spacing w:val="5"/>
        </w:rPr>
        <w:t xml:space="preserve">    </w:t>
      </w:r>
      <w:r>
        <w:rPr>
          <w:spacing w:val="-3"/>
        </w:rPr>
        <w:t>高位水池规划</w:t>
      </w:r>
    </w:p>
    <w:p w14:paraId="20AD3C56">
      <w:pPr>
        <w:spacing w:line="198" w:lineRule="auto"/>
        <w:sectPr>
          <w:type w:val="continuous"/>
          <w:pgSz w:w="23811" w:h="16839"/>
          <w:pgMar w:top="1274" w:right="1350" w:bottom="1613" w:left="1411" w:header="838" w:footer="1385" w:gutter="0"/>
          <w:cols w:equalWidth="0" w:num="2">
            <w:col w:w="10825" w:space="100"/>
            <w:col w:w="10125"/>
          </w:cols>
        </w:sectPr>
      </w:pPr>
    </w:p>
    <w:p w14:paraId="367EC854">
      <w:pPr>
        <w:spacing w:line="33" w:lineRule="exact"/>
      </w:pPr>
    </w:p>
    <w:p w14:paraId="009CA223">
      <w:pPr>
        <w:spacing w:line="33" w:lineRule="exact"/>
        <w:sectPr>
          <w:headerReference r:id="rId31" w:type="default"/>
          <w:footerReference r:id="rId32" w:type="default"/>
          <w:pgSz w:w="23811" w:h="16839"/>
          <w:pgMar w:top="1274" w:right="1229" w:bottom="1613" w:left="1411" w:header="838" w:footer="1386" w:gutter="0"/>
          <w:cols w:equalWidth="0" w:num="1">
            <w:col w:w="21170"/>
          </w:cols>
        </w:sectPr>
      </w:pPr>
    </w:p>
    <w:p w14:paraId="7B397457">
      <w:pPr>
        <w:pStyle w:val="2"/>
        <w:spacing w:before="52" w:line="364" w:lineRule="auto"/>
        <w:ind w:left="43" w:right="749" w:firstLine="479"/>
      </w:pPr>
      <w:r>
        <w:rPr>
          <w:spacing w:val="-3"/>
        </w:rPr>
        <w:t>安宁片区结合泵站设高位水池</w:t>
      </w:r>
      <w:r>
        <w:rPr>
          <w:spacing w:val="-26"/>
        </w:rPr>
        <w:t xml:space="preserve"> </w:t>
      </w:r>
      <w:r>
        <w:rPr>
          <w:rFonts w:ascii="Calibri" w:hAnsi="Calibri" w:eastAsia="Calibri" w:cs="Calibri"/>
          <w:spacing w:val="-3"/>
        </w:rPr>
        <w:t>2</w:t>
      </w:r>
      <w:r>
        <w:rPr>
          <w:rFonts w:ascii="Calibri" w:hAnsi="Calibri" w:eastAsia="Calibri" w:cs="Calibri"/>
          <w:spacing w:val="30"/>
          <w:w w:val="101"/>
        </w:rPr>
        <w:t xml:space="preserve"> </w:t>
      </w:r>
      <w:r>
        <w:rPr>
          <w:spacing w:val="-3"/>
        </w:rPr>
        <w:t>处，池底标高分别为</w:t>
      </w:r>
      <w:r>
        <w:rPr>
          <w:spacing w:val="-30"/>
        </w:rPr>
        <w:t xml:space="preserve"> </w:t>
      </w:r>
      <w:r>
        <w:rPr>
          <w:rFonts w:ascii="Calibri" w:hAnsi="Calibri" w:eastAsia="Calibri" w:cs="Calibri"/>
          <w:spacing w:val="-3"/>
        </w:rPr>
        <w:t>1260</w:t>
      </w:r>
      <w:r>
        <w:rPr>
          <w:rFonts w:ascii="Calibri" w:hAnsi="Calibri" w:eastAsia="Calibri" w:cs="Calibri"/>
          <w:spacing w:val="26"/>
        </w:rPr>
        <w:t xml:space="preserve"> </w:t>
      </w:r>
      <w:r>
        <w:rPr>
          <w:spacing w:val="-3"/>
        </w:rPr>
        <w:t>米和</w:t>
      </w:r>
      <w:r>
        <w:rPr>
          <w:spacing w:val="-33"/>
        </w:rPr>
        <w:t xml:space="preserve"> </w:t>
      </w:r>
      <w:r>
        <w:rPr>
          <w:rFonts w:ascii="Calibri" w:hAnsi="Calibri" w:eastAsia="Calibri" w:cs="Calibri"/>
          <w:spacing w:val="-3"/>
        </w:rPr>
        <w:t>1310</w:t>
      </w:r>
      <w:r>
        <w:rPr>
          <w:rFonts w:ascii="Calibri" w:hAnsi="Calibri" w:eastAsia="Calibri" w:cs="Calibri"/>
          <w:spacing w:val="24"/>
        </w:rPr>
        <w:t xml:space="preserve"> </w:t>
      </w:r>
      <w:r>
        <w:rPr>
          <w:spacing w:val="-3"/>
        </w:rPr>
        <w:t>米左右，池容均为</w:t>
      </w:r>
      <w:r>
        <w:rPr>
          <w:spacing w:val="-30"/>
        </w:rPr>
        <w:t xml:space="preserve"> </w:t>
      </w:r>
      <w:r>
        <w:rPr>
          <w:rFonts w:ascii="Calibri" w:hAnsi="Calibri" w:eastAsia="Calibri" w:cs="Calibri"/>
          <w:spacing w:val="-3"/>
        </w:rPr>
        <w:t>0.5</w:t>
      </w:r>
      <w:r>
        <w:rPr>
          <w:spacing w:val="-8"/>
        </w:rPr>
        <w:t>万立方米。</w:t>
      </w:r>
    </w:p>
    <w:p w14:paraId="2D0B2862">
      <w:pPr>
        <w:spacing w:before="295" w:line="218" w:lineRule="auto"/>
        <w:ind w:left="532"/>
        <w:rPr>
          <w:rFonts w:ascii="黑体" w:hAnsi="黑体" w:eastAsia="黑体" w:cs="黑体"/>
          <w:sz w:val="24"/>
          <w:szCs w:val="24"/>
        </w:rPr>
      </w:pPr>
      <w:r>
        <w:rPr>
          <w:rFonts w:ascii="黑体" w:hAnsi="黑体" w:eastAsia="黑体" w:cs="黑体"/>
          <w:spacing w:val="-3"/>
          <w:sz w:val="24"/>
          <w:szCs w:val="24"/>
        </w:rPr>
        <w:t>四、消防用水规划</w:t>
      </w:r>
    </w:p>
    <w:p w14:paraId="3EA53F7A">
      <w:pPr>
        <w:spacing w:line="382" w:lineRule="auto"/>
        <w:rPr>
          <w:rFonts w:ascii="Arial"/>
          <w:sz w:val="21"/>
        </w:rPr>
      </w:pPr>
    </w:p>
    <w:p w14:paraId="422E851F">
      <w:pPr>
        <w:pStyle w:val="2"/>
        <w:spacing w:before="78" w:line="369" w:lineRule="auto"/>
        <w:ind w:left="42" w:right="748" w:firstLine="476"/>
        <w:jc w:val="both"/>
      </w:pPr>
      <w:r>
        <w:rPr>
          <w:spacing w:val="-2"/>
        </w:rPr>
        <w:t>规划安宁片区按“同一时间火灾发生次数</w:t>
      </w:r>
      <w:r>
        <w:rPr>
          <w:spacing w:val="-31"/>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40"/>
        </w:rPr>
        <w:t xml:space="preserve"> </w:t>
      </w:r>
      <w:r>
        <w:rPr>
          <w:spacing w:val="-2"/>
        </w:rPr>
        <w:t>次，单处消防流量</w:t>
      </w:r>
      <w:r>
        <w:rPr>
          <w:spacing w:val="-22"/>
        </w:rPr>
        <w:t xml:space="preserve"> </w:t>
      </w:r>
      <w:r>
        <w:rPr>
          <w:rFonts w:ascii="Times New Roman" w:hAnsi="Times New Roman" w:eastAsia="Times New Roman" w:cs="Times New Roman"/>
          <w:spacing w:val="-2"/>
        </w:rPr>
        <w:t>45L/S</w:t>
      </w:r>
      <w:r>
        <w:rPr>
          <w:rFonts w:ascii="Times New Roman" w:hAnsi="Times New Roman" w:eastAsia="Times New Roman" w:cs="Times New Roman"/>
          <w:spacing w:val="-30"/>
        </w:rPr>
        <w:t xml:space="preserve"> </w:t>
      </w:r>
      <w:r>
        <w:rPr>
          <w:spacing w:val="-2"/>
        </w:rPr>
        <w:t>，</w:t>
      </w:r>
      <w:r>
        <w:rPr>
          <w:rFonts w:ascii="Times New Roman" w:hAnsi="Times New Roman" w:eastAsia="Times New Roman" w:cs="Times New Roman"/>
          <w:spacing w:val="-2"/>
        </w:rPr>
        <w:t>2</w:t>
      </w:r>
      <w:r>
        <w:rPr>
          <w:rFonts w:ascii="Times New Roman" w:hAnsi="Times New Roman" w:eastAsia="Times New Roman" w:cs="Times New Roman"/>
          <w:spacing w:val="40"/>
        </w:rPr>
        <w:t xml:space="preserve"> </w:t>
      </w:r>
      <w:r>
        <w:rPr>
          <w:spacing w:val="-2"/>
        </w:rPr>
        <w:t>小时延时</w:t>
      </w:r>
      <w:r>
        <w:rPr>
          <w:spacing w:val="-3"/>
        </w:rPr>
        <w:t>”考虑，</w:t>
      </w:r>
      <w:r>
        <w:rPr>
          <w:spacing w:val="-1"/>
        </w:rPr>
        <w:t>则单处消防用水量</w:t>
      </w:r>
      <w:r>
        <w:rPr>
          <w:spacing w:val="-33"/>
        </w:rPr>
        <w:t xml:space="preserve"> </w:t>
      </w:r>
      <w:r>
        <w:rPr>
          <w:rFonts w:ascii="Times New Roman" w:hAnsi="Times New Roman" w:eastAsia="Times New Roman" w:cs="Times New Roman"/>
          <w:spacing w:val="-1"/>
        </w:rPr>
        <w:t>324m</w:t>
      </w:r>
      <w:r>
        <w:rPr>
          <w:rFonts w:ascii="Times New Roman" w:hAnsi="Times New Roman" w:eastAsia="Times New Roman" w:cs="Times New Roman"/>
          <w:spacing w:val="-1"/>
          <w:position w:val="10"/>
          <w:sz w:val="16"/>
          <w:szCs w:val="16"/>
        </w:rPr>
        <w:t>3</w:t>
      </w:r>
      <w:r>
        <w:rPr>
          <w:rFonts w:ascii="Times New Roman" w:hAnsi="Times New Roman" w:eastAsia="Times New Roman" w:cs="Times New Roman"/>
          <w:spacing w:val="-13"/>
          <w:position w:val="10"/>
          <w:sz w:val="16"/>
          <w:szCs w:val="16"/>
        </w:rPr>
        <w:t xml:space="preserve"> </w:t>
      </w:r>
      <w:r>
        <w:rPr>
          <w:spacing w:val="-1"/>
        </w:rPr>
        <w:t>，总消防用水量</w:t>
      </w:r>
      <w:r>
        <w:rPr>
          <w:spacing w:val="-24"/>
        </w:rPr>
        <w:t xml:space="preserve"> </w:t>
      </w:r>
      <w:r>
        <w:rPr>
          <w:rFonts w:ascii="Times New Roman" w:hAnsi="Times New Roman" w:eastAsia="Times New Roman" w:cs="Times New Roman"/>
          <w:spacing w:val="-2"/>
        </w:rPr>
        <w:t>648m</w:t>
      </w:r>
      <w:r>
        <w:rPr>
          <w:rFonts w:ascii="Times New Roman" w:hAnsi="Times New Roman" w:eastAsia="Times New Roman" w:cs="Times New Roman"/>
          <w:spacing w:val="-2"/>
          <w:position w:val="10"/>
          <w:sz w:val="16"/>
          <w:szCs w:val="16"/>
        </w:rPr>
        <w:t>3</w:t>
      </w:r>
      <w:r>
        <w:rPr>
          <w:spacing w:val="-2"/>
        </w:rPr>
        <w:t>，应在供水调蓄设施中留出。新九片区按“同一</w:t>
      </w:r>
      <w:r>
        <w:rPr>
          <w:spacing w:val="-4"/>
        </w:rPr>
        <w:t>时间火灾发生次数</w:t>
      </w:r>
      <w:r>
        <w:rPr>
          <w:spacing w:val="-54"/>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16"/>
        </w:rPr>
        <w:t xml:space="preserve"> </w:t>
      </w:r>
      <w:r>
        <w:rPr>
          <w:spacing w:val="-4"/>
        </w:rPr>
        <w:t>次，单处消防流量</w:t>
      </w:r>
      <w:r>
        <w:rPr>
          <w:spacing w:val="-50"/>
        </w:rPr>
        <w:t xml:space="preserve"> </w:t>
      </w:r>
      <w:r>
        <w:rPr>
          <w:rFonts w:ascii="Times New Roman" w:hAnsi="Times New Roman" w:eastAsia="Times New Roman" w:cs="Times New Roman"/>
          <w:spacing w:val="-4"/>
        </w:rPr>
        <w:t>35L/S</w:t>
      </w:r>
      <w:r>
        <w:rPr>
          <w:spacing w:val="-4"/>
        </w:rPr>
        <w:t>，</w:t>
      </w:r>
      <w:r>
        <w:rPr>
          <w:rFonts w:ascii="Times New Roman" w:hAnsi="Times New Roman" w:eastAsia="Times New Roman" w:cs="Times New Roman"/>
          <w:spacing w:val="-4"/>
        </w:rPr>
        <w:t>2</w:t>
      </w:r>
      <w:r>
        <w:rPr>
          <w:rFonts w:ascii="Times New Roman" w:hAnsi="Times New Roman" w:eastAsia="Times New Roman" w:cs="Times New Roman"/>
          <w:spacing w:val="15"/>
          <w:w w:val="101"/>
        </w:rPr>
        <w:t xml:space="preserve"> </w:t>
      </w:r>
      <w:r>
        <w:rPr>
          <w:spacing w:val="-4"/>
        </w:rPr>
        <w:t>小时延时”考虑，则单处消防用水量</w:t>
      </w:r>
      <w:r>
        <w:rPr>
          <w:spacing w:val="-55"/>
        </w:rPr>
        <w:t xml:space="preserve"> </w:t>
      </w:r>
      <w:r>
        <w:rPr>
          <w:rFonts w:ascii="Times New Roman" w:hAnsi="Times New Roman" w:eastAsia="Times New Roman" w:cs="Times New Roman"/>
          <w:spacing w:val="-4"/>
        </w:rPr>
        <w:t>25</w:t>
      </w:r>
      <w:r>
        <w:rPr>
          <w:rFonts w:ascii="Times New Roman" w:hAnsi="Times New Roman" w:eastAsia="Times New Roman" w:cs="Times New Roman"/>
          <w:spacing w:val="-5"/>
        </w:rPr>
        <w:t>2m</w:t>
      </w:r>
      <w:r>
        <w:rPr>
          <w:rFonts w:ascii="Times New Roman" w:hAnsi="Times New Roman" w:eastAsia="Times New Roman" w:cs="Times New Roman"/>
          <w:spacing w:val="-5"/>
          <w:position w:val="10"/>
          <w:sz w:val="16"/>
          <w:szCs w:val="16"/>
        </w:rPr>
        <w:t>3</w:t>
      </w:r>
      <w:r>
        <w:rPr>
          <w:spacing w:val="-5"/>
        </w:rPr>
        <w:t>，总</w:t>
      </w:r>
      <w:r>
        <w:rPr>
          <w:spacing w:val="-3"/>
        </w:rPr>
        <w:t>消防用水量</w:t>
      </w:r>
      <w:r>
        <w:rPr>
          <w:spacing w:val="-38"/>
        </w:rPr>
        <w:t xml:space="preserve"> </w:t>
      </w:r>
      <w:r>
        <w:rPr>
          <w:rFonts w:ascii="Times New Roman" w:hAnsi="Times New Roman" w:eastAsia="Times New Roman" w:cs="Times New Roman"/>
          <w:spacing w:val="-3"/>
        </w:rPr>
        <w:t>504m</w:t>
      </w:r>
      <w:r>
        <w:rPr>
          <w:rFonts w:ascii="Times New Roman" w:hAnsi="Times New Roman" w:eastAsia="Times New Roman" w:cs="Times New Roman"/>
          <w:spacing w:val="-3"/>
          <w:position w:val="10"/>
          <w:sz w:val="16"/>
          <w:szCs w:val="16"/>
        </w:rPr>
        <w:t>3</w:t>
      </w:r>
      <w:r>
        <w:rPr>
          <w:spacing w:val="-3"/>
        </w:rPr>
        <w:t>，应在供水调蓄设施中留出。</w:t>
      </w:r>
    </w:p>
    <w:p w14:paraId="4D14B31E">
      <w:pPr>
        <w:spacing w:before="277" w:line="219" w:lineRule="auto"/>
        <w:ind w:left="524"/>
        <w:rPr>
          <w:rFonts w:ascii="黑体" w:hAnsi="黑体" w:eastAsia="黑体" w:cs="黑体"/>
          <w:sz w:val="24"/>
          <w:szCs w:val="24"/>
        </w:rPr>
      </w:pPr>
      <w:r>
        <w:rPr>
          <w:rFonts w:ascii="黑体" w:hAnsi="黑体" w:eastAsia="黑体" w:cs="黑体"/>
          <w:spacing w:val="-3"/>
          <w:sz w:val="24"/>
          <w:szCs w:val="24"/>
        </w:rPr>
        <w:t>五、节水规划</w:t>
      </w:r>
    </w:p>
    <w:p w14:paraId="569A0C6E">
      <w:pPr>
        <w:spacing w:line="381" w:lineRule="auto"/>
        <w:rPr>
          <w:rFonts w:ascii="Arial"/>
          <w:sz w:val="21"/>
        </w:rPr>
      </w:pPr>
    </w:p>
    <w:p w14:paraId="013A2EED">
      <w:pPr>
        <w:pStyle w:val="2"/>
        <w:spacing w:before="78" w:line="233" w:lineRule="auto"/>
        <w:ind w:left="479"/>
      </w:pPr>
      <w:r>
        <w:rPr>
          <w:rFonts w:ascii="Times New Roman" w:hAnsi="Times New Roman" w:eastAsia="Times New Roman" w:cs="Times New Roman"/>
          <w:spacing w:val="-1"/>
        </w:rPr>
        <w:t xml:space="preserve">1.    </w:t>
      </w:r>
      <w:r>
        <w:rPr>
          <w:spacing w:val="-1"/>
        </w:rPr>
        <w:t>入驻园区的企业在确定技术方案、设备方案、工程方案时，应研究制定节水措施；</w:t>
      </w:r>
    </w:p>
    <w:p w14:paraId="4332378D">
      <w:pPr>
        <w:pStyle w:val="2"/>
        <w:spacing w:before="187" w:line="233" w:lineRule="auto"/>
        <w:ind w:left="456"/>
      </w:pPr>
      <w:r>
        <w:rPr>
          <w:rFonts w:ascii="Times New Roman" w:hAnsi="Times New Roman" w:eastAsia="Times New Roman" w:cs="Times New Roman"/>
        </w:rPr>
        <w:t xml:space="preserve">2.    </w:t>
      </w:r>
      <w:r>
        <w:t>应采用节水型工艺和设备，提高水资源利用率，降低水</w:t>
      </w:r>
      <w:r>
        <w:rPr>
          <w:spacing w:val="-1"/>
        </w:rPr>
        <w:t>资源无效能耗；</w:t>
      </w:r>
    </w:p>
    <w:p w14:paraId="14C76247">
      <w:pPr>
        <w:pStyle w:val="2"/>
        <w:spacing w:before="188" w:line="233" w:lineRule="auto"/>
        <w:ind w:left="461"/>
      </w:pPr>
      <w:r>
        <w:rPr>
          <w:rFonts w:ascii="Times New Roman" w:hAnsi="Times New Roman" w:eastAsia="Times New Roman" w:cs="Times New Roman"/>
        </w:rPr>
        <w:t xml:space="preserve">3.    </w:t>
      </w:r>
      <w:r>
        <w:t>工业冷却水及一般清洗用水尽量重复利用，设</w:t>
      </w:r>
      <w:r>
        <w:rPr>
          <w:spacing w:val="-1"/>
        </w:rPr>
        <w:t>置必要的循环用水系统；</w:t>
      </w:r>
    </w:p>
    <w:p w14:paraId="34DA4645">
      <w:pPr>
        <w:pStyle w:val="2"/>
        <w:spacing w:before="185" w:line="233" w:lineRule="auto"/>
        <w:ind w:left="455"/>
      </w:pPr>
      <w:r>
        <w:rPr>
          <w:rFonts w:ascii="Times New Roman" w:hAnsi="Times New Roman" w:eastAsia="Times New Roman" w:cs="Times New Roman"/>
        </w:rPr>
        <w:t xml:space="preserve">4.    </w:t>
      </w:r>
      <w:r>
        <w:t>供水系统采取防渗、防漏措施，提高再生水</w:t>
      </w:r>
      <w:r>
        <w:rPr>
          <w:spacing w:val="-1"/>
        </w:rPr>
        <w:t>的回收率；</w:t>
      </w:r>
    </w:p>
    <w:p w14:paraId="37C147A7">
      <w:pPr>
        <w:pStyle w:val="2"/>
        <w:spacing w:before="185" w:line="233" w:lineRule="auto"/>
        <w:ind w:left="462"/>
      </w:pPr>
      <w:r>
        <w:rPr>
          <w:rFonts w:ascii="Times New Roman" w:hAnsi="Times New Roman" w:eastAsia="Times New Roman" w:cs="Times New Roman"/>
          <w:spacing w:val="-1"/>
        </w:rPr>
        <w:t xml:space="preserve">5.    </w:t>
      </w:r>
      <w:r>
        <w:rPr>
          <w:spacing w:val="-1"/>
        </w:rPr>
        <w:t>充分利用园区周边的水塘、水库水作为辅助用水，减</w:t>
      </w:r>
      <w:r>
        <w:rPr>
          <w:spacing w:val="-2"/>
        </w:rPr>
        <w:t>缓水厂供水压力。</w:t>
      </w:r>
    </w:p>
    <w:p w14:paraId="0B748BF7">
      <w:pPr>
        <w:spacing w:line="285" w:lineRule="auto"/>
        <w:rPr>
          <w:rFonts w:ascii="Arial"/>
          <w:sz w:val="21"/>
        </w:rPr>
      </w:pPr>
    </w:p>
    <w:p w14:paraId="1CCA686E">
      <w:pPr>
        <w:spacing w:before="92" w:line="219" w:lineRule="auto"/>
        <w:ind w:left="250"/>
        <w:rPr>
          <w:rFonts w:ascii="黑体" w:hAnsi="黑体" w:eastAsia="黑体" w:cs="黑体"/>
          <w:sz w:val="28"/>
          <w:szCs w:val="28"/>
        </w:rPr>
      </w:pPr>
      <w:r>
        <w:rPr>
          <w:rFonts w:ascii="黑体" w:hAnsi="黑体" w:eastAsia="黑体" w:cs="黑体"/>
          <w:spacing w:val="-2"/>
          <w:sz w:val="28"/>
          <w:szCs w:val="28"/>
        </w:rPr>
        <w:t>第三十三条</w:t>
      </w:r>
      <w:r>
        <w:rPr>
          <w:rFonts w:ascii="黑体" w:hAnsi="黑体" w:eastAsia="黑体" w:cs="黑体"/>
          <w:spacing w:val="27"/>
          <w:sz w:val="28"/>
          <w:szCs w:val="28"/>
        </w:rPr>
        <w:t xml:space="preserve">   </w:t>
      </w:r>
      <w:r>
        <w:rPr>
          <w:rFonts w:ascii="黑体" w:hAnsi="黑体" w:eastAsia="黑体" w:cs="黑体"/>
          <w:spacing w:val="-2"/>
          <w:sz w:val="28"/>
          <w:szCs w:val="28"/>
        </w:rPr>
        <w:t>排水工程规划</w:t>
      </w:r>
    </w:p>
    <w:p w14:paraId="3D4B55A6">
      <w:pPr>
        <w:spacing w:line="439" w:lineRule="auto"/>
        <w:rPr>
          <w:rFonts w:ascii="Arial"/>
          <w:sz w:val="21"/>
        </w:rPr>
      </w:pPr>
    </w:p>
    <w:p w14:paraId="09895807">
      <w:pPr>
        <w:spacing w:before="78" w:line="219" w:lineRule="auto"/>
        <w:ind w:left="522"/>
        <w:rPr>
          <w:rFonts w:ascii="黑体" w:hAnsi="黑体" w:eastAsia="黑体" w:cs="黑体"/>
          <w:sz w:val="24"/>
          <w:szCs w:val="24"/>
        </w:rPr>
      </w:pPr>
      <w:r>
        <w:rPr>
          <w:rFonts w:ascii="黑体" w:hAnsi="黑体" w:eastAsia="黑体" w:cs="黑体"/>
          <w:spacing w:val="-2"/>
          <w:sz w:val="24"/>
          <w:szCs w:val="24"/>
        </w:rPr>
        <w:t>一、排水体制</w:t>
      </w:r>
    </w:p>
    <w:p w14:paraId="10B92BE1">
      <w:pPr>
        <w:spacing w:line="381" w:lineRule="auto"/>
        <w:rPr>
          <w:rFonts w:ascii="Arial"/>
          <w:sz w:val="21"/>
        </w:rPr>
      </w:pPr>
    </w:p>
    <w:p w14:paraId="69F8B8EF">
      <w:pPr>
        <w:pStyle w:val="2"/>
        <w:spacing w:before="79" w:line="219" w:lineRule="auto"/>
        <w:ind w:left="519"/>
      </w:pPr>
      <w:r>
        <w:rPr>
          <w:spacing w:val="-2"/>
        </w:rPr>
        <w:t>规划盐边钒钛产业开发区采用雨、污分流体制。</w:t>
      </w:r>
    </w:p>
    <w:p w14:paraId="1C8BD870">
      <w:pPr>
        <w:spacing w:line="386" w:lineRule="auto"/>
        <w:rPr>
          <w:rFonts w:ascii="Arial"/>
          <w:sz w:val="21"/>
        </w:rPr>
      </w:pPr>
    </w:p>
    <w:p w14:paraId="3737E097">
      <w:pPr>
        <w:spacing w:before="78" w:line="219" w:lineRule="auto"/>
        <w:ind w:left="522"/>
        <w:rPr>
          <w:rFonts w:ascii="黑体" w:hAnsi="黑体" w:eastAsia="黑体" w:cs="黑体"/>
          <w:sz w:val="24"/>
          <w:szCs w:val="24"/>
        </w:rPr>
      </w:pPr>
      <w:r>
        <w:rPr>
          <w:rFonts w:ascii="黑体" w:hAnsi="黑体" w:eastAsia="黑体" w:cs="黑体"/>
          <w:spacing w:val="-2"/>
          <w:sz w:val="24"/>
          <w:szCs w:val="24"/>
        </w:rPr>
        <w:t>二、污水工程规划</w:t>
      </w:r>
    </w:p>
    <w:p w14:paraId="38E06B09">
      <w:pPr>
        <w:spacing w:line="384" w:lineRule="auto"/>
        <w:rPr>
          <w:rFonts w:ascii="Arial"/>
          <w:sz w:val="21"/>
        </w:rPr>
      </w:pPr>
    </w:p>
    <w:p w14:paraId="09A9619A">
      <w:pPr>
        <w:pStyle w:val="2"/>
        <w:spacing w:before="79" w:line="233" w:lineRule="auto"/>
        <w:ind w:left="479"/>
      </w:pPr>
      <w:r>
        <w:rPr>
          <w:rFonts w:ascii="Times New Roman" w:hAnsi="Times New Roman" w:eastAsia="Times New Roman" w:cs="Times New Roman"/>
          <w:spacing w:val="-6"/>
        </w:rPr>
        <w:t>1.</w:t>
      </w:r>
      <w:r>
        <w:rPr>
          <w:rFonts w:ascii="Times New Roman" w:hAnsi="Times New Roman" w:eastAsia="Times New Roman" w:cs="Times New Roman"/>
          <w:spacing w:val="3"/>
        </w:rPr>
        <w:t xml:space="preserve">    </w:t>
      </w:r>
      <w:r>
        <w:rPr>
          <w:spacing w:val="-6"/>
        </w:rPr>
        <w:t>污水量预测</w:t>
      </w:r>
    </w:p>
    <w:p w14:paraId="2135BBB9">
      <w:pPr>
        <w:pStyle w:val="2"/>
        <w:spacing w:before="183" w:line="374" w:lineRule="auto"/>
        <w:ind w:left="43" w:right="746" w:firstLine="476"/>
      </w:pPr>
      <w:r>
        <w:rPr>
          <w:spacing w:val="-3"/>
        </w:rPr>
        <w:t>预测至</w:t>
      </w:r>
      <w:r>
        <w:rPr>
          <w:spacing w:val="-48"/>
        </w:rPr>
        <w:t xml:space="preserve"> </w:t>
      </w:r>
      <w:r>
        <w:rPr>
          <w:spacing w:val="-3"/>
        </w:rPr>
        <w:t>2035</w:t>
      </w:r>
      <w:r>
        <w:rPr>
          <w:spacing w:val="-49"/>
        </w:rPr>
        <w:t xml:space="preserve"> </w:t>
      </w:r>
      <w:r>
        <w:rPr>
          <w:spacing w:val="-3"/>
        </w:rPr>
        <w:t>年，盐边钒钛产业开发区总污水量约</w:t>
      </w:r>
      <w:r>
        <w:rPr>
          <w:spacing w:val="-4"/>
        </w:rPr>
        <w:t>为4.58</w:t>
      </w:r>
      <w:r>
        <w:rPr>
          <w:spacing w:val="-45"/>
        </w:rPr>
        <w:t xml:space="preserve"> </w:t>
      </w:r>
      <w:r>
        <w:rPr>
          <w:spacing w:val="-4"/>
        </w:rPr>
        <w:t>万立方米/日。其中安宁片区为</w:t>
      </w:r>
      <w:r>
        <w:rPr>
          <w:spacing w:val="-46"/>
        </w:rPr>
        <w:t xml:space="preserve"> </w:t>
      </w:r>
      <w:r>
        <w:rPr>
          <w:rFonts w:ascii="Calibri" w:hAnsi="Calibri" w:eastAsia="Calibri" w:cs="Calibri"/>
          <w:spacing w:val="-4"/>
        </w:rPr>
        <w:t>2.34</w:t>
      </w:r>
      <w:r>
        <w:rPr>
          <w:spacing w:val="-3"/>
        </w:rPr>
        <w:t>万立方米</w:t>
      </w:r>
      <w:r>
        <w:rPr>
          <w:rFonts w:ascii="Calibri" w:hAnsi="Calibri" w:eastAsia="Calibri" w:cs="Calibri"/>
          <w:spacing w:val="-3"/>
        </w:rPr>
        <w:t>/</w:t>
      </w:r>
      <w:r>
        <w:rPr>
          <w:spacing w:val="-3"/>
        </w:rPr>
        <w:t>日，新九片区为</w:t>
      </w:r>
      <w:r>
        <w:rPr>
          <w:spacing w:val="-38"/>
        </w:rPr>
        <w:t xml:space="preserve"> </w:t>
      </w:r>
      <w:r>
        <w:rPr>
          <w:rFonts w:ascii="Calibri" w:hAnsi="Calibri" w:eastAsia="Calibri" w:cs="Calibri"/>
          <w:spacing w:val="-3"/>
        </w:rPr>
        <w:t>2.24</w:t>
      </w:r>
      <w:r>
        <w:rPr>
          <w:rFonts w:ascii="Calibri" w:hAnsi="Calibri" w:eastAsia="Calibri" w:cs="Calibri"/>
          <w:spacing w:val="21"/>
          <w:w w:val="101"/>
        </w:rPr>
        <w:t xml:space="preserve"> </w:t>
      </w:r>
      <w:r>
        <w:rPr>
          <w:spacing w:val="-3"/>
        </w:rPr>
        <w:t>万立方米</w:t>
      </w:r>
      <w:r>
        <w:rPr>
          <w:rFonts w:ascii="Calibri" w:hAnsi="Calibri" w:eastAsia="Calibri" w:cs="Calibri"/>
          <w:spacing w:val="-3"/>
        </w:rPr>
        <w:t>/</w:t>
      </w:r>
      <w:r>
        <w:rPr>
          <w:spacing w:val="-3"/>
        </w:rPr>
        <w:t>日。</w:t>
      </w:r>
    </w:p>
    <w:p w14:paraId="21FB754A">
      <w:pPr>
        <w:pStyle w:val="2"/>
        <w:spacing w:before="8" w:line="233" w:lineRule="auto"/>
        <w:ind w:left="456"/>
      </w:pPr>
      <w:r>
        <w:rPr>
          <w:rFonts w:ascii="Times New Roman" w:hAnsi="Times New Roman" w:eastAsia="Times New Roman" w:cs="Times New Roman"/>
          <w:spacing w:val="-1"/>
        </w:rPr>
        <w:t xml:space="preserve">2.    </w:t>
      </w:r>
      <w:r>
        <w:rPr>
          <w:spacing w:val="-1"/>
        </w:rPr>
        <w:t>污水处理设施规划</w:t>
      </w:r>
    </w:p>
    <w:p w14:paraId="5E7E44BB">
      <w:pPr>
        <w:pStyle w:val="2"/>
        <w:spacing w:before="185" w:line="320" w:lineRule="auto"/>
        <w:ind w:left="79" w:right="682" w:firstLine="440"/>
      </w:pPr>
      <w:r>
        <w:rPr>
          <w:b/>
          <w:bCs/>
          <w:spacing w:val="-5"/>
          <w:u w:val="single" w:color="auto"/>
        </w:rPr>
        <w:t>在安宁片区规划新建污水处理厂一处，近期规模</w:t>
      </w:r>
      <w:r>
        <w:rPr>
          <w:spacing w:val="-29"/>
          <w:u w:val="single" w:color="auto"/>
        </w:rPr>
        <w:t xml:space="preserve"> </w:t>
      </w:r>
      <w:r>
        <w:rPr>
          <w:b/>
          <w:bCs/>
          <w:spacing w:val="-5"/>
          <w:u w:val="single" w:color="auto"/>
        </w:rPr>
        <w:t>1</w:t>
      </w:r>
      <w:r>
        <w:rPr>
          <w:spacing w:val="-45"/>
          <w:u w:val="single" w:color="auto"/>
        </w:rPr>
        <w:t xml:space="preserve"> </w:t>
      </w:r>
      <w:r>
        <w:rPr>
          <w:b/>
          <w:bCs/>
          <w:spacing w:val="-5"/>
          <w:u w:val="single" w:color="auto"/>
        </w:rPr>
        <w:t>万立方米/</w:t>
      </w:r>
      <w:r>
        <w:rPr>
          <w:b/>
          <w:bCs/>
          <w:spacing w:val="-6"/>
          <w:u w:val="single" w:color="auto"/>
        </w:rPr>
        <w:t>日，远期扩建至</w:t>
      </w:r>
      <w:r>
        <w:rPr>
          <w:spacing w:val="-47"/>
          <w:u w:val="single" w:color="auto"/>
        </w:rPr>
        <w:t xml:space="preserve"> </w:t>
      </w:r>
      <w:r>
        <w:rPr>
          <w:b/>
          <w:bCs/>
          <w:spacing w:val="-6"/>
          <w:u w:val="single" w:color="auto"/>
        </w:rPr>
        <w:t>2.5</w:t>
      </w:r>
      <w:r>
        <w:rPr>
          <w:spacing w:val="-45"/>
          <w:u w:val="single" w:color="auto"/>
        </w:rPr>
        <w:t xml:space="preserve"> </w:t>
      </w:r>
      <w:r>
        <w:rPr>
          <w:b/>
          <w:bCs/>
          <w:spacing w:val="-6"/>
          <w:u w:val="single" w:color="auto"/>
        </w:rPr>
        <w:t>万立方米/日，用地面积</w:t>
      </w:r>
      <w:r>
        <w:rPr>
          <w:spacing w:val="-32"/>
          <w:u w:val="single" w:color="auto"/>
        </w:rPr>
        <w:t xml:space="preserve"> </w:t>
      </w:r>
      <w:r>
        <w:rPr>
          <w:b/>
          <w:bCs/>
          <w:spacing w:val="-6"/>
          <w:u w:val="single" w:color="auto"/>
        </w:rPr>
        <w:t>5.18</w:t>
      </w:r>
      <w:r>
        <w:rPr>
          <w:spacing w:val="-31"/>
          <w:u w:val="single" w:color="auto"/>
        </w:rPr>
        <w:t xml:space="preserve"> </w:t>
      </w:r>
      <w:r>
        <w:rPr>
          <w:b/>
          <w:bCs/>
          <w:spacing w:val="-6"/>
          <w:u w:val="single" w:color="auto"/>
        </w:rPr>
        <w:t>公顷。新九片区规划远期新建污水处理厂一处，处理规模</w:t>
      </w:r>
      <w:r>
        <w:rPr>
          <w:spacing w:val="-6"/>
          <w:u w:val="single" w:color="auto"/>
        </w:rPr>
        <w:t xml:space="preserve"> </w:t>
      </w:r>
      <w:r>
        <w:rPr>
          <w:b/>
          <w:bCs/>
          <w:spacing w:val="-6"/>
          <w:u w:val="single" w:color="auto"/>
        </w:rPr>
        <w:t>1.5</w:t>
      </w:r>
      <w:r>
        <w:rPr>
          <w:spacing w:val="-33"/>
          <w:u w:val="single" w:color="auto"/>
        </w:rPr>
        <w:t xml:space="preserve"> </w:t>
      </w:r>
      <w:r>
        <w:rPr>
          <w:b/>
          <w:bCs/>
          <w:spacing w:val="-6"/>
          <w:u w:val="single" w:color="auto"/>
        </w:rPr>
        <w:t>万立方米/日，</w:t>
      </w:r>
    </w:p>
    <w:p w14:paraId="6882831F">
      <w:pPr>
        <w:spacing w:line="14" w:lineRule="auto"/>
        <w:rPr>
          <w:rFonts w:ascii="Arial"/>
          <w:sz w:val="2"/>
        </w:rPr>
      </w:pPr>
      <w:r>
        <w:rPr>
          <w:rFonts w:ascii="Arial" w:hAnsi="Arial" w:eastAsia="Arial" w:cs="Arial"/>
          <w:sz w:val="2"/>
          <w:szCs w:val="2"/>
        </w:rPr>
        <w:br w:type="column"/>
      </w:r>
    </w:p>
    <w:p w14:paraId="31FE7158">
      <w:pPr>
        <w:pStyle w:val="2"/>
        <w:spacing w:before="52" w:line="220" w:lineRule="auto"/>
        <w:ind w:left="2"/>
      </w:pPr>
      <w:r>
        <w:rPr>
          <w:b/>
          <w:bCs/>
          <w:spacing w:val="-6"/>
          <w:u w:val="single" w:color="auto"/>
        </w:rPr>
        <w:t>用地面积为</w:t>
      </w:r>
      <w:r>
        <w:rPr>
          <w:spacing w:val="-35"/>
          <w:u w:val="single" w:color="auto"/>
        </w:rPr>
        <w:t xml:space="preserve"> </w:t>
      </w:r>
      <w:r>
        <w:rPr>
          <w:b/>
          <w:bCs/>
          <w:spacing w:val="-6"/>
          <w:u w:val="single" w:color="auto"/>
        </w:rPr>
        <w:t>3.04</w:t>
      </w:r>
      <w:r>
        <w:rPr>
          <w:spacing w:val="-44"/>
          <w:u w:val="single" w:color="auto"/>
        </w:rPr>
        <w:t xml:space="preserve"> </w:t>
      </w:r>
      <w:r>
        <w:rPr>
          <w:b/>
          <w:bCs/>
          <w:spacing w:val="-6"/>
          <w:u w:val="single" w:color="auto"/>
        </w:rPr>
        <w:t>公顷。</w:t>
      </w:r>
    </w:p>
    <w:p w14:paraId="3083DA76">
      <w:pPr>
        <w:pStyle w:val="2"/>
        <w:spacing w:before="204" w:line="233" w:lineRule="auto"/>
        <w:ind w:left="424"/>
      </w:pPr>
      <w:r>
        <w:rPr>
          <w:rFonts w:ascii="Times New Roman" w:hAnsi="Times New Roman" w:eastAsia="Times New Roman" w:cs="Times New Roman"/>
          <w:spacing w:val="-1"/>
        </w:rPr>
        <w:t xml:space="preserve">3.    </w:t>
      </w:r>
      <w:r>
        <w:rPr>
          <w:spacing w:val="-1"/>
        </w:rPr>
        <w:t>污水管网规划</w:t>
      </w:r>
    </w:p>
    <w:p w14:paraId="137887B3">
      <w:pPr>
        <w:pStyle w:val="2"/>
        <w:spacing w:before="187" w:line="376" w:lineRule="auto"/>
        <w:ind w:right="206" w:firstLine="483"/>
      </w:pPr>
      <w:r>
        <w:rPr>
          <w:spacing w:val="-5"/>
        </w:rPr>
        <w:t>盐边钒钛产业开发区的污、废水采用管道收集</w:t>
      </w:r>
      <w:r>
        <w:rPr>
          <w:spacing w:val="-6"/>
        </w:rPr>
        <w:t>系统，</w:t>
      </w:r>
      <w:r>
        <w:rPr>
          <w:spacing w:val="51"/>
        </w:rPr>
        <w:t xml:space="preserve"> </w:t>
      </w:r>
      <w:r>
        <w:rPr>
          <w:spacing w:val="-6"/>
        </w:rPr>
        <w:t>污水管沿规划道路敷设，收集污水后集</w:t>
      </w:r>
      <w:r>
        <w:rPr>
          <w:spacing w:val="-2"/>
        </w:rPr>
        <w:t>中排至</w:t>
      </w:r>
      <w:r>
        <w:rPr>
          <w:rFonts w:hint="eastAsia"/>
          <w:spacing w:val="-2"/>
          <w:lang w:eastAsia="zh-CN"/>
        </w:rPr>
        <w:t>污水处理厂</w:t>
      </w:r>
      <w:r>
        <w:rPr>
          <w:spacing w:val="-2"/>
        </w:rPr>
        <w:t>。污水干管采用最小纵坡为</w:t>
      </w:r>
      <w:r>
        <w:rPr>
          <w:spacing w:val="-24"/>
        </w:rPr>
        <w:t xml:space="preserve"> </w:t>
      </w:r>
      <w:r>
        <w:rPr>
          <w:spacing w:val="-2"/>
        </w:rPr>
        <w:t>3‰，一般采用纵坡为 10‰，</w:t>
      </w:r>
      <w:r>
        <w:rPr>
          <w:spacing w:val="-3"/>
        </w:rPr>
        <w:t>除场地内可采用</w:t>
      </w:r>
      <w:r>
        <w:rPr>
          <w:spacing w:val="-33"/>
        </w:rPr>
        <w:t xml:space="preserve"> </w:t>
      </w:r>
      <w:r>
        <w:rPr>
          <w:spacing w:val="-3"/>
        </w:rPr>
        <w:t>D300 的</w:t>
      </w:r>
      <w:r>
        <w:rPr>
          <w:spacing w:val="-2"/>
        </w:rPr>
        <w:t>污水管外，其余均采用</w:t>
      </w:r>
      <w:r>
        <w:rPr>
          <w:spacing w:val="-43"/>
        </w:rPr>
        <w:t xml:space="preserve"> </w:t>
      </w:r>
      <w:r>
        <w:rPr>
          <w:spacing w:val="-2"/>
        </w:rPr>
        <w:t>D400-D800</w:t>
      </w:r>
      <w:r>
        <w:rPr>
          <w:spacing w:val="-30"/>
        </w:rPr>
        <w:t xml:space="preserve"> </w:t>
      </w:r>
      <w:r>
        <w:rPr>
          <w:spacing w:val="-2"/>
        </w:rPr>
        <w:t>的污水干管，将污水收集至污水处理厂，经处理达标后就近排</w:t>
      </w:r>
      <w:r>
        <w:rPr>
          <w:spacing w:val="-6"/>
        </w:rPr>
        <w:t>入自然水体。</w:t>
      </w:r>
    </w:p>
    <w:p w14:paraId="5E1571D8">
      <w:pPr>
        <w:pStyle w:val="2"/>
        <w:spacing w:line="376" w:lineRule="auto"/>
        <w:ind w:right="206" w:firstLine="482"/>
        <w:jc w:val="both"/>
      </w:pPr>
      <w:r>
        <w:rPr>
          <w:spacing w:val="-2"/>
        </w:rPr>
        <w:t>污水管应每隔</w:t>
      </w:r>
      <w:r>
        <w:rPr>
          <w:spacing w:val="-34"/>
        </w:rPr>
        <w:t xml:space="preserve"> </w:t>
      </w:r>
      <w:r>
        <w:rPr>
          <w:spacing w:val="-2"/>
        </w:rPr>
        <w:t>25-40</w:t>
      </w:r>
      <w:r>
        <w:rPr>
          <w:spacing w:val="-51"/>
        </w:rPr>
        <w:t xml:space="preserve"> </w:t>
      </w:r>
      <w:r>
        <w:rPr>
          <w:spacing w:val="-2"/>
        </w:rPr>
        <w:t>米设检查井或沉砂（检查）井，在管径变化处、交汇处设检查井。道路坡度较大区段采取跌水形式。排水管道管顶覆土应大于</w:t>
      </w:r>
      <w:r>
        <w:rPr>
          <w:spacing w:val="-47"/>
        </w:rPr>
        <w:t xml:space="preserve"> </w:t>
      </w:r>
      <w:r>
        <w:rPr>
          <w:spacing w:val="-2"/>
        </w:rPr>
        <w:t>0.7</w:t>
      </w:r>
      <w:r>
        <w:rPr>
          <w:spacing w:val="-51"/>
        </w:rPr>
        <w:t xml:space="preserve"> </w:t>
      </w:r>
      <w:r>
        <w:rPr>
          <w:spacing w:val="-2"/>
        </w:rPr>
        <w:t>米，平均埋深控制在</w:t>
      </w:r>
      <w:r>
        <w:rPr>
          <w:spacing w:val="-33"/>
        </w:rPr>
        <w:t xml:space="preserve"> </w:t>
      </w:r>
      <w:r>
        <w:rPr>
          <w:spacing w:val="-3"/>
        </w:rPr>
        <w:t>1.5~3.5</w:t>
      </w:r>
      <w:r>
        <w:rPr>
          <w:spacing w:val="-50"/>
        </w:rPr>
        <w:t xml:space="preserve"> </w:t>
      </w:r>
      <w:r>
        <w:rPr>
          <w:spacing w:val="-3"/>
        </w:rPr>
        <w:t>米范围</w:t>
      </w:r>
      <w:r>
        <w:rPr>
          <w:spacing w:val="-11"/>
        </w:rPr>
        <w:t>内。</w:t>
      </w:r>
    </w:p>
    <w:p w14:paraId="506E0426">
      <w:pPr>
        <w:pStyle w:val="2"/>
        <w:spacing w:before="1" w:line="375" w:lineRule="auto"/>
        <w:ind w:left="8" w:right="206" w:firstLine="480"/>
      </w:pPr>
      <w:r>
        <w:rPr>
          <w:b/>
          <w:bCs/>
          <w:spacing w:val="-3"/>
          <w:u w:val="single" w:color="auto"/>
        </w:rPr>
        <w:t>安宁片区规划两条污水主干管，沿钒钛大道布局，管径</w:t>
      </w:r>
      <w:r>
        <w:rPr>
          <w:spacing w:val="-40"/>
          <w:u w:val="single" w:color="auto"/>
        </w:rPr>
        <w:t xml:space="preserve"> </w:t>
      </w:r>
      <w:r>
        <w:rPr>
          <w:rFonts w:ascii="Calibri" w:hAnsi="Calibri" w:eastAsia="Calibri" w:cs="Calibri"/>
          <w:b/>
          <w:bCs/>
          <w:spacing w:val="-3"/>
          <w:u w:val="single" w:color="auto"/>
        </w:rPr>
        <w:t>D800</w:t>
      </w:r>
      <w:r>
        <w:rPr>
          <w:b/>
          <w:bCs/>
          <w:spacing w:val="-3"/>
          <w:u w:val="single" w:color="auto"/>
        </w:rPr>
        <w:t>；沿新安路布局，管径</w:t>
      </w:r>
      <w:r>
        <w:rPr>
          <w:spacing w:val="-41"/>
          <w:u w:val="single" w:color="auto"/>
        </w:rPr>
        <w:t xml:space="preserve"> </w:t>
      </w:r>
      <w:r>
        <w:rPr>
          <w:rFonts w:ascii="Calibri" w:hAnsi="Calibri" w:eastAsia="Calibri" w:cs="Calibri"/>
          <w:b/>
          <w:bCs/>
          <w:spacing w:val="-3"/>
          <w:u w:val="single" w:color="auto"/>
        </w:rPr>
        <w:t>D50</w:t>
      </w:r>
      <w:r>
        <w:rPr>
          <w:rFonts w:ascii="Calibri" w:hAnsi="Calibri" w:eastAsia="Calibri" w:cs="Calibri"/>
          <w:b/>
          <w:bCs/>
          <w:spacing w:val="-4"/>
          <w:u w:val="single" w:color="auto"/>
        </w:rPr>
        <w:t>0</w:t>
      </w:r>
      <w:r>
        <w:rPr>
          <w:b/>
          <w:bCs/>
          <w:spacing w:val="-4"/>
          <w:u w:val="single" w:color="auto"/>
        </w:rPr>
        <w:t>—</w:t>
      </w:r>
      <w:r>
        <w:t xml:space="preserve"> </w:t>
      </w:r>
      <w:r>
        <w:rPr>
          <w:rFonts w:ascii="Calibri" w:hAnsi="Calibri" w:eastAsia="Calibri" w:cs="Calibri"/>
          <w:b/>
          <w:bCs/>
          <w:spacing w:val="-2"/>
          <w:u w:val="single" w:color="auto"/>
        </w:rPr>
        <w:t>D800</w:t>
      </w:r>
      <w:r>
        <w:rPr>
          <w:b/>
          <w:bCs/>
          <w:spacing w:val="-2"/>
          <w:u w:val="single" w:color="auto"/>
        </w:rPr>
        <w:t>，经国道</w:t>
      </w:r>
      <w:r>
        <w:rPr>
          <w:spacing w:val="-50"/>
          <w:u w:val="single" w:color="auto"/>
        </w:rPr>
        <w:t xml:space="preserve"> </w:t>
      </w:r>
      <w:r>
        <w:rPr>
          <w:rFonts w:ascii="Calibri" w:hAnsi="Calibri" w:eastAsia="Calibri" w:cs="Calibri"/>
          <w:b/>
          <w:bCs/>
          <w:spacing w:val="-2"/>
          <w:u w:val="single" w:color="auto"/>
        </w:rPr>
        <w:t>353</w:t>
      </w:r>
      <w:r>
        <w:rPr>
          <w:rFonts w:ascii="Calibri" w:hAnsi="Calibri" w:eastAsia="Calibri" w:cs="Calibri"/>
          <w:b/>
          <w:bCs/>
          <w:spacing w:val="15"/>
          <w:w w:val="101"/>
          <w:u w:val="single" w:color="auto"/>
        </w:rPr>
        <w:t xml:space="preserve"> </w:t>
      </w:r>
      <w:r>
        <w:rPr>
          <w:b/>
          <w:bCs/>
          <w:spacing w:val="-2"/>
          <w:u w:val="single" w:color="auto"/>
        </w:rPr>
        <w:t>至规划污水泵站，由泵站加压提升后至规划</w:t>
      </w:r>
      <w:r>
        <w:rPr>
          <w:b/>
          <w:bCs/>
          <w:spacing w:val="-3"/>
          <w:u w:val="single" w:color="auto"/>
        </w:rPr>
        <w:t>污水处理厂处理。</w:t>
      </w:r>
    </w:p>
    <w:p w14:paraId="5B04EB2B">
      <w:pPr>
        <w:pStyle w:val="2"/>
        <w:spacing w:before="1" w:line="238" w:lineRule="auto"/>
        <w:ind w:left="484"/>
      </w:pPr>
      <w:r>
        <w:rPr>
          <w:b/>
          <w:bCs/>
          <w:spacing w:val="-3"/>
          <w:u w:val="single" w:color="auto"/>
        </w:rPr>
        <w:t>新九片区规划污水主干管沿新九大道布局的管径</w:t>
      </w:r>
      <w:r>
        <w:rPr>
          <w:spacing w:val="-40"/>
          <w:u w:val="single" w:color="auto"/>
        </w:rPr>
        <w:t xml:space="preserve"> </w:t>
      </w:r>
      <w:r>
        <w:rPr>
          <w:rFonts w:ascii="Calibri" w:hAnsi="Calibri" w:eastAsia="Calibri" w:cs="Calibri"/>
          <w:b/>
          <w:bCs/>
          <w:spacing w:val="-3"/>
          <w:u w:val="single" w:color="auto"/>
        </w:rPr>
        <w:t>D600</w:t>
      </w:r>
      <w:r>
        <w:rPr>
          <w:rFonts w:ascii="Calibri" w:hAnsi="Calibri" w:eastAsia="Calibri" w:cs="Calibri"/>
          <w:b/>
          <w:bCs/>
          <w:spacing w:val="-30"/>
          <w:u w:val="single" w:color="auto"/>
        </w:rPr>
        <w:t xml:space="preserve"> </w:t>
      </w:r>
      <w:r>
        <w:rPr>
          <w:b/>
          <w:bCs/>
          <w:spacing w:val="-3"/>
          <w:u w:val="single" w:color="auto"/>
        </w:rPr>
        <w:t>，沿新安路布置的管径</w:t>
      </w:r>
      <w:r>
        <w:rPr>
          <w:spacing w:val="-41"/>
          <w:u w:val="single" w:color="auto"/>
        </w:rPr>
        <w:t xml:space="preserve"> </w:t>
      </w:r>
      <w:r>
        <w:rPr>
          <w:rFonts w:ascii="Calibri" w:hAnsi="Calibri" w:eastAsia="Calibri" w:cs="Calibri"/>
          <w:b/>
          <w:bCs/>
          <w:spacing w:val="-3"/>
          <w:u w:val="single" w:color="auto"/>
        </w:rPr>
        <w:t>D5</w:t>
      </w:r>
      <w:r>
        <w:rPr>
          <w:rFonts w:ascii="Calibri" w:hAnsi="Calibri" w:eastAsia="Calibri" w:cs="Calibri"/>
          <w:b/>
          <w:bCs/>
          <w:spacing w:val="-4"/>
          <w:u w:val="single" w:color="auto"/>
        </w:rPr>
        <w:t>00</w:t>
      </w:r>
      <w:r>
        <w:rPr>
          <w:rFonts w:ascii="Calibri" w:hAnsi="Calibri" w:eastAsia="Calibri" w:cs="Calibri"/>
          <w:b/>
          <w:bCs/>
          <w:spacing w:val="-23"/>
          <w:u w:val="single" w:color="auto"/>
        </w:rPr>
        <w:t xml:space="preserve"> </w:t>
      </w:r>
      <w:r>
        <w:rPr>
          <w:b/>
          <w:bCs/>
          <w:spacing w:val="-4"/>
          <w:u w:val="single" w:color="auto"/>
        </w:rPr>
        <w:t>。</w:t>
      </w:r>
    </w:p>
    <w:p w14:paraId="4DA3B25A">
      <w:pPr>
        <w:pStyle w:val="2"/>
        <w:spacing w:before="179" w:line="233" w:lineRule="auto"/>
        <w:ind w:left="418"/>
      </w:pPr>
      <w:r>
        <w:rPr>
          <w:rFonts w:ascii="Times New Roman" w:hAnsi="Times New Roman" w:eastAsia="Times New Roman" w:cs="Times New Roman"/>
          <w:spacing w:val="-1"/>
        </w:rPr>
        <w:t xml:space="preserve">4.    </w:t>
      </w:r>
      <w:r>
        <w:rPr>
          <w:spacing w:val="-1"/>
        </w:rPr>
        <w:t>再生水利用规划</w:t>
      </w:r>
    </w:p>
    <w:p w14:paraId="522572DC">
      <w:pPr>
        <w:pStyle w:val="2"/>
        <w:spacing w:before="186" w:line="379" w:lineRule="auto"/>
        <w:ind w:left="1" w:right="211" w:firstLine="479"/>
      </w:pPr>
      <w:r>
        <w:rPr>
          <w:spacing w:val="-5"/>
        </w:rPr>
        <w:t>远期可考虑中水回用，利用中水作为绿化、</w:t>
      </w:r>
      <w:r>
        <w:rPr>
          <w:spacing w:val="-6"/>
        </w:rPr>
        <w:t>洒扫、景观用水及洗选矿用水，</w:t>
      </w:r>
      <w:r>
        <w:rPr>
          <w:spacing w:val="52"/>
        </w:rPr>
        <w:t xml:space="preserve"> </w:t>
      </w:r>
      <w:r>
        <w:rPr>
          <w:spacing w:val="-6"/>
        </w:rPr>
        <w:t>减少园区用水对</w:t>
      </w:r>
      <w:r>
        <w:rPr>
          <w:spacing w:val="-5"/>
        </w:rPr>
        <w:t>新鲜水的需求量。</w:t>
      </w:r>
    </w:p>
    <w:p w14:paraId="194EA0A3">
      <w:pPr>
        <w:spacing w:before="253" w:line="219" w:lineRule="auto"/>
        <w:ind w:left="486"/>
        <w:rPr>
          <w:rFonts w:ascii="黑体" w:hAnsi="黑体" w:eastAsia="黑体" w:cs="黑体"/>
          <w:sz w:val="24"/>
          <w:szCs w:val="24"/>
        </w:rPr>
      </w:pPr>
      <w:r>
        <w:rPr>
          <w:rFonts w:ascii="黑体" w:hAnsi="黑体" w:eastAsia="黑体" w:cs="黑体"/>
          <w:spacing w:val="-2"/>
          <w:sz w:val="24"/>
          <w:szCs w:val="24"/>
        </w:rPr>
        <w:t>三、雨水工程规划</w:t>
      </w:r>
    </w:p>
    <w:p w14:paraId="25B2DD68">
      <w:pPr>
        <w:spacing w:line="384" w:lineRule="auto"/>
        <w:rPr>
          <w:rFonts w:ascii="Arial"/>
          <w:sz w:val="21"/>
        </w:rPr>
      </w:pPr>
    </w:p>
    <w:p w14:paraId="7EEF9434">
      <w:pPr>
        <w:pStyle w:val="2"/>
        <w:spacing w:before="79" w:line="233" w:lineRule="auto"/>
        <w:ind w:left="442"/>
      </w:pPr>
      <w:r>
        <w:rPr>
          <w:rFonts w:ascii="Times New Roman" w:hAnsi="Times New Roman" w:eastAsia="Times New Roman" w:cs="Times New Roman"/>
          <w:spacing w:val="-7"/>
        </w:rPr>
        <w:t>1.</w:t>
      </w:r>
      <w:r>
        <w:rPr>
          <w:rFonts w:ascii="Times New Roman" w:hAnsi="Times New Roman" w:eastAsia="Times New Roman" w:cs="Times New Roman"/>
          <w:spacing w:val="5"/>
        </w:rPr>
        <w:t xml:space="preserve">    </w:t>
      </w:r>
      <w:r>
        <w:rPr>
          <w:spacing w:val="-7"/>
        </w:rPr>
        <w:t>雨水量计算</w:t>
      </w:r>
    </w:p>
    <w:p w14:paraId="6790E99D">
      <w:pPr>
        <w:pStyle w:val="2"/>
        <w:spacing w:before="183" w:line="219" w:lineRule="auto"/>
        <w:ind w:left="482"/>
      </w:pPr>
      <w:r>
        <w:rPr>
          <w:spacing w:val="-1"/>
        </w:rPr>
        <w:t>开发区雨水设计暴雨重现期根据不同用地性质，</w:t>
      </w:r>
      <w:r>
        <w:rPr>
          <w:spacing w:val="-2"/>
        </w:rPr>
        <w:t>采用</w:t>
      </w:r>
      <w:r>
        <w:rPr>
          <w:spacing w:val="-54"/>
        </w:rPr>
        <w:t xml:space="preserve"> </w:t>
      </w:r>
      <w:r>
        <w:rPr>
          <w:spacing w:val="-2"/>
        </w:rPr>
        <w:t>P=1-3</w:t>
      </w:r>
      <w:r>
        <w:rPr>
          <w:spacing w:val="-50"/>
        </w:rPr>
        <w:t xml:space="preserve"> </w:t>
      </w:r>
      <w:r>
        <w:rPr>
          <w:spacing w:val="-2"/>
        </w:rPr>
        <w:t>年。</w:t>
      </w:r>
    </w:p>
    <w:p w14:paraId="32FBA75A">
      <w:pPr>
        <w:pStyle w:val="2"/>
        <w:spacing w:before="205" w:line="220" w:lineRule="auto"/>
        <w:ind w:left="490"/>
      </w:pPr>
      <w:r>
        <w:rPr>
          <w:spacing w:val="-7"/>
        </w:rPr>
        <w:t>雨水流量按下式计算：</w:t>
      </w:r>
    </w:p>
    <w:p w14:paraId="677448DD">
      <w:pPr>
        <w:pStyle w:val="2"/>
        <w:spacing w:before="205" w:line="214" w:lineRule="auto"/>
        <w:ind w:left="2039"/>
      </w:pPr>
      <w:r>
        <w:rPr>
          <w:spacing w:val="-28"/>
        </w:rPr>
        <w:t>Q=q</w:t>
      </w:r>
      <w:r>
        <w:rPr>
          <w:spacing w:val="-25"/>
        </w:rPr>
        <w:t xml:space="preserve"> </w:t>
      </w:r>
      <w:r>
        <w:rPr>
          <w:spacing w:val="-28"/>
        </w:rPr>
        <w:t>·F ·</w:t>
      </w:r>
      <w:r>
        <w:rPr>
          <w:spacing w:val="-51"/>
        </w:rPr>
        <w:t xml:space="preserve"> </w:t>
      </w:r>
      <w:r>
        <w:rPr>
          <w:spacing w:val="-28"/>
        </w:rPr>
        <w:t>ψ</w:t>
      </w:r>
    </w:p>
    <w:p w14:paraId="7724ED1B">
      <w:pPr>
        <w:pStyle w:val="2"/>
        <w:spacing w:before="211" w:line="220" w:lineRule="auto"/>
        <w:ind w:left="486"/>
      </w:pPr>
      <w:r>
        <w:rPr>
          <w:spacing w:val="-1"/>
        </w:rPr>
        <w:t>式中：Q—规划雨水流量（L/s）</w:t>
      </w:r>
    </w:p>
    <w:p w14:paraId="5DBFAD58">
      <w:pPr>
        <w:spacing w:line="264" w:lineRule="auto"/>
        <w:rPr>
          <w:rFonts w:ascii="Arial"/>
          <w:sz w:val="21"/>
        </w:rPr>
      </w:pPr>
    </w:p>
    <w:p w14:paraId="1C985DF5">
      <w:pPr>
        <w:spacing w:line="603" w:lineRule="exact"/>
        <w:ind w:left="484"/>
      </w:pPr>
      <w:r>
        <w:rPr>
          <w:position w:val="-12"/>
        </w:rPr>
        <w:drawing>
          <wp:inline distT="0" distB="0" distL="0" distR="0">
            <wp:extent cx="3088640" cy="38227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6"/>
                    <a:stretch>
                      <a:fillRect/>
                    </a:stretch>
                  </pic:blipFill>
                  <pic:spPr>
                    <a:xfrm>
                      <a:off x="0" y="0"/>
                      <a:ext cx="3088655" cy="382816"/>
                    </a:xfrm>
                    <a:prstGeom prst="rect">
                      <a:avLst/>
                    </a:prstGeom>
                  </pic:spPr>
                </pic:pic>
              </a:graphicData>
            </a:graphic>
          </wp:inline>
        </w:drawing>
      </w:r>
    </w:p>
    <w:p w14:paraId="3BC265A3">
      <w:pPr>
        <w:pStyle w:val="2"/>
        <w:spacing w:before="311" w:line="220" w:lineRule="auto"/>
        <w:ind w:left="477"/>
      </w:pPr>
      <w:r>
        <w:rPr>
          <w:spacing w:val="3"/>
        </w:rPr>
        <w:t>F—汇水面积（h㎡）</w:t>
      </w:r>
    </w:p>
    <w:p w14:paraId="3DBEBB57">
      <w:pPr>
        <w:pStyle w:val="2"/>
        <w:spacing w:before="205" w:line="374" w:lineRule="auto"/>
        <w:ind w:left="478" w:firstLine="62"/>
      </w:pPr>
      <w:r>
        <w:rPr>
          <w:spacing w:val="-8"/>
        </w:rPr>
        <w:t>ψ—径流系数，地面径流系数除大片绿地采用</w:t>
      </w:r>
      <w:r>
        <w:rPr>
          <w:spacing w:val="-52"/>
        </w:rPr>
        <w:t xml:space="preserve"> </w:t>
      </w:r>
      <w:r>
        <w:rPr>
          <w:spacing w:val="-8"/>
        </w:rPr>
        <w:t>0.15</w:t>
      </w:r>
      <w:r>
        <w:rPr>
          <w:spacing w:val="-62"/>
        </w:rPr>
        <w:t xml:space="preserve"> </w:t>
      </w:r>
      <w:r>
        <w:rPr>
          <w:spacing w:val="-8"/>
        </w:rPr>
        <w:t>外，其余采用综合径流系数ψ=0.60－0.70。</w:t>
      </w:r>
      <w:r>
        <w:t xml:space="preserve"> </w:t>
      </w:r>
      <w:r>
        <w:rPr>
          <w:spacing w:val="-3"/>
        </w:rPr>
        <w:t>p—重现期（年）</w:t>
      </w:r>
    </w:p>
    <w:p w14:paraId="43A1DC3F">
      <w:pPr>
        <w:pStyle w:val="2"/>
        <w:spacing w:before="4" w:line="185" w:lineRule="auto"/>
        <w:ind w:left="487"/>
      </w:pPr>
      <w:r>
        <w:rPr>
          <w:spacing w:val="-2"/>
        </w:rPr>
        <w:t>t—降雨历时（min）</w:t>
      </w:r>
    </w:p>
    <w:p w14:paraId="49B676A7">
      <w:pPr>
        <w:spacing w:line="185" w:lineRule="auto"/>
        <w:sectPr>
          <w:type w:val="continuous"/>
          <w:pgSz w:w="23811" w:h="16839"/>
          <w:pgMar w:top="1274" w:right="1229" w:bottom="1613" w:left="1411" w:header="838" w:footer="1386" w:gutter="0"/>
          <w:cols w:equalWidth="0" w:num="2">
            <w:col w:w="10825" w:space="100"/>
            <w:col w:w="10246"/>
          </w:cols>
        </w:sectPr>
      </w:pPr>
    </w:p>
    <w:p w14:paraId="51AAD796">
      <w:pPr>
        <w:spacing w:line="34" w:lineRule="exact"/>
      </w:pPr>
    </w:p>
    <w:p w14:paraId="5111B6F8">
      <w:pPr>
        <w:spacing w:line="34" w:lineRule="exact"/>
        <w:sectPr>
          <w:headerReference r:id="rId33" w:type="default"/>
          <w:footerReference r:id="rId34" w:type="default"/>
          <w:pgSz w:w="23811" w:h="16839"/>
          <w:pgMar w:top="1274" w:right="1367" w:bottom="1613" w:left="1411" w:header="838" w:footer="1385" w:gutter="0"/>
          <w:cols w:equalWidth="0" w:num="1">
            <w:col w:w="21033"/>
          </w:cols>
        </w:sectPr>
      </w:pPr>
    </w:p>
    <w:p w14:paraId="0505609E">
      <w:pPr>
        <w:pStyle w:val="2"/>
        <w:spacing w:before="52" w:line="233" w:lineRule="auto"/>
        <w:ind w:left="456"/>
      </w:pPr>
      <w:r>
        <w:rPr>
          <w:rFonts w:ascii="Times New Roman" w:hAnsi="Times New Roman" w:eastAsia="Times New Roman" w:cs="Times New Roman"/>
          <w:spacing w:val="-1"/>
        </w:rPr>
        <w:t xml:space="preserve">2.    </w:t>
      </w:r>
      <w:r>
        <w:rPr>
          <w:spacing w:val="-1"/>
        </w:rPr>
        <w:t>排水分区组织</w:t>
      </w:r>
    </w:p>
    <w:p w14:paraId="2DFD93E1">
      <w:pPr>
        <w:pStyle w:val="2"/>
        <w:spacing w:before="185" w:line="376" w:lineRule="auto"/>
        <w:ind w:left="39" w:right="749" w:firstLine="483"/>
      </w:pPr>
      <w:r>
        <w:rPr>
          <w:spacing w:val="-5"/>
        </w:rPr>
        <w:t>安宁片区雨水就近排入石观音沟、坝塘沟</w:t>
      </w:r>
      <w:r>
        <w:rPr>
          <w:rFonts w:hint="eastAsia"/>
          <w:spacing w:val="-5"/>
          <w:lang w:eastAsia="zh-CN"/>
        </w:rPr>
        <w:t>及</w:t>
      </w:r>
      <w:r>
        <w:rPr>
          <w:spacing w:val="-6"/>
        </w:rPr>
        <w:t>干沟，</w:t>
      </w:r>
      <w:r>
        <w:rPr>
          <w:spacing w:val="50"/>
        </w:rPr>
        <w:t xml:space="preserve"> </w:t>
      </w:r>
      <w:r>
        <w:rPr>
          <w:spacing w:val="-6"/>
        </w:rPr>
        <w:t>新九片区雨水就近排入巴拉河和区内的</w:t>
      </w:r>
      <w:r>
        <w:rPr>
          <w:spacing w:val="-8"/>
        </w:rPr>
        <w:t>两条小河。</w:t>
      </w:r>
    </w:p>
    <w:p w14:paraId="46DD8317">
      <w:pPr>
        <w:pStyle w:val="2"/>
        <w:spacing w:line="233" w:lineRule="auto"/>
        <w:ind w:left="461"/>
      </w:pPr>
      <w:r>
        <w:rPr>
          <w:rFonts w:ascii="Times New Roman" w:hAnsi="Times New Roman" w:eastAsia="Times New Roman" w:cs="Times New Roman"/>
          <w:spacing w:val="-4"/>
        </w:rPr>
        <w:t>3.</w:t>
      </w:r>
      <w:r>
        <w:rPr>
          <w:rFonts w:ascii="Times New Roman" w:hAnsi="Times New Roman" w:eastAsia="Times New Roman" w:cs="Times New Roman"/>
          <w:spacing w:val="6"/>
        </w:rPr>
        <w:t xml:space="preserve">    </w:t>
      </w:r>
      <w:r>
        <w:rPr>
          <w:spacing w:val="-4"/>
        </w:rPr>
        <w:t>雨水管网规划</w:t>
      </w:r>
    </w:p>
    <w:p w14:paraId="08F98979">
      <w:pPr>
        <w:pStyle w:val="2"/>
        <w:spacing w:before="185" w:line="378" w:lineRule="auto"/>
        <w:ind w:left="40" w:right="749" w:firstLine="487"/>
      </w:pPr>
      <w:r>
        <w:rPr>
          <w:spacing w:val="-1"/>
        </w:rPr>
        <w:t>雨水管沿规划道路或用地边缘敷设，收集雨水后利用地</w:t>
      </w:r>
      <w:r>
        <w:rPr>
          <w:spacing w:val="-2"/>
        </w:rPr>
        <w:t>形按其排水分区就近排入相应整治后</w:t>
      </w:r>
      <w:r>
        <w:rPr>
          <w:spacing w:val="-6"/>
        </w:rPr>
        <w:t>的河流和冲沟。雨水管采用钢筋砼管，</w:t>
      </w:r>
      <w:r>
        <w:rPr>
          <w:spacing w:val="70"/>
        </w:rPr>
        <w:t xml:space="preserve"> </w:t>
      </w:r>
      <w:r>
        <w:rPr>
          <w:spacing w:val="-6"/>
        </w:rPr>
        <w:t>当计算管径超过</w:t>
      </w:r>
      <w:r>
        <w:rPr>
          <w:spacing w:val="-55"/>
        </w:rPr>
        <w:t xml:space="preserve"> </w:t>
      </w:r>
      <w:r>
        <w:rPr>
          <w:spacing w:val="-6"/>
        </w:rPr>
        <w:t>D1400</w:t>
      </w:r>
      <w:r>
        <w:rPr>
          <w:spacing w:val="-39"/>
        </w:rPr>
        <w:t xml:space="preserve"> </w:t>
      </w:r>
      <w:r>
        <w:rPr>
          <w:spacing w:val="-6"/>
        </w:rPr>
        <w:t>时建议采用钢筋砼箱涵，冲沟整治</w:t>
      </w:r>
      <w:r>
        <w:rPr>
          <w:spacing w:val="-5"/>
        </w:rPr>
        <w:t>可采用浆砌条石。</w:t>
      </w:r>
    </w:p>
    <w:p w14:paraId="77FB058F">
      <w:pPr>
        <w:spacing w:before="185" w:line="219" w:lineRule="auto"/>
        <w:ind w:left="250"/>
        <w:rPr>
          <w:rFonts w:ascii="黑体" w:hAnsi="黑体" w:eastAsia="黑体" w:cs="黑体"/>
          <w:sz w:val="28"/>
          <w:szCs w:val="28"/>
        </w:rPr>
      </w:pPr>
      <w:r>
        <w:rPr>
          <w:rFonts w:ascii="黑体" w:hAnsi="黑体" w:eastAsia="黑体" w:cs="黑体"/>
          <w:spacing w:val="-4"/>
          <w:sz w:val="28"/>
          <w:szCs w:val="28"/>
        </w:rPr>
        <w:t>第三十四条</w:t>
      </w:r>
      <w:r>
        <w:rPr>
          <w:rFonts w:ascii="黑体" w:hAnsi="黑体" w:eastAsia="黑体" w:cs="黑体"/>
          <w:spacing w:val="34"/>
          <w:sz w:val="28"/>
          <w:szCs w:val="28"/>
        </w:rPr>
        <w:t xml:space="preserve">   </w:t>
      </w:r>
      <w:r>
        <w:rPr>
          <w:rFonts w:ascii="黑体" w:hAnsi="黑体" w:eastAsia="黑体" w:cs="黑体"/>
          <w:spacing w:val="-4"/>
          <w:sz w:val="28"/>
          <w:szCs w:val="28"/>
        </w:rPr>
        <w:t>电力工程规划</w:t>
      </w:r>
    </w:p>
    <w:p w14:paraId="404DD87A">
      <w:pPr>
        <w:spacing w:line="440" w:lineRule="auto"/>
        <w:rPr>
          <w:rFonts w:ascii="Arial"/>
          <w:sz w:val="21"/>
        </w:rPr>
      </w:pPr>
    </w:p>
    <w:p w14:paraId="3FAB7EF7">
      <w:pPr>
        <w:spacing w:before="78" w:line="218" w:lineRule="auto"/>
        <w:ind w:left="522"/>
        <w:rPr>
          <w:rFonts w:ascii="黑体" w:hAnsi="黑体" w:eastAsia="黑体" w:cs="黑体"/>
          <w:sz w:val="24"/>
          <w:szCs w:val="24"/>
        </w:rPr>
      </w:pPr>
      <w:r>
        <w:rPr>
          <w:rFonts w:ascii="黑体" w:hAnsi="黑体" w:eastAsia="黑体" w:cs="黑体"/>
          <w:spacing w:val="-2"/>
          <w:sz w:val="24"/>
          <w:szCs w:val="24"/>
        </w:rPr>
        <w:t>一、用电负荷预测</w:t>
      </w:r>
    </w:p>
    <w:p w14:paraId="5105FF2F">
      <w:pPr>
        <w:spacing w:line="385" w:lineRule="auto"/>
        <w:rPr>
          <w:rFonts w:ascii="Arial"/>
          <w:sz w:val="21"/>
        </w:rPr>
      </w:pPr>
    </w:p>
    <w:p w14:paraId="3C4CF901">
      <w:pPr>
        <w:pStyle w:val="2"/>
        <w:spacing w:before="78" w:line="375" w:lineRule="auto"/>
        <w:ind w:left="40" w:right="747" w:firstLine="479"/>
      </w:pPr>
      <w:r>
        <w:rPr>
          <w:spacing w:val="-4"/>
        </w:rPr>
        <w:t>预测至</w:t>
      </w:r>
      <w:r>
        <w:rPr>
          <w:spacing w:val="-36"/>
        </w:rPr>
        <w:t xml:space="preserve"> </w:t>
      </w:r>
      <w:r>
        <w:rPr>
          <w:spacing w:val="-4"/>
        </w:rPr>
        <w:t>2035</w:t>
      </w:r>
      <w:r>
        <w:rPr>
          <w:spacing w:val="-50"/>
        </w:rPr>
        <w:t xml:space="preserve"> </w:t>
      </w:r>
      <w:r>
        <w:rPr>
          <w:spacing w:val="-4"/>
        </w:rPr>
        <w:t>年，盐边钒钛产业开发区总用电负荷为</w:t>
      </w:r>
      <w:r>
        <w:rPr>
          <w:spacing w:val="-47"/>
        </w:rPr>
        <w:t xml:space="preserve"> </w:t>
      </w:r>
      <w:r>
        <w:rPr>
          <w:rFonts w:ascii="Calibri" w:hAnsi="Calibri" w:eastAsia="Calibri" w:cs="Calibri"/>
          <w:spacing w:val="-4"/>
        </w:rPr>
        <w:t>66.63</w:t>
      </w:r>
      <w:r>
        <w:rPr>
          <w:rFonts w:ascii="Calibri" w:hAnsi="Calibri" w:eastAsia="Calibri" w:cs="Calibri"/>
          <w:spacing w:val="22"/>
          <w:w w:val="101"/>
        </w:rPr>
        <w:t xml:space="preserve"> </w:t>
      </w:r>
      <w:r>
        <w:rPr>
          <w:spacing w:val="-4"/>
        </w:rPr>
        <w:t>万千瓦，其中安宁片区用电负荷为</w:t>
      </w:r>
      <w:r>
        <w:rPr>
          <w:rFonts w:ascii="Calibri" w:hAnsi="Calibri" w:eastAsia="Calibri" w:cs="Calibri"/>
          <w:spacing w:val="-3"/>
        </w:rPr>
        <w:t>33.79</w:t>
      </w:r>
      <w:r>
        <w:rPr>
          <w:rFonts w:ascii="Calibri" w:hAnsi="Calibri" w:eastAsia="Calibri" w:cs="Calibri"/>
          <w:spacing w:val="24"/>
        </w:rPr>
        <w:t xml:space="preserve"> </w:t>
      </w:r>
      <w:r>
        <w:rPr>
          <w:spacing w:val="-3"/>
        </w:rPr>
        <w:t>万千瓦，新九片区用电负荷为</w:t>
      </w:r>
      <w:r>
        <w:rPr>
          <w:spacing w:val="-48"/>
        </w:rPr>
        <w:t xml:space="preserve"> </w:t>
      </w:r>
      <w:r>
        <w:rPr>
          <w:rFonts w:ascii="Calibri" w:hAnsi="Calibri" w:eastAsia="Calibri" w:cs="Calibri"/>
          <w:spacing w:val="-3"/>
        </w:rPr>
        <w:t>32.84</w:t>
      </w:r>
      <w:r>
        <w:rPr>
          <w:rFonts w:ascii="Calibri" w:hAnsi="Calibri" w:eastAsia="Calibri" w:cs="Calibri"/>
          <w:spacing w:val="22"/>
        </w:rPr>
        <w:t xml:space="preserve"> </w:t>
      </w:r>
      <w:r>
        <w:rPr>
          <w:spacing w:val="-3"/>
        </w:rPr>
        <w:t>万千瓦。</w:t>
      </w:r>
    </w:p>
    <w:p w14:paraId="3C47B0D5">
      <w:pPr>
        <w:spacing w:before="263" w:line="218" w:lineRule="auto"/>
        <w:ind w:left="522"/>
        <w:rPr>
          <w:rFonts w:ascii="黑体" w:hAnsi="黑体" w:eastAsia="黑体" w:cs="黑体"/>
          <w:sz w:val="24"/>
          <w:szCs w:val="24"/>
        </w:rPr>
      </w:pPr>
      <w:r>
        <w:rPr>
          <w:rFonts w:ascii="黑体" w:hAnsi="黑体" w:eastAsia="黑体" w:cs="黑体"/>
          <w:spacing w:val="-2"/>
          <w:sz w:val="24"/>
          <w:szCs w:val="24"/>
        </w:rPr>
        <w:t>二、电源规划</w:t>
      </w:r>
    </w:p>
    <w:p w14:paraId="02619326">
      <w:pPr>
        <w:spacing w:line="382" w:lineRule="auto"/>
        <w:rPr>
          <w:rFonts w:ascii="Arial"/>
          <w:sz w:val="21"/>
        </w:rPr>
      </w:pPr>
    </w:p>
    <w:p w14:paraId="2254223A">
      <w:pPr>
        <w:pStyle w:val="2"/>
        <w:spacing w:before="79" w:line="220" w:lineRule="auto"/>
        <w:ind w:left="520"/>
      </w:pPr>
      <w:r>
        <w:rPr>
          <w:spacing w:val="-2"/>
        </w:rPr>
        <w:t>盐边钒钛产业开发区电源由已建</w:t>
      </w:r>
      <w:r>
        <w:rPr>
          <w:spacing w:val="-30"/>
        </w:rPr>
        <w:t xml:space="preserve"> </w:t>
      </w:r>
      <w:r>
        <w:rPr>
          <w:spacing w:val="-2"/>
        </w:rPr>
        <w:t>220kV</w:t>
      </w:r>
      <w:r>
        <w:rPr>
          <w:spacing w:val="-46"/>
        </w:rPr>
        <w:t xml:space="preserve"> </w:t>
      </w:r>
      <w:r>
        <w:rPr>
          <w:spacing w:val="-2"/>
        </w:rPr>
        <w:t>安宁变电站和桐梓林</w:t>
      </w:r>
      <w:r>
        <w:rPr>
          <w:spacing w:val="-47"/>
        </w:rPr>
        <w:t xml:space="preserve"> </w:t>
      </w:r>
      <w:r>
        <w:rPr>
          <w:spacing w:val="-2"/>
        </w:rPr>
        <w:t>220kV</w:t>
      </w:r>
      <w:r>
        <w:rPr>
          <w:spacing w:val="-51"/>
        </w:rPr>
        <w:t xml:space="preserve"> </w:t>
      </w:r>
      <w:r>
        <w:rPr>
          <w:spacing w:val="-2"/>
        </w:rPr>
        <w:t>变电站接入。</w:t>
      </w:r>
    </w:p>
    <w:p w14:paraId="522EA583">
      <w:pPr>
        <w:spacing w:line="385" w:lineRule="auto"/>
        <w:rPr>
          <w:rFonts w:ascii="Arial"/>
          <w:sz w:val="21"/>
        </w:rPr>
      </w:pPr>
    </w:p>
    <w:p w14:paraId="62746421">
      <w:pPr>
        <w:spacing w:before="78" w:line="219" w:lineRule="auto"/>
        <w:ind w:left="522"/>
        <w:rPr>
          <w:rFonts w:ascii="黑体" w:hAnsi="黑体" w:eastAsia="黑体" w:cs="黑体"/>
          <w:sz w:val="24"/>
          <w:szCs w:val="24"/>
        </w:rPr>
      </w:pPr>
      <w:r>
        <w:rPr>
          <w:rFonts w:ascii="黑体" w:hAnsi="黑体" w:eastAsia="黑体" w:cs="黑体"/>
          <w:spacing w:val="-2"/>
          <w:sz w:val="24"/>
          <w:szCs w:val="24"/>
        </w:rPr>
        <w:t>三、变电站规划</w:t>
      </w:r>
    </w:p>
    <w:p w14:paraId="2E9137E6">
      <w:pPr>
        <w:spacing w:line="384" w:lineRule="auto"/>
        <w:rPr>
          <w:rFonts w:ascii="Arial"/>
          <w:sz w:val="21"/>
        </w:rPr>
      </w:pPr>
    </w:p>
    <w:p w14:paraId="44A82D9F">
      <w:pPr>
        <w:pStyle w:val="2"/>
        <w:tabs>
          <w:tab w:val="left" w:pos="10072"/>
        </w:tabs>
        <w:spacing w:before="78" w:line="377" w:lineRule="auto"/>
        <w:ind w:left="38" w:right="679" w:firstLine="483"/>
        <w:jc w:val="both"/>
      </w:pPr>
      <w:r>
        <w:rPr>
          <w:b/>
          <w:bCs/>
          <w:spacing w:val="-6"/>
          <w:u w:val="single" w:color="auto"/>
        </w:rPr>
        <w:t>保留安宁片区</w:t>
      </w:r>
      <w:r>
        <w:rPr>
          <w:spacing w:val="-52"/>
          <w:u w:val="single" w:color="auto"/>
        </w:rPr>
        <w:t xml:space="preserve"> </w:t>
      </w:r>
      <w:r>
        <w:rPr>
          <w:b/>
          <w:bCs/>
          <w:spacing w:val="-6"/>
          <w:u w:val="single" w:color="auto"/>
        </w:rPr>
        <w:t>4</w:t>
      </w:r>
      <w:r>
        <w:rPr>
          <w:spacing w:val="-68"/>
          <w:u w:val="single" w:color="auto"/>
        </w:rPr>
        <w:t xml:space="preserve"> </w:t>
      </w:r>
      <w:r>
        <w:rPr>
          <w:b/>
          <w:bCs/>
          <w:spacing w:val="-6"/>
          <w:u w:val="single" w:color="auto"/>
        </w:rPr>
        <w:t>座变电站，并在安宁水厂西侧位置及规划区东侧规划新增110kv</w:t>
      </w:r>
      <w:r>
        <w:rPr>
          <w:spacing w:val="-69"/>
          <w:u w:val="single" w:color="auto"/>
        </w:rPr>
        <w:t xml:space="preserve"> </w:t>
      </w:r>
      <w:r>
        <w:rPr>
          <w:b/>
          <w:bCs/>
          <w:spacing w:val="-6"/>
          <w:u w:val="single" w:color="auto"/>
        </w:rPr>
        <w:t>变电站两座，</w:t>
      </w:r>
      <w:r>
        <w:rPr>
          <w:b/>
          <w:bCs/>
          <w:spacing w:val="-9"/>
          <w:u w:val="single" w:color="auto"/>
        </w:rPr>
        <w:t>变电站容量</w:t>
      </w:r>
      <w:r>
        <w:rPr>
          <w:spacing w:val="-43"/>
          <w:u w:val="single" w:color="auto"/>
        </w:rPr>
        <w:t xml:space="preserve"> </w:t>
      </w:r>
      <w:r>
        <w:rPr>
          <w:b/>
          <w:bCs/>
          <w:spacing w:val="-9"/>
          <w:u w:val="single" w:color="auto"/>
        </w:rPr>
        <w:t>2*63MVA+100MVA，用地面积分别为</w:t>
      </w:r>
      <w:r>
        <w:rPr>
          <w:spacing w:val="-47"/>
          <w:u w:val="single" w:color="auto"/>
        </w:rPr>
        <w:t xml:space="preserve"> </w:t>
      </w:r>
      <w:r>
        <w:rPr>
          <w:b/>
          <w:bCs/>
          <w:spacing w:val="-9"/>
          <w:u w:val="single" w:color="auto"/>
        </w:rPr>
        <w:t>0.53、0.8</w:t>
      </w:r>
      <w:r>
        <w:rPr>
          <w:spacing w:val="-40"/>
          <w:u w:val="single" w:color="auto"/>
        </w:rPr>
        <w:t xml:space="preserve"> </w:t>
      </w:r>
      <w:r>
        <w:rPr>
          <w:b/>
          <w:bCs/>
          <w:spacing w:val="-9"/>
          <w:u w:val="single" w:color="auto"/>
        </w:rPr>
        <w:t>公顷</w:t>
      </w:r>
      <w:r>
        <w:rPr>
          <w:rFonts w:hint="eastAsia"/>
          <w:b/>
          <w:bCs/>
          <w:spacing w:val="-9"/>
          <w:u w:val="single" w:color="auto"/>
          <w:lang w:eastAsia="zh-CN"/>
        </w:rPr>
        <w:t>，</w:t>
      </w:r>
      <w:r>
        <w:rPr>
          <w:b/>
          <w:bCs/>
          <w:spacing w:val="-9"/>
          <w:u w:val="single" w:color="auto"/>
        </w:rPr>
        <w:t>在中南部新建</w:t>
      </w:r>
      <w:r>
        <w:rPr>
          <w:spacing w:val="-45"/>
          <w:u w:val="single" w:color="auto"/>
        </w:rPr>
        <w:t xml:space="preserve"> </w:t>
      </w:r>
      <w:r>
        <w:rPr>
          <w:b/>
          <w:bCs/>
          <w:spacing w:val="-9"/>
          <w:u w:val="single" w:color="auto"/>
        </w:rPr>
        <w:t>35KV</w:t>
      </w:r>
      <w:r>
        <w:rPr>
          <w:spacing w:val="-51"/>
          <w:u w:val="single" w:color="auto"/>
        </w:rPr>
        <w:t xml:space="preserve"> </w:t>
      </w:r>
      <w:r>
        <w:rPr>
          <w:b/>
          <w:bCs/>
          <w:spacing w:val="-9"/>
          <w:u w:val="single" w:color="auto"/>
        </w:rPr>
        <w:t>变电站一处，</w:t>
      </w:r>
      <w:r>
        <w:rPr>
          <w:u w:val="single" w:color="auto"/>
        </w:rPr>
        <w:tab/>
      </w:r>
      <w:r>
        <w:t xml:space="preserve"> </w:t>
      </w:r>
      <w:r>
        <w:rPr>
          <w:b/>
          <w:bCs/>
          <w:spacing w:val="-4"/>
          <w:u w:val="single" w:color="auto"/>
        </w:rPr>
        <w:t>占地</w:t>
      </w:r>
      <w:r>
        <w:rPr>
          <w:spacing w:val="-25"/>
          <w:u w:val="single" w:color="auto"/>
        </w:rPr>
        <w:t xml:space="preserve"> </w:t>
      </w:r>
      <w:r>
        <w:rPr>
          <w:b/>
          <w:bCs/>
          <w:spacing w:val="-4"/>
          <w:u w:val="single" w:color="auto"/>
        </w:rPr>
        <w:t>0.24</w:t>
      </w:r>
      <w:r>
        <w:rPr>
          <w:spacing w:val="-30"/>
          <w:u w:val="single" w:color="auto"/>
        </w:rPr>
        <w:t xml:space="preserve"> </w:t>
      </w:r>
      <w:r>
        <w:rPr>
          <w:b/>
          <w:bCs/>
          <w:spacing w:val="-4"/>
          <w:u w:val="single" w:color="auto"/>
        </w:rPr>
        <w:t>公顷。保留新九片区内的两处变电站，并在园区北侧规划新增两处</w:t>
      </w:r>
      <w:r>
        <w:rPr>
          <w:spacing w:val="-4"/>
          <w:u w:val="single" w:color="auto"/>
        </w:rPr>
        <w:t xml:space="preserve"> </w:t>
      </w:r>
      <w:r>
        <w:rPr>
          <w:b/>
          <w:bCs/>
          <w:spacing w:val="-4"/>
          <w:u w:val="single" w:color="auto"/>
        </w:rPr>
        <w:t>110KV</w:t>
      </w:r>
      <w:r>
        <w:rPr>
          <w:spacing w:val="-38"/>
          <w:u w:val="single" w:color="auto"/>
        </w:rPr>
        <w:t xml:space="preserve"> </w:t>
      </w:r>
      <w:r>
        <w:rPr>
          <w:b/>
          <w:bCs/>
          <w:spacing w:val="-4"/>
          <w:u w:val="single" w:color="auto"/>
        </w:rPr>
        <w:t>变电站，用地面积分别为</w:t>
      </w:r>
      <w:r>
        <w:rPr>
          <w:spacing w:val="-41"/>
          <w:u w:val="single" w:color="auto"/>
        </w:rPr>
        <w:t xml:space="preserve"> </w:t>
      </w:r>
      <w:r>
        <w:rPr>
          <w:b/>
          <w:bCs/>
          <w:spacing w:val="-4"/>
          <w:u w:val="single" w:color="auto"/>
        </w:rPr>
        <w:t>0.51、1</w:t>
      </w:r>
      <w:r>
        <w:rPr>
          <w:spacing w:val="-43"/>
          <w:u w:val="single" w:color="auto"/>
        </w:rPr>
        <w:t xml:space="preserve"> </w:t>
      </w:r>
      <w:r>
        <w:rPr>
          <w:b/>
          <w:bCs/>
          <w:spacing w:val="-4"/>
          <w:u w:val="single" w:color="auto"/>
        </w:rPr>
        <w:t>公顷；同时在中干沟矿东侧新建</w:t>
      </w:r>
      <w:r>
        <w:rPr>
          <w:spacing w:val="-48"/>
          <w:u w:val="single" w:color="auto"/>
        </w:rPr>
        <w:t xml:space="preserve"> </w:t>
      </w:r>
      <w:r>
        <w:rPr>
          <w:b/>
          <w:bCs/>
          <w:spacing w:val="-4"/>
          <w:u w:val="single" w:color="auto"/>
        </w:rPr>
        <w:t>220KV</w:t>
      </w:r>
      <w:r>
        <w:rPr>
          <w:spacing w:val="-49"/>
          <w:u w:val="single" w:color="auto"/>
        </w:rPr>
        <w:t xml:space="preserve"> </w:t>
      </w:r>
      <w:r>
        <w:rPr>
          <w:b/>
          <w:bCs/>
          <w:spacing w:val="-4"/>
          <w:u w:val="single" w:color="auto"/>
        </w:rPr>
        <w:t>变电站一处，用地</w:t>
      </w:r>
      <w:r>
        <w:rPr>
          <w:spacing w:val="-32"/>
          <w:u w:val="single" w:color="auto"/>
        </w:rPr>
        <w:t xml:space="preserve"> </w:t>
      </w:r>
      <w:r>
        <w:rPr>
          <w:b/>
          <w:bCs/>
          <w:spacing w:val="-4"/>
          <w:u w:val="single" w:color="auto"/>
        </w:rPr>
        <w:t>1.44</w:t>
      </w:r>
      <w:r>
        <w:rPr>
          <w:spacing w:val="-43"/>
          <w:u w:val="single" w:color="auto"/>
        </w:rPr>
        <w:t xml:space="preserve"> </w:t>
      </w:r>
      <w:r>
        <w:rPr>
          <w:b/>
          <w:bCs/>
          <w:spacing w:val="-4"/>
          <w:u w:val="single" w:color="auto"/>
        </w:rPr>
        <w:t>公顷。</w:t>
      </w:r>
    </w:p>
    <w:p w14:paraId="0B5BFB84">
      <w:pPr>
        <w:spacing w:before="258" w:line="220" w:lineRule="auto"/>
        <w:ind w:left="532"/>
        <w:rPr>
          <w:rFonts w:ascii="黑体" w:hAnsi="黑体" w:eastAsia="黑体" w:cs="黑体"/>
          <w:sz w:val="24"/>
          <w:szCs w:val="24"/>
        </w:rPr>
      </w:pPr>
      <w:r>
        <w:rPr>
          <w:rFonts w:ascii="黑体" w:hAnsi="黑体" w:eastAsia="黑体" w:cs="黑体"/>
          <w:spacing w:val="-3"/>
          <w:sz w:val="24"/>
          <w:szCs w:val="24"/>
        </w:rPr>
        <w:t>四、电网规划</w:t>
      </w:r>
    </w:p>
    <w:p w14:paraId="5EE7DF59">
      <w:pPr>
        <w:spacing w:line="379" w:lineRule="auto"/>
        <w:rPr>
          <w:rFonts w:ascii="Arial"/>
          <w:sz w:val="21"/>
        </w:rPr>
      </w:pPr>
    </w:p>
    <w:p w14:paraId="0FE8C175">
      <w:pPr>
        <w:pStyle w:val="2"/>
        <w:spacing w:before="79" w:line="239" w:lineRule="auto"/>
        <w:ind w:left="471"/>
      </w:pPr>
      <w:r>
        <w:rPr>
          <w:rFonts w:ascii="Calibri" w:hAnsi="Calibri" w:eastAsia="Calibri" w:cs="Calibri"/>
          <w:spacing w:val="-4"/>
        </w:rPr>
        <w:t>1.</w:t>
      </w:r>
      <w:r>
        <w:rPr>
          <w:rFonts w:ascii="Calibri" w:hAnsi="Calibri" w:eastAsia="Calibri" w:cs="Calibri"/>
          <w:spacing w:val="8"/>
        </w:rPr>
        <w:t xml:space="preserve">    </w:t>
      </w:r>
      <w:r>
        <w:rPr>
          <w:rFonts w:ascii="Calibri" w:hAnsi="Calibri" w:eastAsia="Calibri" w:cs="Calibri"/>
          <w:spacing w:val="-4"/>
        </w:rPr>
        <w:t>220</w:t>
      </w:r>
      <w:r>
        <w:rPr>
          <w:rFonts w:ascii="Calibri" w:hAnsi="Calibri" w:eastAsia="Calibri" w:cs="Calibri"/>
          <w:spacing w:val="19"/>
          <w:w w:val="101"/>
        </w:rPr>
        <w:t xml:space="preserve"> </w:t>
      </w:r>
      <w:r>
        <w:rPr>
          <w:spacing w:val="-4"/>
        </w:rPr>
        <w:t>千伏网络规划</w:t>
      </w:r>
    </w:p>
    <w:p w14:paraId="58AA24C8">
      <w:pPr>
        <w:pStyle w:val="2"/>
        <w:spacing w:before="178" w:line="219" w:lineRule="auto"/>
        <w:ind w:left="519"/>
      </w:pPr>
      <w:r>
        <w:rPr>
          <w:spacing w:val="-4"/>
        </w:rPr>
        <w:t>新建安宁</w:t>
      </w:r>
      <w:r>
        <w:rPr>
          <w:spacing w:val="-48"/>
        </w:rPr>
        <w:t xml:space="preserve"> </w:t>
      </w:r>
      <w:r>
        <w:rPr>
          <w:spacing w:val="-4"/>
        </w:rPr>
        <w:t>220</w:t>
      </w:r>
      <w:r>
        <w:rPr>
          <w:spacing w:val="-50"/>
        </w:rPr>
        <w:t xml:space="preserve"> </w:t>
      </w:r>
      <w:r>
        <w:rPr>
          <w:spacing w:val="-4"/>
        </w:rPr>
        <w:t>站—青龙山</w:t>
      </w:r>
      <w:r>
        <w:rPr>
          <w:spacing w:val="-48"/>
        </w:rPr>
        <w:t xml:space="preserve"> </w:t>
      </w:r>
      <w:r>
        <w:rPr>
          <w:spacing w:val="-4"/>
        </w:rPr>
        <w:t>220</w:t>
      </w:r>
      <w:r>
        <w:rPr>
          <w:spacing w:val="-50"/>
        </w:rPr>
        <w:t xml:space="preserve"> </w:t>
      </w:r>
      <w:r>
        <w:rPr>
          <w:spacing w:val="-4"/>
        </w:rPr>
        <w:t>站、安宁</w:t>
      </w:r>
      <w:r>
        <w:rPr>
          <w:spacing w:val="-47"/>
        </w:rPr>
        <w:t xml:space="preserve"> </w:t>
      </w:r>
      <w:r>
        <w:rPr>
          <w:spacing w:val="-4"/>
        </w:rPr>
        <w:t>220</w:t>
      </w:r>
      <w:r>
        <w:rPr>
          <w:spacing w:val="-50"/>
        </w:rPr>
        <w:t xml:space="preserve"> </w:t>
      </w:r>
      <w:r>
        <w:rPr>
          <w:spacing w:val="-4"/>
        </w:rPr>
        <w:t>站—米易</w:t>
      </w:r>
      <w:r>
        <w:rPr>
          <w:spacing w:val="-46"/>
        </w:rPr>
        <w:t xml:space="preserve"> </w:t>
      </w:r>
      <w:r>
        <w:rPr>
          <w:spacing w:val="-4"/>
        </w:rPr>
        <w:t>500</w:t>
      </w:r>
      <w:r>
        <w:rPr>
          <w:spacing w:val="-49"/>
        </w:rPr>
        <w:t xml:space="preserve"> </w:t>
      </w:r>
      <w:r>
        <w:rPr>
          <w:spacing w:val="-4"/>
        </w:rPr>
        <w:t>站、安宁</w:t>
      </w:r>
      <w:r>
        <w:rPr>
          <w:spacing w:val="-48"/>
        </w:rPr>
        <w:t xml:space="preserve"> </w:t>
      </w:r>
      <w:r>
        <w:rPr>
          <w:spacing w:val="-4"/>
        </w:rPr>
        <w:t>220</w:t>
      </w:r>
      <w:r>
        <w:rPr>
          <w:spacing w:val="-49"/>
        </w:rPr>
        <w:t xml:space="preserve"> </w:t>
      </w:r>
      <w:r>
        <w:rPr>
          <w:spacing w:val="-4"/>
        </w:rPr>
        <w:t>站—新九</w:t>
      </w:r>
      <w:r>
        <w:rPr>
          <w:spacing w:val="-48"/>
        </w:rPr>
        <w:t xml:space="preserve"> </w:t>
      </w:r>
      <w:r>
        <w:rPr>
          <w:spacing w:val="-4"/>
        </w:rPr>
        <w:t>220</w:t>
      </w:r>
      <w:r>
        <w:rPr>
          <w:spacing w:val="-50"/>
        </w:rPr>
        <w:t xml:space="preserve"> </w:t>
      </w:r>
      <w:r>
        <w:rPr>
          <w:spacing w:val="-4"/>
        </w:rPr>
        <w:t>站、新</w:t>
      </w:r>
    </w:p>
    <w:p w14:paraId="22962FFF">
      <w:pPr>
        <w:pStyle w:val="2"/>
        <w:spacing w:before="205" w:line="220" w:lineRule="auto"/>
        <w:ind w:left="43"/>
      </w:pPr>
      <w:r>
        <w:rPr>
          <w:spacing w:val="-5"/>
        </w:rPr>
        <w:t>九</w:t>
      </w:r>
      <w:r>
        <w:rPr>
          <w:spacing w:val="-48"/>
        </w:rPr>
        <w:t xml:space="preserve"> </w:t>
      </w:r>
      <w:r>
        <w:rPr>
          <w:spacing w:val="-5"/>
        </w:rPr>
        <w:t>220</w:t>
      </w:r>
      <w:r>
        <w:rPr>
          <w:spacing w:val="-50"/>
        </w:rPr>
        <w:t xml:space="preserve"> </w:t>
      </w:r>
      <w:r>
        <w:rPr>
          <w:spacing w:val="-5"/>
        </w:rPr>
        <w:t>站—米易</w:t>
      </w:r>
      <w:r>
        <w:rPr>
          <w:spacing w:val="-46"/>
        </w:rPr>
        <w:t xml:space="preserve"> </w:t>
      </w:r>
      <w:r>
        <w:rPr>
          <w:spacing w:val="-5"/>
        </w:rPr>
        <w:t>500</w:t>
      </w:r>
      <w:r>
        <w:rPr>
          <w:spacing w:val="-50"/>
        </w:rPr>
        <w:t xml:space="preserve"> </w:t>
      </w:r>
      <w:r>
        <w:rPr>
          <w:spacing w:val="-5"/>
        </w:rPr>
        <w:t>站的</w:t>
      </w:r>
      <w:r>
        <w:rPr>
          <w:spacing w:val="-48"/>
        </w:rPr>
        <w:t xml:space="preserve"> </w:t>
      </w:r>
      <w:r>
        <w:rPr>
          <w:spacing w:val="-5"/>
        </w:rPr>
        <w:t>220kV</w:t>
      </w:r>
      <w:r>
        <w:rPr>
          <w:spacing w:val="-48"/>
        </w:rPr>
        <w:t xml:space="preserve"> </w:t>
      </w:r>
      <w:r>
        <w:rPr>
          <w:spacing w:val="-5"/>
        </w:rPr>
        <w:t>线路。</w:t>
      </w:r>
    </w:p>
    <w:p w14:paraId="5AB89A38">
      <w:pPr>
        <w:pStyle w:val="2"/>
        <w:spacing w:before="202" w:line="209" w:lineRule="auto"/>
        <w:ind w:left="464"/>
      </w:pPr>
      <w:r>
        <w:rPr>
          <w:rFonts w:ascii="Calibri" w:hAnsi="Calibri" w:eastAsia="Calibri" w:cs="Calibri"/>
          <w:spacing w:val="-4"/>
        </w:rPr>
        <w:t>2.</w:t>
      </w:r>
      <w:r>
        <w:rPr>
          <w:rFonts w:ascii="Calibri" w:hAnsi="Calibri" w:eastAsia="Calibri" w:cs="Calibri"/>
          <w:spacing w:val="10"/>
        </w:rPr>
        <w:t xml:space="preserve">    </w:t>
      </w:r>
      <w:r>
        <w:rPr>
          <w:rFonts w:ascii="Calibri" w:hAnsi="Calibri" w:eastAsia="Calibri" w:cs="Calibri"/>
          <w:spacing w:val="-4"/>
        </w:rPr>
        <w:t>110</w:t>
      </w:r>
      <w:r>
        <w:rPr>
          <w:rFonts w:ascii="Calibri" w:hAnsi="Calibri" w:eastAsia="Calibri" w:cs="Calibri"/>
          <w:spacing w:val="18"/>
          <w:w w:val="101"/>
        </w:rPr>
        <w:t xml:space="preserve"> </w:t>
      </w:r>
      <w:r>
        <w:rPr>
          <w:spacing w:val="-4"/>
        </w:rPr>
        <w:t>千伏网络规划</w:t>
      </w:r>
    </w:p>
    <w:p w14:paraId="25A22DE2">
      <w:pPr>
        <w:spacing w:line="14" w:lineRule="auto"/>
        <w:rPr>
          <w:rFonts w:ascii="Arial"/>
          <w:sz w:val="2"/>
        </w:rPr>
      </w:pPr>
      <w:r>
        <w:rPr>
          <w:rFonts w:ascii="Arial" w:hAnsi="Arial" w:eastAsia="Arial" w:cs="Arial"/>
          <w:sz w:val="2"/>
          <w:szCs w:val="2"/>
        </w:rPr>
        <w:br w:type="column"/>
      </w:r>
    </w:p>
    <w:p w14:paraId="3282DAB8">
      <w:pPr>
        <w:pStyle w:val="2"/>
        <w:spacing w:before="50" w:line="376" w:lineRule="auto"/>
        <w:ind w:left="2" w:firstLine="480"/>
        <w:jc w:val="both"/>
      </w:pPr>
      <w:r>
        <w:rPr>
          <w:spacing w:val="-3"/>
        </w:rPr>
        <w:t>开发区新建</w:t>
      </w:r>
      <w:r>
        <w:rPr>
          <w:spacing w:val="-29"/>
        </w:rPr>
        <w:t xml:space="preserve"> </w:t>
      </w:r>
      <w:r>
        <w:rPr>
          <w:spacing w:val="-3"/>
        </w:rPr>
        <w:t>110</w:t>
      </w:r>
      <w:r>
        <w:rPr>
          <w:spacing w:val="-46"/>
        </w:rPr>
        <w:t xml:space="preserve"> </w:t>
      </w:r>
      <w:r>
        <w:rPr>
          <w:spacing w:val="-3"/>
        </w:rPr>
        <w:t>千伏电网与周边的桐梓林</w:t>
      </w:r>
      <w:r>
        <w:rPr>
          <w:spacing w:val="-28"/>
        </w:rPr>
        <w:t xml:space="preserve"> </w:t>
      </w:r>
      <w:r>
        <w:rPr>
          <w:spacing w:val="-3"/>
        </w:rPr>
        <w:t>110kV、红格 110kV</w:t>
      </w:r>
      <w:r>
        <w:rPr>
          <w:spacing w:val="-46"/>
        </w:rPr>
        <w:t xml:space="preserve"> </w:t>
      </w:r>
      <w:r>
        <w:rPr>
          <w:spacing w:val="-3"/>
        </w:rPr>
        <w:t>变电站等相连，形成环网，实行开环运行供电。规划 110</w:t>
      </w:r>
      <w:r>
        <w:rPr>
          <w:spacing w:val="-23"/>
        </w:rPr>
        <w:t xml:space="preserve"> </w:t>
      </w:r>
      <w:r>
        <w:rPr>
          <w:spacing w:val="-3"/>
        </w:rPr>
        <w:t>千伏变电站有两回电源引入线，有一回电源直接来自</w:t>
      </w:r>
      <w:r>
        <w:rPr>
          <w:spacing w:val="-26"/>
        </w:rPr>
        <w:t xml:space="preserve"> </w:t>
      </w:r>
      <w:r>
        <w:rPr>
          <w:spacing w:val="-3"/>
        </w:rPr>
        <w:t>220kV</w:t>
      </w:r>
      <w:r>
        <w:rPr>
          <w:spacing w:val="-29"/>
        </w:rPr>
        <w:t xml:space="preserve"> </w:t>
      </w:r>
      <w:r>
        <w:rPr>
          <w:spacing w:val="-3"/>
        </w:rPr>
        <w:t>变电站，</w:t>
      </w:r>
      <w:r>
        <w:rPr>
          <w:spacing w:val="-6"/>
        </w:rPr>
        <w:t>作为主供电源。</w:t>
      </w:r>
    </w:p>
    <w:p w14:paraId="016578F7">
      <w:pPr>
        <w:pStyle w:val="2"/>
        <w:ind w:left="427"/>
      </w:pPr>
      <w:r>
        <w:rPr>
          <w:rFonts w:ascii="Calibri" w:hAnsi="Calibri" w:eastAsia="Calibri" w:cs="Calibri"/>
          <w:spacing w:val="-4"/>
        </w:rPr>
        <w:t xml:space="preserve">3.     </w:t>
      </w:r>
      <w:r>
        <w:rPr>
          <w:spacing w:val="-4"/>
        </w:rPr>
        <w:t>中压配电网规划</w:t>
      </w:r>
    </w:p>
    <w:p w14:paraId="7CC3E4CC">
      <w:pPr>
        <w:pStyle w:val="2"/>
        <w:spacing w:before="176" w:line="377" w:lineRule="auto"/>
        <w:ind w:left="11" w:right="71" w:firstLine="488"/>
      </w:pPr>
      <w:r>
        <w:rPr>
          <w:spacing w:val="-4"/>
        </w:rPr>
        <w:t>10kV</w:t>
      </w:r>
      <w:r>
        <w:rPr>
          <w:spacing w:val="-28"/>
        </w:rPr>
        <w:t xml:space="preserve"> </w:t>
      </w:r>
      <w:r>
        <w:rPr>
          <w:spacing w:val="-4"/>
        </w:rPr>
        <w:t>中压配电线路由</w:t>
      </w:r>
      <w:r>
        <w:rPr>
          <w:spacing w:val="-33"/>
        </w:rPr>
        <w:t xml:space="preserve"> </w:t>
      </w:r>
      <w:r>
        <w:rPr>
          <w:spacing w:val="-4"/>
        </w:rPr>
        <w:t>110</w:t>
      </w:r>
      <w:r>
        <w:rPr>
          <w:spacing w:val="-51"/>
        </w:rPr>
        <w:t xml:space="preserve"> </w:t>
      </w:r>
      <w:r>
        <w:rPr>
          <w:spacing w:val="-4"/>
        </w:rPr>
        <w:t>变电站引出后沿规</w:t>
      </w:r>
      <w:r>
        <w:rPr>
          <w:spacing w:val="-5"/>
        </w:rPr>
        <w:t>划道路埋地敷设，形成手拉手环式供电电网。在</w:t>
      </w:r>
      <w:r>
        <w:rPr>
          <w:spacing w:val="-4"/>
        </w:rPr>
        <w:t>负荷集中地段建设</w:t>
      </w:r>
      <w:r>
        <w:rPr>
          <w:spacing w:val="-25"/>
        </w:rPr>
        <w:t xml:space="preserve"> </w:t>
      </w:r>
      <w:r>
        <w:rPr>
          <w:spacing w:val="-4"/>
        </w:rPr>
        <w:t>10</w:t>
      </w:r>
      <w:r>
        <w:rPr>
          <w:spacing w:val="-51"/>
        </w:rPr>
        <w:t xml:space="preserve"> </w:t>
      </w:r>
      <w:r>
        <w:rPr>
          <w:spacing w:val="-4"/>
        </w:rPr>
        <w:t>千伏开闭所。大用电户就近以</w:t>
      </w:r>
      <w:r>
        <w:rPr>
          <w:spacing w:val="-33"/>
        </w:rPr>
        <w:t xml:space="preserve"> </w:t>
      </w:r>
      <w:r>
        <w:rPr>
          <w:spacing w:val="-4"/>
        </w:rPr>
        <w:t>10</w:t>
      </w:r>
      <w:r>
        <w:rPr>
          <w:spacing w:val="-50"/>
        </w:rPr>
        <w:t xml:space="preserve"> </w:t>
      </w:r>
      <w:r>
        <w:rPr>
          <w:spacing w:val="-4"/>
        </w:rPr>
        <w:t>千伏电缆供电。</w:t>
      </w:r>
    </w:p>
    <w:p w14:paraId="1BFA854E">
      <w:pPr>
        <w:pStyle w:val="2"/>
        <w:spacing w:line="239" w:lineRule="auto"/>
        <w:ind w:left="420"/>
      </w:pPr>
      <w:r>
        <w:rPr>
          <w:rFonts w:ascii="Calibri" w:hAnsi="Calibri" w:eastAsia="Calibri" w:cs="Calibri"/>
          <w:spacing w:val="-3"/>
        </w:rPr>
        <w:t>4.</w:t>
      </w:r>
      <w:r>
        <w:rPr>
          <w:rFonts w:ascii="Calibri" w:hAnsi="Calibri" w:eastAsia="Calibri" w:cs="Calibri"/>
          <w:spacing w:val="9"/>
        </w:rPr>
        <w:t xml:space="preserve">    </w:t>
      </w:r>
      <w:r>
        <w:rPr>
          <w:spacing w:val="-3"/>
        </w:rPr>
        <w:t>高压走廊迁改</w:t>
      </w:r>
    </w:p>
    <w:p w14:paraId="29B0460F">
      <w:pPr>
        <w:pStyle w:val="2"/>
        <w:spacing w:before="175" w:line="382" w:lineRule="auto"/>
        <w:ind w:right="71" w:firstLine="481"/>
      </w:pPr>
      <w:r>
        <w:rPr>
          <w:spacing w:val="-2"/>
        </w:rPr>
        <w:t>对现状</w:t>
      </w:r>
      <w:r>
        <w:rPr>
          <w:spacing w:val="-31"/>
        </w:rPr>
        <w:t xml:space="preserve"> </w:t>
      </w:r>
      <w:r>
        <w:rPr>
          <w:spacing w:val="-2"/>
        </w:rPr>
        <w:t>110kV</w:t>
      </w:r>
      <w:r>
        <w:rPr>
          <w:spacing w:val="-51"/>
        </w:rPr>
        <w:t xml:space="preserve"> </w:t>
      </w:r>
      <w:r>
        <w:rPr>
          <w:spacing w:val="-2"/>
        </w:rPr>
        <w:t>青格线过境高压输电线结合用地布局进行迁改，迁改后线路沿规划道路两侧布</w:t>
      </w:r>
      <w:r>
        <w:rPr>
          <w:spacing w:val="-11"/>
        </w:rPr>
        <w:t>置。</w:t>
      </w:r>
    </w:p>
    <w:p w14:paraId="4B95C5E4">
      <w:pPr>
        <w:spacing w:before="179" w:line="219" w:lineRule="auto"/>
        <w:ind w:left="214"/>
        <w:rPr>
          <w:rFonts w:ascii="黑体" w:hAnsi="黑体" w:eastAsia="黑体" w:cs="黑体"/>
          <w:sz w:val="28"/>
          <w:szCs w:val="28"/>
        </w:rPr>
      </w:pPr>
      <w:r>
        <w:rPr>
          <w:rFonts w:ascii="黑体" w:hAnsi="黑体" w:eastAsia="黑体" w:cs="黑体"/>
          <w:spacing w:val="-2"/>
          <w:sz w:val="28"/>
          <w:szCs w:val="28"/>
        </w:rPr>
        <w:t>第三十五条</w:t>
      </w:r>
      <w:r>
        <w:rPr>
          <w:rFonts w:ascii="黑体" w:hAnsi="黑体" w:eastAsia="黑体" w:cs="黑体"/>
          <w:spacing w:val="27"/>
          <w:sz w:val="28"/>
          <w:szCs w:val="28"/>
        </w:rPr>
        <w:t xml:space="preserve">   </w:t>
      </w:r>
      <w:r>
        <w:rPr>
          <w:rFonts w:ascii="黑体" w:hAnsi="黑体" w:eastAsia="黑体" w:cs="黑体"/>
          <w:spacing w:val="-2"/>
          <w:sz w:val="28"/>
          <w:szCs w:val="28"/>
        </w:rPr>
        <w:t>通信工程规划</w:t>
      </w:r>
    </w:p>
    <w:p w14:paraId="2BD1C4B3">
      <w:pPr>
        <w:spacing w:line="439" w:lineRule="auto"/>
        <w:rPr>
          <w:rFonts w:ascii="Arial"/>
          <w:sz w:val="21"/>
        </w:rPr>
      </w:pPr>
    </w:p>
    <w:p w14:paraId="1AAAE919">
      <w:pPr>
        <w:spacing w:before="78" w:line="219" w:lineRule="auto"/>
        <w:ind w:left="486"/>
        <w:rPr>
          <w:rFonts w:ascii="黑体" w:hAnsi="黑体" w:eastAsia="黑体" w:cs="黑体"/>
          <w:sz w:val="24"/>
          <w:szCs w:val="24"/>
        </w:rPr>
      </w:pPr>
      <w:r>
        <w:rPr>
          <w:rFonts w:ascii="黑体" w:hAnsi="黑体" w:eastAsia="黑体" w:cs="黑体"/>
          <w:spacing w:val="-2"/>
          <w:sz w:val="24"/>
          <w:szCs w:val="24"/>
        </w:rPr>
        <w:t>一、市话用户预测</w:t>
      </w:r>
    </w:p>
    <w:p w14:paraId="48ED6BF1">
      <w:pPr>
        <w:spacing w:line="382" w:lineRule="auto"/>
        <w:rPr>
          <w:rFonts w:ascii="Arial"/>
          <w:sz w:val="21"/>
        </w:rPr>
      </w:pPr>
    </w:p>
    <w:p w14:paraId="3ECFE67B">
      <w:pPr>
        <w:pStyle w:val="2"/>
        <w:spacing w:before="79" w:line="377" w:lineRule="auto"/>
        <w:ind w:left="7" w:right="68" w:firstLine="476"/>
      </w:pPr>
      <w:r>
        <w:t>至</w:t>
      </w:r>
      <w:r>
        <w:rPr>
          <w:spacing w:val="-36"/>
        </w:rPr>
        <w:t xml:space="preserve"> </w:t>
      </w:r>
      <w:r>
        <w:t>2035</w:t>
      </w:r>
      <w:r>
        <w:rPr>
          <w:spacing w:val="-49"/>
        </w:rPr>
        <w:t xml:space="preserve"> </w:t>
      </w:r>
      <w:r>
        <w:t>年，预测盐边钒钛产业开发区总装机部数约</w:t>
      </w:r>
      <w:r>
        <w:rPr>
          <w:rFonts w:ascii="Calibri" w:hAnsi="Calibri" w:eastAsia="Calibri" w:cs="Calibri"/>
        </w:rPr>
        <w:t>8.1</w:t>
      </w:r>
      <w:r>
        <w:rPr>
          <w:rFonts w:ascii="Calibri" w:hAnsi="Calibri" w:eastAsia="Calibri" w:cs="Calibri"/>
          <w:spacing w:val="21"/>
          <w:w w:val="101"/>
        </w:rPr>
        <w:t xml:space="preserve"> </w:t>
      </w:r>
      <w:r>
        <w:t>万部，其中安宁片区</w:t>
      </w:r>
      <w:r>
        <w:rPr>
          <w:rFonts w:ascii="Calibri" w:hAnsi="Calibri" w:eastAsia="Calibri" w:cs="Calibri"/>
        </w:rPr>
        <w:t>4.1</w:t>
      </w:r>
      <w:r>
        <w:rPr>
          <w:rFonts w:ascii="Calibri" w:hAnsi="Calibri" w:eastAsia="Calibri" w:cs="Calibri"/>
          <w:spacing w:val="21"/>
          <w:w w:val="101"/>
        </w:rPr>
        <w:t xml:space="preserve"> </w:t>
      </w:r>
      <w:r>
        <w:t>万部，新九</w:t>
      </w:r>
      <w:r>
        <w:rPr>
          <w:spacing w:val="-5"/>
        </w:rPr>
        <w:t>片区</w:t>
      </w:r>
      <w:r>
        <w:rPr>
          <w:spacing w:val="-51"/>
        </w:rPr>
        <w:t xml:space="preserve"> </w:t>
      </w:r>
      <w:r>
        <w:rPr>
          <w:rFonts w:ascii="Calibri" w:hAnsi="Calibri" w:eastAsia="Calibri" w:cs="Calibri"/>
          <w:spacing w:val="-5"/>
        </w:rPr>
        <w:t>4.0</w:t>
      </w:r>
      <w:r>
        <w:rPr>
          <w:rFonts w:ascii="Calibri" w:hAnsi="Calibri" w:eastAsia="Calibri" w:cs="Calibri"/>
          <w:spacing w:val="21"/>
          <w:w w:val="101"/>
        </w:rPr>
        <w:t xml:space="preserve"> </w:t>
      </w:r>
      <w:r>
        <w:rPr>
          <w:spacing w:val="-5"/>
        </w:rPr>
        <w:t>万部。</w:t>
      </w:r>
    </w:p>
    <w:p w14:paraId="24336FD4">
      <w:pPr>
        <w:spacing w:before="260" w:line="220" w:lineRule="auto"/>
        <w:ind w:left="486"/>
        <w:rPr>
          <w:rFonts w:ascii="黑体" w:hAnsi="黑体" w:eastAsia="黑体" w:cs="黑体"/>
          <w:sz w:val="24"/>
          <w:szCs w:val="24"/>
        </w:rPr>
      </w:pPr>
      <w:r>
        <w:rPr>
          <w:rFonts w:ascii="黑体" w:hAnsi="黑体" w:eastAsia="黑体" w:cs="黑体"/>
          <w:spacing w:val="-2"/>
          <w:sz w:val="24"/>
          <w:szCs w:val="24"/>
        </w:rPr>
        <w:t>二、电信局所规划</w:t>
      </w:r>
    </w:p>
    <w:p w14:paraId="70083147">
      <w:pPr>
        <w:spacing w:line="380" w:lineRule="auto"/>
        <w:rPr>
          <w:rFonts w:ascii="Arial"/>
          <w:sz w:val="21"/>
        </w:rPr>
      </w:pPr>
    </w:p>
    <w:p w14:paraId="4F1CB111">
      <w:pPr>
        <w:pStyle w:val="2"/>
        <w:spacing w:before="79" w:line="378" w:lineRule="auto"/>
        <w:ind w:left="1" w:right="2" w:firstLine="479"/>
      </w:pPr>
      <w:r>
        <w:rPr>
          <w:spacing w:val="-2"/>
        </w:rPr>
        <w:t>在安宁片区中南部设电信分局一处，装机容量为 5 万门，在新</w:t>
      </w:r>
      <w:r>
        <w:rPr>
          <w:spacing w:val="-3"/>
        </w:rPr>
        <w:t>九片区中部设电信分局一处，</w:t>
      </w:r>
      <w:r>
        <w:rPr>
          <w:spacing w:val="-6"/>
        </w:rPr>
        <w:t>装机容量为</w:t>
      </w:r>
      <w:r>
        <w:rPr>
          <w:spacing w:val="-49"/>
        </w:rPr>
        <w:t xml:space="preserve"> </w:t>
      </w:r>
      <w:r>
        <w:rPr>
          <w:spacing w:val="-6"/>
        </w:rPr>
        <w:t>4</w:t>
      </w:r>
      <w:r>
        <w:rPr>
          <w:spacing w:val="-45"/>
        </w:rPr>
        <w:t xml:space="preserve"> </w:t>
      </w:r>
      <w:r>
        <w:rPr>
          <w:spacing w:val="-6"/>
        </w:rPr>
        <w:t>万门。</w:t>
      </w:r>
    </w:p>
    <w:p w14:paraId="277AE8EF">
      <w:pPr>
        <w:spacing w:before="254" w:line="219" w:lineRule="auto"/>
        <w:ind w:left="487"/>
        <w:rPr>
          <w:rFonts w:ascii="黑体" w:hAnsi="黑体" w:eastAsia="黑体" w:cs="黑体"/>
          <w:sz w:val="24"/>
          <w:szCs w:val="24"/>
        </w:rPr>
      </w:pPr>
      <w:r>
        <w:rPr>
          <w:rFonts w:ascii="黑体" w:hAnsi="黑体" w:eastAsia="黑体" w:cs="黑体"/>
          <w:spacing w:val="-2"/>
          <w:sz w:val="24"/>
          <w:szCs w:val="24"/>
        </w:rPr>
        <w:t>三、邮政规划</w:t>
      </w:r>
    </w:p>
    <w:p w14:paraId="77016FC0">
      <w:pPr>
        <w:spacing w:line="384" w:lineRule="auto"/>
        <w:rPr>
          <w:rFonts w:ascii="Arial"/>
          <w:sz w:val="21"/>
        </w:rPr>
      </w:pPr>
    </w:p>
    <w:p w14:paraId="23212200">
      <w:pPr>
        <w:pStyle w:val="2"/>
        <w:spacing w:before="79" w:line="220" w:lineRule="auto"/>
        <w:ind w:left="485"/>
      </w:pPr>
      <w:r>
        <w:rPr>
          <w:b/>
          <w:bCs/>
          <w:spacing w:val="-5"/>
          <w:u w:val="single" w:color="auto"/>
        </w:rPr>
        <w:t>规划在安宁片区设邮政支局</w:t>
      </w:r>
      <w:r>
        <w:rPr>
          <w:spacing w:val="-32"/>
          <w:u w:val="single" w:color="auto"/>
        </w:rPr>
        <w:t xml:space="preserve"> </w:t>
      </w:r>
      <w:r>
        <w:rPr>
          <w:b/>
          <w:bCs/>
          <w:spacing w:val="-5"/>
          <w:u w:val="single" w:color="auto"/>
        </w:rPr>
        <w:t>1</w:t>
      </w:r>
      <w:r>
        <w:rPr>
          <w:spacing w:val="-44"/>
          <w:u w:val="single" w:color="auto"/>
        </w:rPr>
        <w:t xml:space="preserve"> </w:t>
      </w:r>
      <w:r>
        <w:rPr>
          <w:b/>
          <w:bCs/>
          <w:spacing w:val="-5"/>
          <w:u w:val="single" w:color="auto"/>
        </w:rPr>
        <w:t>处，新九片区设邮政支局</w:t>
      </w:r>
      <w:r>
        <w:rPr>
          <w:spacing w:val="-31"/>
          <w:u w:val="single" w:color="auto"/>
        </w:rPr>
        <w:t xml:space="preserve"> </w:t>
      </w:r>
      <w:r>
        <w:rPr>
          <w:b/>
          <w:bCs/>
          <w:spacing w:val="-5"/>
          <w:u w:val="single" w:color="auto"/>
        </w:rPr>
        <w:t>1</w:t>
      </w:r>
      <w:r>
        <w:rPr>
          <w:spacing w:val="-44"/>
          <w:u w:val="single" w:color="auto"/>
        </w:rPr>
        <w:t xml:space="preserve"> </w:t>
      </w:r>
      <w:r>
        <w:rPr>
          <w:b/>
          <w:bCs/>
          <w:spacing w:val="-5"/>
          <w:u w:val="single" w:color="auto"/>
        </w:rPr>
        <w:t>处。</w:t>
      </w:r>
    </w:p>
    <w:p w14:paraId="145C46A8">
      <w:pPr>
        <w:spacing w:line="384" w:lineRule="auto"/>
        <w:rPr>
          <w:rFonts w:ascii="Arial"/>
          <w:sz w:val="21"/>
        </w:rPr>
      </w:pPr>
    </w:p>
    <w:p w14:paraId="53688BCC">
      <w:pPr>
        <w:spacing w:before="79" w:line="219" w:lineRule="auto"/>
        <w:ind w:left="496"/>
        <w:rPr>
          <w:rFonts w:ascii="黑体" w:hAnsi="黑体" w:eastAsia="黑体" w:cs="黑体"/>
          <w:sz w:val="24"/>
          <w:szCs w:val="24"/>
        </w:rPr>
      </w:pPr>
      <w:r>
        <w:rPr>
          <w:rFonts w:ascii="黑体" w:hAnsi="黑体" w:eastAsia="黑体" w:cs="黑体"/>
          <w:spacing w:val="-3"/>
          <w:sz w:val="24"/>
          <w:szCs w:val="24"/>
        </w:rPr>
        <w:t>四、移动通信规划</w:t>
      </w:r>
    </w:p>
    <w:p w14:paraId="7538973A">
      <w:pPr>
        <w:spacing w:line="381" w:lineRule="auto"/>
        <w:rPr>
          <w:rFonts w:ascii="Arial"/>
          <w:sz w:val="21"/>
        </w:rPr>
      </w:pPr>
    </w:p>
    <w:p w14:paraId="593C273E">
      <w:pPr>
        <w:pStyle w:val="2"/>
        <w:spacing w:before="78" w:line="219" w:lineRule="auto"/>
        <w:ind w:left="483"/>
      </w:pPr>
      <w:r>
        <w:rPr>
          <w:spacing w:val="-2"/>
        </w:rPr>
        <w:t>移动通信业务由就近的基站提供，按需布设移动基站。</w:t>
      </w:r>
    </w:p>
    <w:p w14:paraId="59445816">
      <w:pPr>
        <w:spacing w:line="385" w:lineRule="auto"/>
        <w:rPr>
          <w:rFonts w:ascii="Arial"/>
          <w:sz w:val="21"/>
        </w:rPr>
      </w:pPr>
    </w:p>
    <w:p w14:paraId="513DE2D0">
      <w:pPr>
        <w:spacing w:before="79" w:line="220" w:lineRule="auto"/>
        <w:ind w:left="488"/>
        <w:rPr>
          <w:rFonts w:ascii="黑体" w:hAnsi="黑体" w:eastAsia="黑体" w:cs="黑体"/>
          <w:sz w:val="24"/>
          <w:szCs w:val="24"/>
        </w:rPr>
      </w:pPr>
      <w:r>
        <w:rPr>
          <w:rFonts w:ascii="黑体" w:hAnsi="黑体" w:eastAsia="黑体" w:cs="黑体"/>
          <w:spacing w:val="-2"/>
          <w:sz w:val="24"/>
          <w:szCs w:val="24"/>
        </w:rPr>
        <w:t>五、广播电视规划</w:t>
      </w:r>
    </w:p>
    <w:p w14:paraId="57D67F12">
      <w:pPr>
        <w:spacing w:line="380" w:lineRule="auto"/>
        <w:rPr>
          <w:rFonts w:ascii="Arial"/>
          <w:sz w:val="21"/>
        </w:rPr>
      </w:pPr>
    </w:p>
    <w:p w14:paraId="3BC5C622">
      <w:pPr>
        <w:pStyle w:val="2"/>
        <w:spacing w:before="78" w:line="185" w:lineRule="auto"/>
        <w:ind w:left="484"/>
      </w:pPr>
      <w:r>
        <w:rPr>
          <w:spacing w:val="-1"/>
        </w:rPr>
        <w:t>依托盐边县广播电视网络，加强开发区广播电视网络建设，网络覆盖率达到</w:t>
      </w:r>
      <w:r>
        <w:rPr>
          <w:spacing w:val="-33"/>
        </w:rPr>
        <w:t xml:space="preserve"> </w:t>
      </w:r>
      <w:r>
        <w:rPr>
          <w:spacing w:val="-1"/>
        </w:rPr>
        <w:t>100%。</w:t>
      </w:r>
    </w:p>
    <w:p w14:paraId="3579B59D">
      <w:pPr>
        <w:spacing w:line="185" w:lineRule="auto"/>
        <w:sectPr>
          <w:type w:val="continuous"/>
          <w:pgSz w:w="23811" w:h="16839"/>
          <w:pgMar w:top="1274" w:right="1367" w:bottom="1613" w:left="1411" w:header="838" w:footer="1385" w:gutter="0"/>
          <w:cols w:equalWidth="0" w:num="2">
            <w:col w:w="10824" w:space="100"/>
            <w:col w:w="10109"/>
          </w:cols>
        </w:sectPr>
      </w:pPr>
    </w:p>
    <w:p w14:paraId="1728BA80">
      <w:pPr>
        <w:spacing w:line="32" w:lineRule="exact"/>
      </w:pPr>
    </w:p>
    <w:p w14:paraId="045F733D">
      <w:pPr>
        <w:spacing w:line="32" w:lineRule="exact"/>
        <w:sectPr>
          <w:headerReference r:id="rId35" w:type="default"/>
          <w:footerReference r:id="rId36" w:type="default"/>
          <w:pgSz w:w="23811" w:h="16839"/>
          <w:pgMar w:top="1274" w:right="1409" w:bottom="1613" w:left="1411" w:header="838" w:footer="1386" w:gutter="0"/>
          <w:cols w:equalWidth="0" w:num="1">
            <w:col w:w="20990"/>
          </w:cols>
        </w:sectPr>
      </w:pPr>
    </w:p>
    <w:p w14:paraId="7290C07E">
      <w:pPr>
        <w:spacing w:before="55" w:line="220" w:lineRule="auto"/>
        <w:ind w:left="525"/>
        <w:rPr>
          <w:rFonts w:ascii="黑体" w:hAnsi="黑体" w:eastAsia="黑体" w:cs="黑体"/>
          <w:sz w:val="24"/>
          <w:szCs w:val="24"/>
        </w:rPr>
      </w:pPr>
      <w:r>
        <w:rPr>
          <w:rFonts w:ascii="黑体" w:hAnsi="黑体" w:eastAsia="黑体" w:cs="黑体"/>
          <w:spacing w:val="-2"/>
          <w:sz w:val="24"/>
          <w:szCs w:val="24"/>
        </w:rPr>
        <w:t>六、通信管道规划</w:t>
      </w:r>
    </w:p>
    <w:p w14:paraId="76DEAFD9">
      <w:pPr>
        <w:spacing w:line="380" w:lineRule="auto"/>
        <w:rPr>
          <w:rFonts w:ascii="Arial"/>
          <w:sz w:val="21"/>
        </w:rPr>
      </w:pPr>
    </w:p>
    <w:p w14:paraId="28745518">
      <w:pPr>
        <w:pStyle w:val="2"/>
        <w:spacing w:before="78" w:line="378" w:lineRule="auto"/>
        <w:ind w:left="37" w:right="754" w:firstLine="481"/>
        <w:jc w:val="both"/>
      </w:pPr>
      <w:r>
        <w:rPr>
          <w:spacing w:val="-1"/>
        </w:rPr>
        <w:t>规划通信管道由电信局出线后沿规划道路采用地下管道电缆方式敷设，引至电信交</w:t>
      </w:r>
      <w:r>
        <w:rPr>
          <w:spacing w:val="-2"/>
        </w:rPr>
        <w:t>接箱，再</w:t>
      </w:r>
      <w:r>
        <w:rPr>
          <w:spacing w:val="-3"/>
        </w:rPr>
        <w:t>由交接箱向各用户配线。电信局管道管孔数</w:t>
      </w:r>
      <w:r>
        <w:rPr>
          <w:spacing w:val="-4"/>
        </w:rPr>
        <w:t>为设备容量的</w:t>
      </w:r>
      <w:r>
        <w:rPr>
          <w:spacing w:val="-33"/>
        </w:rPr>
        <w:t xml:space="preserve"> </w:t>
      </w:r>
      <w:r>
        <w:rPr>
          <w:spacing w:val="-4"/>
        </w:rPr>
        <w:t>1.5</w:t>
      </w:r>
      <w:r>
        <w:rPr>
          <w:spacing w:val="-50"/>
        </w:rPr>
        <w:t xml:space="preserve"> </w:t>
      </w:r>
      <w:r>
        <w:rPr>
          <w:spacing w:val="-4"/>
        </w:rPr>
        <w:t>倍，出局管孔数按每孔</w:t>
      </w:r>
      <w:r>
        <w:rPr>
          <w:spacing w:val="-33"/>
        </w:rPr>
        <w:t xml:space="preserve"> </w:t>
      </w:r>
      <w:r>
        <w:rPr>
          <w:spacing w:val="-4"/>
        </w:rPr>
        <w:t>1200－1800</w:t>
      </w:r>
      <w:r>
        <w:rPr>
          <w:spacing w:val="-10"/>
        </w:rPr>
        <w:t>对线，主干线管孔按每孔</w:t>
      </w:r>
      <w:r>
        <w:rPr>
          <w:spacing w:val="-33"/>
        </w:rPr>
        <w:t xml:space="preserve"> </w:t>
      </w:r>
      <w:r>
        <w:rPr>
          <w:spacing w:val="-10"/>
        </w:rPr>
        <w:t>1200</w:t>
      </w:r>
      <w:r>
        <w:rPr>
          <w:spacing w:val="-51"/>
        </w:rPr>
        <w:t xml:space="preserve"> </w:t>
      </w:r>
      <w:r>
        <w:rPr>
          <w:spacing w:val="-10"/>
        </w:rPr>
        <w:t>对线。远期</w:t>
      </w:r>
      <w:r>
        <w:rPr>
          <w:spacing w:val="-11"/>
        </w:rPr>
        <w:t>电信网、有线电视网、计算机通信网实现“三网合一”。</w:t>
      </w:r>
    </w:p>
    <w:p w14:paraId="051B76AB">
      <w:pPr>
        <w:spacing w:before="183" w:line="218" w:lineRule="auto"/>
        <w:ind w:left="250"/>
        <w:rPr>
          <w:rFonts w:ascii="黑体" w:hAnsi="黑体" w:eastAsia="黑体" w:cs="黑体"/>
          <w:sz w:val="28"/>
          <w:szCs w:val="28"/>
        </w:rPr>
      </w:pPr>
      <w:r>
        <w:rPr>
          <w:rFonts w:ascii="黑体" w:hAnsi="黑体" w:eastAsia="黑体" w:cs="黑体"/>
          <w:spacing w:val="-2"/>
          <w:sz w:val="28"/>
          <w:szCs w:val="28"/>
        </w:rPr>
        <w:t>第三十六条</w:t>
      </w:r>
      <w:r>
        <w:rPr>
          <w:rFonts w:ascii="黑体" w:hAnsi="黑体" w:eastAsia="黑体" w:cs="黑体"/>
          <w:spacing w:val="27"/>
          <w:sz w:val="28"/>
          <w:szCs w:val="28"/>
        </w:rPr>
        <w:t xml:space="preserve">   </w:t>
      </w:r>
      <w:r>
        <w:rPr>
          <w:rFonts w:ascii="黑体" w:hAnsi="黑体" w:eastAsia="黑体" w:cs="黑体"/>
          <w:spacing w:val="-2"/>
          <w:sz w:val="28"/>
          <w:szCs w:val="28"/>
        </w:rPr>
        <w:t>燃气工程规划</w:t>
      </w:r>
    </w:p>
    <w:p w14:paraId="64CFF31B">
      <w:pPr>
        <w:spacing w:line="442" w:lineRule="auto"/>
        <w:rPr>
          <w:rFonts w:ascii="Arial"/>
          <w:sz w:val="21"/>
        </w:rPr>
      </w:pPr>
    </w:p>
    <w:p w14:paraId="1F25EA6C">
      <w:pPr>
        <w:spacing w:before="78" w:line="219" w:lineRule="auto"/>
        <w:ind w:left="522"/>
        <w:rPr>
          <w:rFonts w:ascii="黑体" w:hAnsi="黑体" w:eastAsia="黑体" w:cs="黑体"/>
          <w:sz w:val="24"/>
          <w:szCs w:val="24"/>
        </w:rPr>
      </w:pPr>
      <w:r>
        <w:rPr>
          <w:rFonts w:ascii="黑体" w:hAnsi="黑体" w:eastAsia="黑体" w:cs="黑体"/>
          <w:spacing w:val="-2"/>
          <w:sz w:val="24"/>
          <w:szCs w:val="24"/>
        </w:rPr>
        <w:t>一、用气量预测</w:t>
      </w:r>
    </w:p>
    <w:p w14:paraId="012CADEB">
      <w:pPr>
        <w:spacing w:line="384" w:lineRule="auto"/>
        <w:rPr>
          <w:rFonts w:ascii="Arial"/>
          <w:sz w:val="21"/>
        </w:rPr>
      </w:pPr>
    </w:p>
    <w:p w14:paraId="018624A7">
      <w:pPr>
        <w:pStyle w:val="2"/>
        <w:spacing w:before="78" w:line="233" w:lineRule="auto"/>
        <w:ind w:left="520"/>
      </w:pPr>
      <w:r>
        <w:rPr>
          <w:spacing w:val="-2"/>
        </w:rPr>
        <w:t>至</w:t>
      </w:r>
      <w:r>
        <w:rPr>
          <w:spacing w:val="-42"/>
        </w:rPr>
        <w:t xml:space="preserve"> </w:t>
      </w:r>
      <w:r>
        <w:rPr>
          <w:spacing w:val="-2"/>
        </w:rPr>
        <w:t>2035</w:t>
      </w:r>
      <w:r>
        <w:rPr>
          <w:spacing w:val="-50"/>
        </w:rPr>
        <w:t xml:space="preserve"> </w:t>
      </w:r>
      <w:r>
        <w:rPr>
          <w:spacing w:val="-2"/>
        </w:rPr>
        <w:t>年，预测盐边钒钛产业开发区用气量为</w:t>
      </w:r>
      <w:r>
        <w:rPr>
          <w:spacing w:val="-48"/>
        </w:rPr>
        <w:t xml:space="preserve"> </w:t>
      </w:r>
      <w:r>
        <w:rPr>
          <w:rFonts w:ascii="Calibri" w:hAnsi="Calibri" w:eastAsia="Calibri" w:cs="Calibri"/>
          <w:spacing w:val="-2"/>
        </w:rPr>
        <w:t>7000</w:t>
      </w:r>
      <w:r>
        <w:rPr>
          <w:rFonts w:ascii="Calibri" w:hAnsi="Calibri" w:eastAsia="Calibri" w:cs="Calibri"/>
          <w:spacing w:val="22"/>
        </w:rPr>
        <w:t xml:space="preserve"> </w:t>
      </w:r>
      <w:r>
        <w:rPr>
          <w:spacing w:val="-2"/>
        </w:rPr>
        <w:t>万立方米</w:t>
      </w:r>
      <w:r>
        <w:rPr>
          <w:rFonts w:ascii="Calibri" w:hAnsi="Calibri" w:eastAsia="Calibri" w:cs="Calibri"/>
          <w:spacing w:val="-2"/>
        </w:rPr>
        <w:t>/</w:t>
      </w:r>
      <w:r>
        <w:rPr>
          <w:spacing w:val="-2"/>
        </w:rPr>
        <w:t>年。</w:t>
      </w:r>
    </w:p>
    <w:p w14:paraId="58971E95">
      <w:pPr>
        <w:spacing w:line="365" w:lineRule="auto"/>
        <w:rPr>
          <w:rFonts w:ascii="Arial"/>
          <w:sz w:val="21"/>
        </w:rPr>
      </w:pPr>
    </w:p>
    <w:p w14:paraId="15FA87D8">
      <w:pPr>
        <w:spacing w:before="79" w:line="218" w:lineRule="auto"/>
        <w:ind w:left="522"/>
        <w:rPr>
          <w:rFonts w:ascii="黑体" w:hAnsi="黑体" w:eastAsia="黑体" w:cs="黑体"/>
          <w:sz w:val="24"/>
          <w:szCs w:val="24"/>
        </w:rPr>
      </w:pPr>
      <w:r>
        <w:rPr>
          <w:rFonts w:ascii="黑体" w:hAnsi="黑体" w:eastAsia="黑体" w:cs="黑体"/>
          <w:spacing w:val="-3"/>
          <w:sz w:val="24"/>
          <w:szCs w:val="24"/>
        </w:rPr>
        <w:t>二、气源规划</w:t>
      </w:r>
    </w:p>
    <w:p w14:paraId="5E8B2221">
      <w:pPr>
        <w:spacing w:line="367" w:lineRule="auto"/>
        <w:rPr>
          <w:rFonts w:ascii="Arial"/>
          <w:sz w:val="21"/>
        </w:rPr>
      </w:pPr>
    </w:p>
    <w:p w14:paraId="0A20AC2F">
      <w:pPr>
        <w:pStyle w:val="2"/>
        <w:spacing w:before="78" w:line="376" w:lineRule="auto"/>
        <w:ind w:left="39" w:right="756" w:firstLine="480"/>
      </w:pPr>
      <w:r>
        <w:rPr>
          <w:spacing w:val="-1"/>
        </w:rPr>
        <w:t>盐边县管道气源来自攀枝花</w:t>
      </w:r>
      <w:r>
        <w:rPr>
          <w:rFonts w:hint="eastAsia"/>
          <w:spacing w:val="-1"/>
          <w:lang w:eastAsia="zh-CN"/>
        </w:rPr>
        <w:t>－</w:t>
      </w:r>
      <w:r>
        <w:rPr>
          <w:spacing w:val="-1"/>
        </w:rPr>
        <w:t>凉山天然气管道，管道设计压力 6.3MPa，设计输量 14×10</w:t>
      </w:r>
      <w:r>
        <w:rPr>
          <w:spacing w:val="-1"/>
          <w:position w:val="11"/>
          <w:sz w:val="12"/>
          <w:szCs w:val="12"/>
        </w:rPr>
        <w:t xml:space="preserve">8 </w:t>
      </w:r>
      <w:r>
        <w:rPr>
          <w:spacing w:val="-1"/>
        </w:rPr>
        <w:t>立</w:t>
      </w:r>
      <w:r>
        <w:rPr>
          <w:spacing w:val="-3"/>
        </w:rPr>
        <w:t>方米/年。</w:t>
      </w:r>
    </w:p>
    <w:p w14:paraId="0B1160FB">
      <w:pPr>
        <w:pStyle w:val="2"/>
        <w:spacing w:before="2" w:line="377" w:lineRule="auto"/>
        <w:ind w:left="39" w:right="754" w:firstLine="486"/>
      </w:pPr>
      <w:r>
        <w:rPr>
          <w:b/>
          <w:bCs/>
          <w:spacing w:val="-5"/>
          <w:u w:val="single" w:color="auto"/>
        </w:rPr>
        <w:t>安宁片区内气源由安宁配气站接入，安宁配气站设计规模</w:t>
      </w:r>
      <w:r>
        <w:rPr>
          <w:spacing w:val="-44"/>
          <w:u w:val="single" w:color="auto"/>
        </w:rPr>
        <w:t xml:space="preserve"> </w:t>
      </w:r>
      <w:r>
        <w:rPr>
          <w:b/>
          <w:bCs/>
          <w:spacing w:val="-5"/>
          <w:u w:val="single" w:color="auto"/>
        </w:rPr>
        <w:t>31×10</w:t>
      </w:r>
      <w:r>
        <w:rPr>
          <w:b/>
          <w:bCs/>
          <w:spacing w:val="-5"/>
          <w:position w:val="12"/>
          <w:sz w:val="12"/>
          <w:szCs w:val="12"/>
          <w:u w:val="single" w:color="auto"/>
        </w:rPr>
        <w:t>4</w:t>
      </w:r>
      <w:r>
        <w:rPr>
          <w:spacing w:val="-19"/>
          <w:position w:val="12"/>
          <w:sz w:val="12"/>
          <w:szCs w:val="12"/>
          <w:u w:val="single" w:color="auto"/>
        </w:rPr>
        <w:t xml:space="preserve"> </w:t>
      </w:r>
      <w:r>
        <w:rPr>
          <w:b/>
          <w:bCs/>
          <w:spacing w:val="-5"/>
          <w:u w:val="single" w:color="auto"/>
        </w:rPr>
        <w:t>立方米/天；新九工矿区由</w:t>
      </w:r>
      <w:r>
        <w:rPr>
          <w:b/>
          <w:bCs/>
          <w:spacing w:val="-2"/>
          <w:u w:val="single" w:color="auto"/>
        </w:rPr>
        <w:t>新九配气站接入，新九配气站设计规模</w:t>
      </w:r>
      <w:r>
        <w:rPr>
          <w:spacing w:val="-33"/>
          <w:u w:val="single" w:color="auto"/>
        </w:rPr>
        <w:t xml:space="preserve"> </w:t>
      </w:r>
      <w:r>
        <w:rPr>
          <w:b/>
          <w:bCs/>
          <w:spacing w:val="-2"/>
          <w:u w:val="single" w:color="auto"/>
        </w:rPr>
        <w:t>18×10</w:t>
      </w:r>
      <w:r>
        <w:rPr>
          <w:b/>
          <w:bCs/>
          <w:spacing w:val="-2"/>
          <w:position w:val="12"/>
          <w:sz w:val="12"/>
          <w:szCs w:val="12"/>
          <w:u w:val="single" w:color="auto"/>
        </w:rPr>
        <w:t>4</w:t>
      </w:r>
      <w:r>
        <w:rPr>
          <w:spacing w:val="-17"/>
          <w:position w:val="12"/>
          <w:sz w:val="12"/>
          <w:szCs w:val="12"/>
          <w:u w:val="single" w:color="auto"/>
        </w:rPr>
        <w:t xml:space="preserve"> </w:t>
      </w:r>
      <w:r>
        <w:rPr>
          <w:b/>
          <w:bCs/>
          <w:spacing w:val="-2"/>
          <w:u w:val="single" w:color="auto"/>
        </w:rPr>
        <w:t>立</w:t>
      </w:r>
      <w:r>
        <w:rPr>
          <w:b/>
          <w:bCs/>
          <w:spacing w:val="-3"/>
          <w:u w:val="single" w:color="auto"/>
        </w:rPr>
        <w:t>方米/天。</w:t>
      </w:r>
    </w:p>
    <w:p w14:paraId="4D33F3D7">
      <w:pPr>
        <w:spacing w:before="276" w:line="218" w:lineRule="auto"/>
        <w:ind w:left="522"/>
        <w:rPr>
          <w:rFonts w:ascii="黑体" w:hAnsi="黑体" w:eastAsia="黑体" w:cs="黑体"/>
          <w:sz w:val="24"/>
          <w:szCs w:val="24"/>
        </w:rPr>
      </w:pPr>
      <w:r>
        <w:rPr>
          <w:rFonts w:ascii="黑体" w:hAnsi="黑体" w:eastAsia="黑体" w:cs="黑体"/>
          <w:spacing w:val="-2"/>
          <w:sz w:val="24"/>
          <w:szCs w:val="24"/>
        </w:rPr>
        <w:t>三、天然气输配系统规划</w:t>
      </w:r>
    </w:p>
    <w:p w14:paraId="11BAAC34">
      <w:pPr>
        <w:spacing w:line="381" w:lineRule="auto"/>
        <w:rPr>
          <w:rFonts w:ascii="Arial"/>
          <w:sz w:val="21"/>
        </w:rPr>
      </w:pPr>
    </w:p>
    <w:p w14:paraId="2355BFEF">
      <w:pPr>
        <w:pStyle w:val="2"/>
        <w:spacing w:before="79" w:line="220" w:lineRule="auto"/>
        <w:ind w:left="478"/>
      </w:pPr>
      <w:r>
        <w:rPr>
          <w:spacing w:val="-7"/>
        </w:rPr>
        <w:t>1.</w:t>
      </w:r>
      <w:r>
        <w:rPr>
          <w:spacing w:val="74"/>
        </w:rPr>
        <w:t xml:space="preserve"> </w:t>
      </w:r>
      <w:r>
        <w:rPr>
          <w:spacing w:val="-7"/>
        </w:rPr>
        <w:t>压力级制</w:t>
      </w:r>
    </w:p>
    <w:p w14:paraId="2D3DB849">
      <w:pPr>
        <w:pStyle w:val="2"/>
        <w:spacing w:before="204" w:line="376" w:lineRule="auto"/>
        <w:ind w:left="39" w:right="756" w:firstLine="480"/>
      </w:pPr>
      <w:r>
        <w:rPr>
          <w:spacing w:val="-3"/>
        </w:rPr>
        <w:t>盐边钒钛产业开发区输气管线设计压力</w:t>
      </w:r>
      <w:r>
        <w:rPr>
          <w:spacing w:val="-33"/>
        </w:rPr>
        <w:t xml:space="preserve"> </w:t>
      </w:r>
      <w:r>
        <w:rPr>
          <w:spacing w:val="-3"/>
        </w:rPr>
        <w:t>1.6MPa，盐边钒钛产业开发区规划配气</w:t>
      </w:r>
      <w:r>
        <w:rPr>
          <w:spacing w:val="-4"/>
        </w:rPr>
        <w:t>管网采用次中</w:t>
      </w:r>
      <w:r>
        <w:rPr>
          <w:spacing w:val="-3"/>
        </w:rPr>
        <w:t>压</w:t>
      </w:r>
      <w:r>
        <w:rPr>
          <w:spacing w:val="-57"/>
        </w:rPr>
        <w:t xml:space="preserve"> </w:t>
      </w:r>
      <w:r>
        <w:rPr>
          <w:spacing w:val="-3"/>
        </w:rPr>
        <w:t>A</w:t>
      </w:r>
      <w:r>
        <w:rPr>
          <w:spacing w:val="-47"/>
        </w:rPr>
        <w:t xml:space="preserve"> </w:t>
      </w:r>
      <w:r>
        <w:rPr>
          <w:spacing w:val="-3"/>
        </w:rPr>
        <w:t>级配气系统，设计压力为</w:t>
      </w:r>
      <w:r>
        <w:rPr>
          <w:spacing w:val="-48"/>
        </w:rPr>
        <w:t xml:space="preserve"> </w:t>
      </w:r>
      <w:r>
        <w:rPr>
          <w:spacing w:val="-3"/>
        </w:rPr>
        <w:t>0.4</w:t>
      </w:r>
      <w:r>
        <w:rPr>
          <w:spacing w:val="-50"/>
        </w:rPr>
        <w:t xml:space="preserve"> </w:t>
      </w:r>
      <w:r>
        <w:rPr>
          <w:spacing w:val="-3"/>
        </w:rPr>
        <w:t>兆帕，运行压力为</w:t>
      </w:r>
      <w:r>
        <w:rPr>
          <w:spacing w:val="-49"/>
        </w:rPr>
        <w:t xml:space="preserve"> </w:t>
      </w:r>
      <w:r>
        <w:rPr>
          <w:spacing w:val="-3"/>
        </w:rPr>
        <w:t>0.4</w:t>
      </w:r>
      <w:r>
        <w:rPr>
          <w:spacing w:val="-50"/>
        </w:rPr>
        <w:t xml:space="preserve"> </w:t>
      </w:r>
      <w:r>
        <w:rPr>
          <w:spacing w:val="-3"/>
        </w:rPr>
        <w:t>兆帕。</w:t>
      </w:r>
    </w:p>
    <w:p w14:paraId="3502302C">
      <w:pPr>
        <w:pStyle w:val="2"/>
        <w:spacing w:before="1" w:line="220" w:lineRule="auto"/>
        <w:ind w:left="463"/>
      </w:pPr>
      <w:r>
        <w:rPr>
          <w:spacing w:val="-4"/>
        </w:rPr>
        <w:t>2.</w:t>
      </w:r>
      <w:r>
        <w:rPr>
          <w:spacing w:val="75"/>
        </w:rPr>
        <w:t xml:space="preserve"> </w:t>
      </w:r>
      <w:r>
        <w:rPr>
          <w:spacing w:val="-4"/>
        </w:rPr>
        <w:t>配气站规划</w:t>
      </w:r>
    </w:p>
    <w:p w14:paraId="04D1001E">
      <w:pPr>
        <w:pStyle w:val="2"/>
        <w:spacing w:before="203" w:line="378" w:lineRule="auto"/>
        <w:ind w:left="56" w:right="756" w:firstLine="462"/>
        <w:jc w:val="both"/>
      </w:pPr>
      <w:r>
        <w:rPr>
          <w:b/>
          <w:bCs/>
          <w:spacing w:val="-3"/>
          <w:u w:val="single" w:color="auto"/>
        </w:rPr>
        <w:t>在安宁片区东南侧新建一座天然气配气站，规模为</w:t>
      </w:r>
      <w:r>
        <w:rPr>
          <w:spacing w:val="-32"/>
          <w:u w:val="single" w:color="auto"/>
        </w:rPr>
        <w:t xml:space="preserve"> </w:t>
      </w:r>
      <w:r>
        <w:rPr>
          <w:b/>
          <w:bCs/>
          <w:spacing w:val="-3"/>
          <w:u w:val="single" w:color="auto"/>
        </w:rPr>
        <w:t>31</w:t>
      </w:r>
      <w:r>
        <w:rPr>
          <w:spacing w:val="-33"/>
          <w:u w:val="single" w:color="auto"/>
        </w:rPr>
        <w:t xml:space="preserve"> </w:t>
      </w:r>
      <w:r>
        <w:rPr>
          <w:b/>
          <w:bCs/>
          <w:spacing w:val="-3"/>
          <w:u w:val="single" w:color="auto"/>
        </w:rPr>
        <w:t>万标准</w:t>
      </w:r>
      <w:r>
        <w:rPr>
          <w:b/>
          <w:bCs/>
          <w:spacing w:val="-4"/>
          <w:u w:val="single" w:color="auto"/>
        </w:rPr>
        <w:t>立方米/日，占地面积</w:t>
      </w:r>
      <w:r>
        <w:rPr>
          <w:spacing w:val="-36"/>
          <w:u w:val="single" w:color="auto"/>
        </w:rPr>
        <w:t xml:space="preserve"> </w:t>
      </w:r>
      <w:r>
        <w:rPr>
          <w:b/>
          <w:bCs/>
          <w:spacing w:val="-4"/>
          <w:u w:val="single" w:color="auto"/>
        </w:rPr>
        <w:t>0.44</w:t>
      </w:r>
      <w:r>
        <w:rPr>
          <w:spacing w:val="-31"/>
          <w:u w:val="single" w:color="auto"/>
        </w:rPr>
        <w:t xml:space="preserve"> </w:t>
      </w:r>
      <w:r>
        <w:rPr>
          <w:b/>
          <w:bCs/>
          <w:spacing w:val="-4"/>
          <w:u w:val="single" w:color="auto"/>
        </w:rPr>
        <w:t>公</w:t>
      </w:r>
      <w:r>
        <w:rPr>
          <w:b/>
          <w:bCs/>
          <w:spacing w:val="-2"/>
          <w:u w:val="single" w:color="auto"/>
        </w:rPr>
        <w:t>顷</w:t>
      </w:r>
      <w:r>
        <w:rPr>
          <w:spacing w:val="-2"/>
        </w:rPr>
        <w:t>；在规范范围外</w:t>
      </w:r>
      <w:r>
        <w:rPr>
          <w:rFonts w:hint="eastAsia"/>
          <w:spacing w:val="-2"/>
          <w:lang w:eastAsia="zh-CN"/>
        </w:rPr>
        <w:t>，在</w:t>
      </w:r>
      <w:r>
        <w:rPr>
          <w:spacing w:val="-2"/>
        </w:rPr>
        <w:t>新九镇（原新九乡）北侧</w:t>
      </w:r>
      <w:r>
        <w:rPr>
          <w:spacing w:val="-3"/>
        </w:rPr>
        <w:t>新建一座天然气配气站，规模为</w:t>
      </w:r>
      <w:r>
        <w:rPr>
          <w:spacing w:val="-33"/>
        </w:rPr>
        <w:t xml:space="preserve"> </w:t>
      </w:r>
      <w:r>
        <w:rPr>
          <w:spacing w:val="-3"/>
        </w:rPr>
        <w:t>18</w:t>
      </w:r>
      <w:r>
        <w:rPr>
          <w:spacing w:val="-45"/>
        </w:rPr>
        <w:t xml:space="preserve"> </w:t>
      </w:r>
      <w:r>
        <w:rPr>
          <w:spacing w:val="-3"/>
        </w:rPr>
        <w:t>万标准立方米/</w:t>
      </w:r>
      <w:r>
        <w:rPr>
          <w:spacing w:val="-4"/>
        </w:rPr>
        <w:t>日，占地面积</w:t>
      </w:r>
      <w:r>
        <w:rPr>
          <w:spacing w:val="-49"/>
        </w:rPr>
        <w:t xml:space="preserve"> </w:t>
      </w:r>
      <w:r>
        <w:rPr>
          <w:spacing w:val="-4"/>
        </w:rPr>
        <w:t>0.25</w:t>
      </w:r>
      <w:r>
        <w:rPr>
          <w:spacing w:val="-44"/>
        </w:rPr>
        <w:t xml:space="preserve"> </w:t>
      </w:r>
      <w:r>
        <w:rPr>
          <w:spacing w:val="-4"/>
        </w:rPr>
        <w:t>公顷</w:t>
      </w:r>
    </w:p>
    <w:p w14:paraId="0A5DA9A3">
      <w:pPr>
        <w:spacing w:line="399" w:lineRule="auto"/>
        <w:rPr>
          <w:rFonts w:ascii="Arial"/>
          <w:sz w:val="21"/>
        </w:rPr>
      </w:pPr>
    </w:p>
    <w:p w14:paraId="060670B1">
      <w:pPr>
        <w:pStyle w:val="2"/>
        <w:spacing w:before="79" w:line="220" w:lineRule="auto"/>
        <w:ind w:left="465"/>
      </w:pPr>
      <w:r>
        <w:rPr>
          <w:spacing w:val="-5"/>
        </w:rPr>
        <w:t>3.</w:t>
      </w:r>
      <w:r>
        <w:rPr>
          <w:spacing w:val="78"/>
        </w:rPr>
        <w:t xml:space="preserve"> </w:t>
      </w:r>
      <w:r>
        <w:rPr>
          <w:spacing w:val="-5"/>
        </w:rPr>
        <w:t>管网规划</w:t>
      </w:r>
    </w:p>
    <w:p w14:paraId="5E475383">
      <w:pPr>
        <w:pStyle w:val="2"/>
        <w:spacing w:before="204" w:line="281" w:lineRule="auto"/>
        <w:ind w:left="37" w:right="754" w:firstLine="481"/>
      </w:pPr>
      <w:r>
        <w:rPr>
          <w:spacing w:val="-1"/>
        </w:rPr>
        <w:t>开发区配气管网采用次中压</w:t>
      </w:r>
      <w:r>
        <w:rPr>
          <w:spacing w:val="-58"/>
        </w:rPr>
        <w:t xml:space="preserve"> </w:t>
      </w:r>
      <w:r>
        <w:rPr>
          <w:spacing w:val="-1"/>
        </w:rPr>
        <w:t>A</w:t>
      </w:r>
      <w:r>
        <w:rPr>
          <w:spacing w:val="-47"/>
        </w:rPr>
        <w:t xml:space="preserve"> </w:t>
      </w:r>
      <w:r>
        <w:rPr>
          <w:spacing w:val="-1"/>
        </w:rPr>
        <w:t>级配气系统，工</w:t>
      </w:r>
      <w:r>
        <w:rPr>
          <w:spacing w:val="-2"/>
        </w:rPr>
        <w:t>业用户自设专业调压设施。天然气配气管网由</w:t>
      </w:r>
      <w:r>
        <w:rPr>
          <w:spacing w:val="-1"/>
        </w:rPr>
        <w:t>储配站接出沿规划道路敷设，形成环枝结合的网络。</w:t>
      </w:r>
    </w:p>
    <w:p w14:paraId="501A9733">
      <w:pPr>
        <w:spacing w:line="14" w:lineRule="auto"/>
        <w:rPr>
          <w:rFonts w:ascii="Arial"/>
          <w:sz w:val="2"/>
        </w:rPr>
      </w:pPr>
      <w:r>
        <w:rPr>
          <w:rFonts w:ascii="Arial" w:hAnsi="Arial" w:eastAsia="Arial" w:cs="Arial"/>
          <w:sz w:val="2"/>
          <w:szCs w:val="2"/>
        </w:rPr>
        <w:br w:type="column"/>
      </w:r>
    </w:p>
    <w:p w14:paraId="277843C0">
      <w:pPr>
        <w:spacing w:before="113" w:line="217" w:lineRule="auto"/>
        <w:ind w:left="207"/>
        <w:rPr>
          <w:rFonts w:ascii="黑体" w:hAnsi="黑体" w:eastAsia="黑体" w:cs="黑体"/>
          <w:sz w:val="28"/>
          <w:szCs w:val="28"/>
        </w:rPr>
      </w:pPr>
      <w:r>
        <w:rPr>
          <w:rFonts w:ascii="黑体" w:hAnsi="黑体" w:eastAsia="黑体" w:cs="黑体"/>
          <w:spacing w:val="-2"/>
          <w:sz w:val="28"/>
          <w:szCs w:val="28"/>
        </w:rPr>
        <w:t>第三十七条</w:t>
      </w:r>
      <w:r>
        <w:rPr>
          <w:rFonts w:ascii="黑体" w:hAnsi="黑体" w:eastAsia="黑体" w:cs="黑体"/>
          <w:spacing w:val="27"/>
          <w:sz w:val="28"/>
          <w:szCs w:val="28"/>
        </w:rPr>
        <w:t xml:space="preserve">   </w:t>
      </w:r>
      <w:r>
        <w:rPr>
          <w:rFonts w:ascii="黑体" w:hAnsi="黑体" w:eastAsia="黑体" w:cs="黑体"/>
          <w:spacing w:val="-2"/>
          <w:sz w:val="28"/>
          <w:szCs w:val="28"/>
        </w:rPr>
        <w:t>管线综合规划</w:t>
      </w:r>
    </w:p>
    <w:p w14:paraId="653B2BB2">
      <w:pPr>
        <w:spacing w:line="443" w:lineRule="auto"/>
        <w:rPr>
          <w:rFonts w:ascii="Arial"/>
          <w:sz w:val="21"/>
        </w:rPr>
      </w:pPr>
    </w:p>
    <w:p w14:paraId="309D0214">
      <w:pPr>
        <w:spacing w:before="78" w:line="221" w:lineRule="auto"/>
        <w:ind w:left="479"/>
        <w:rPr>
          <w:rFonts w:ascii="黑体" w:hAnsi="黑体" w:eastAsia="黑体" w:cs="黑体"/>
          <w:sz w:val="24"/>
          <w:szCs w:val="24"/>
        </w:rPr>
      </w:pPr>
      <w:r>
        <w:rPr>
          <w:rFonts w:ascii="黑体" w:hAnsi="黑体" w:eastAsia="黑体" w:cs="黑体"/>
          <w:spacing w:val="-2"/>
          <w:sz w:val="24"/>
          <w:szCs w:val="24"/>
        </w:rPr>
        <w:t>一、平面布置</w:t>
      </w:r>
    </w:p>
    <w:p w14:paraId="2B15EA29">
      <w:pPr>
        <w:spacing w:line="377" w:lineRule="auto"/>
        <w:rPr>
          <w:rFonts w:ascii="Arial"/>
          <w:sz w:val="21"/>
        </w:rPr>
      </w:pPr>
    </w:p>
    <w:p w14:paraId="61F4A7AC">
      <w:pPr>
        <w:pStyle w:val="2"/>
        <w:spacing w:before="79" w:line="379" w:lineRule="auto"/>
        <w:ind w:right="27" w:firstLine="477"/>
      </w:pPr>
      <w:r>
        <w:rPr>
          <w:spacing w:val="-1"/>
        </w:rPr>
        <w:t>各种地下工程管线从道路红线向道路中心方向平行布置，原则上应遵循以下</w:t>
      </w:r>
      <w:r>
        <w:rPr>
          <w:spacing w:val="-2"/>
        </w:rPr>
        <w:t>排列次序。道路</w:t>
      </w:r>
      <w:r>
        <w:rPr>
          <w:spacing w:val="-3"/>
        </w:rPr>
        <w:t>西、北侧为：电信（含有线电视）、燃气、污</w:t>
      </w:r>
      <w:r>
        <w:rPr>
          <w:spacing w:val="-4"/>
        </w:rPr>
        <w:t>水；道路东、南侧为：电力、给水、雨水。</w:t>
      </w:r>
    </w:p>
    <w:p w14:paraId="25B8BFC3">
      <w:pPr>
        <w:spacing w:before="256" w:line="221" w:lineRule="auto"/>
        <w:ind w:left="479"/>
        <w:rPr>
          <w:rFonts w:ascii="黑体" w:hAnsi="黑体" w:eastAsia="黑体" w:cs="黑体"/>
          <w:sz w:val="24"/>
          <w:szCs w:val="24"/>
        </w:rPr>
      </w:pPr>
      <w:r>
        <w:rPr>
          <w:rFonts w:ascii="黑体" w:hAnsi="黑体" w:eastAsia="黑体" w:cs="黑体"/>
          <w:spacing w:val="-2"/>
          <w:sz w:val="24"/>
          <w:szCs w:val="24"/>
        </w:rPr>
        <w:t>二、竖向布置</w:t>
      </w:r>
    </w:p>
    <w:p w14:paraId="1D3DA69E">
      <w:pPr>
        <w:spacing w:line="379" w:lineRule="auto"/>
        <w:rPr>
          <w:rFonts w:ascii="Arial"/>
          <w:sz w:val="21"/>
        </w:rPr>
      </w:pPr>
    </w:p>
    <w:p w14:paraId="461276A7">
      <w:pPr>
        <w:pStyle w:val="2"/>
        <w:spacing w:before="78" w:line="378" w:lineRule="auto"/>
        <w:ind w:right="27" w:firstLine="478"/>
        <w:jc w:val="both"/>
      </w:pPr>
      <w:r>
        <w:rPr>
          <w:spacing w:val="-1"/>
        </w:rPr>
        <w:t>各种工程管线在交叉出现矛盾时应遵循小管让大管，压力流管让重力流管，</w:t>
      </w:r>
      <w:r>
        <w:rPr>
          <w:spacing w:val="-2"/>
        </w:rPr>
        <w:t>可弯曲管让不可</w:t>
      </w:r>
      <w:r>
        <w:rPr>
          <w:spacing w:val="-6"/>
        </w:rPr>
        <w:t>弯曲管等原则进行调整。各种管线竖向自地表向下排列的顺序宜为：</w:t>
      </w:r>
      <w:r>
        <w:rPr>
          <w:spacing w:val="83"/>
        </w:rPr>
        <w:t xml:space="preserve"> </w:t>
      </w:r>
      <w:r>
        <w:rPr>
          <w:spacing w:val="-6"/>
        </w:rPr>
        <w:t>电信管线、电力管线</w:t>
      </w:r>
      <w:r>
        <w:rPr>
          <w:spacing w:val="-7"/>
        </w:rPr>
        <w:t>、燃气</w:t>
      </w:r>
      <w:r>
        <w:rPr>
          <w:spacing w:val="-3"/>
        </w:rPr>
        <w:t>管线、给水管线、雨水管线、污水管线。</w:t>
      </w:r>
    </w:p>
    <w:p w14:paraId="392A3C58">
      <w:pPr>
        <w:spacing w:before="253" w:line="220" w:lineRule="auto"/>
        <w:ind w:left="480"/>
        <w:rPr>
          <w:rFonts w:ascii="黑体" w:hAnsi="黑体" w:eastAsia="黑体" w:cs="黑体"/>
          <w:sz w:val="24"/>
          <w:szCs w:val="24"/>
        </w:rPr>
      </w:pPr>
      <w:r>
        <w:rPr>
          <w:rFonts w:ascii="黑体" w:hAnsi="黑体" w:eastAsia="黑体" w:cs="黑体"/>
          <w:spacing w:val="-2"/>
          <w:sz w:val="24"/>
          <w:szCs w:val="24"/>
        </w:rPr>
        <w:t>三、具体要求</w:t>
      </w:r>
    </w:p>
    <w:p w14:paraId="75455992">
      <w:pPr>
        <w:spacing w:line="382" w:lineRule="auto"/>
        <w:rPr>
          <w:rFonts w:ascii="Arial"/>
          <w:sz w:val="21"/>
        </w:rPr>
      </w:pPr>
    </w:p>
    <w:p w14:paraId="459F6D87">
      <w:pPr>
        <w:pStyle w:val="2"/>
        <w:spacing w:before="79" w:line="233" w:lineRule="auto"/>
        <w:ind w:left="436"/>
      </w:pPr>
      <w:r>
        <w:rPr>
          <w:rFonts w:ascii="Times New Roman" w:hAnsi="Times New Roman" w:eastAsia="Times New Roman" w:cs="Times New Roman"/>
          <w:spacing w:val="-1"/>
        </w:rPr>
        <w:t xml:space="preserve">1.    </w:t>
      </w:r>
      <w:r>
        <w:rPr>
          <w:spacing w:val="-1"/>
        </w:rPr>
        <w:t>在建设园区道路的同时应考虑各种管</w:t>
      </w:r>
      <w:r>
        <w:rPr>
          <w:spacing w:val="-2"/>
        </w:rPr>
        <w:t>线的敷设要求，应同步敷设，避免重复建设。</w:t>
      </w:r>
    </w:p>
    <w:p w14:paraId="19653181">
      <w:pPr>
        <w:pStyle w:val="2"/>
        <w:spacing w:before="184" w:line="368" w:lineRule="auto"/>
        <w:ind w:left="840" w:right="28" w:hanging="427"/>
      </w:pPr>
      <w:r>
        <w:rPr>
          <w:rFonts w:ascii="Times New Roman" w:hAnsi="Times New Roman" w:eastAsia="Times New Roman" w:cs="Times New Roman"/>
          <w:spacing w:val="2"/>
        </w:rPr>
        <w:t xml:space="preserve">2.    </w:t>
      </w:r>
      <w:r>
        <w:rPr>
          <w:spacing w:val="2"/>
        </w:rPr>
        <w:t>实现通讯管网统一规划、统一建设、统一管理，再按有偿使</w:t>
      </w:r>
      <w:r>
        <w:rPr>
          <w:spacing w:val="1"/>
        </w:rPr>
        <w:t>用的原则提供给各通讯公司</w:t>
      </w:r>
      <w:r>
        <w:rPr>
          <w:spacing w:val="-9"/>
        </w:rPr>
        <w:t>或部门。</w:t>
      </w:r>
    </w:p>
    <w:p w14:paraId="2C9DE8AE">
      <w:pPr>
        <w:pStyle w:val="2"/>
        <w:spacing w:before="24" w:line="233" w:lineRule="auto"/>
        <w:ind w:left="418"/>
      </w:pPr>
      <w:r>
        <w:rPr>
          <w:rFonts w:ascii="Times New Roman" w:hAnsi="Times New Roman" w:eastAsia="Times New Roman" w:cs="Times New Roman"/>
          <w:spacing w:val="-4"/>
        </w:rPr>
        <w:t xml:space="preserve">3.    </w:t>
      </w:r>
      <w:r>
        <w:rPr>
          <w:spacing w:val="-4"/>
        </w:rPr>
        <w:t>综合设置各类高压廊道，节约、集</w:t>
      </w:r>
      <w:r>
        <w:rPr>
          <w:spacing w:val="-5"/>
        </w:rPr>
        <w:t>约利用土地资源。并按照有关规范预留高压廊道位置。</w:t>
      </w:r>
    </w:p>
    <w:p w14:paraId="0B205284">
      <w:pPr>
        <w:pStyle w:val="2"/>
        <w:spacing w:before="187" w:line="376" w:lineRule="auto"/>
        <w:ind w:left="838" w:right="29" w:hanging="426"/>
      </w:pPr>
      <w:r>
        <w:rPr>
          <w:rFonts w:ascii="Times New Roman" w:hAnsi="Times New Roman" w:eastAsia="Times New Roman" w:cs="Times New Roman"/>
          <w:spacing w:val="2"/>
        </w:rPr>
        <w:t xml:space="preserve">4.    </w:t>
      </w:r>
      <w:r>
        <w:rPr>
          <w:spacing w:val="2"/>
        </w:rPr>
        <w:t>管线与建筑红线以及管线与管线之间的水平及垂直净距须满</w:t>
      </w:r>
      <w:r>
        <w:rPr>
          <w:spacing w:val="1"/>
        </w:rPr>
        <w:t>足《城市工程管线综合规划</w:t>
      </w:r>
      <w:r>
        <w:rPr>
          <w:spacing w:val="-8"/>
        </w:rPr>
        <w:t>规范》（</w:t>
      </w:r>
      <w:r>
        <w:rPr>
          <w:rFonts w:ascii="Times New Roman" w:hAnsi="Times New Roman" w:eastAsia="Times New Roman" w:cs="Times New Roman"/>
          <w:spacing w:val="-8"/>
        </w:rPr>
        <w:t>GB50289</w:t>
      </w:r>
      <w:r>
        <w:rPr>
          <w:spacing w:val="-8"/>
        </w:rPr>
        <w:t>－</w:t>
      </w:r>
      <w:r>
        <w:rPr>
          <w:rFonts w:ascii="Times New Roman" w:hAnsi="Times New Roman" w:eastAsia="Times New Roman" w:cs="Times New Roman"/>
          <w:spacing w:val="-8"/>
        </w:rPr>
        <w:t>2016</w:t>
      </w:r>
      <w:r>
        <w:rPr>
          <w:spacing w:val="-8"/>
        </w:rPr>
        <w:t>）的要求。</w:t>
      </w:r>
    </w:p>
    <w:p w14:paraId="0FBEDF0D">
      <w:pPr>
        <w:spacing w:line="376" w:lineRule="auto"/>
        <w:sectPr>
          <w:type w:val="continuous"/>
          <w:pgSz w:w="23811" w:h="16839"/>
          <w:pgMar w:top="1274" w:right="1409" w:bottom="1613" w:left="1411" w:header="838" w:footer="1386" w:gutter="0"/>
          <w:cols w:equalWidth="0" w:num="2">
            <w:col w:w="10831" w:space="100"/>
            <w:col w:w="10060"/>
          </w:cols>
        </w:sectPr>
      </w:pPr>
    </w:p>
    <w:p w14:paraId="5E8717EC">
      <w:pPr>
        <w:spacing w:line="22" w:lineRule="exact"/>
      </w:pPr>
    </w:p>
    <w:p w14:paraId="4A49D3A7">
      <w:pPr>
        <w:spacing w:line="22" w:lineRule="exact"/>
        <w:sectPr>
          <w:footerReference r:id="rId37" w:type="default"/>
          <w:pgSz w:w="23811" w:h="16839"/>
          <w:pgMar w:top="1274" w:right="1409" w:bottom="1613" w:left="1411" w:header="838" w:footer="1386" w:gutter="0"/>
          <w:cols w:equalWidth="0" w:num="1">
            <w:col w:w="20990"/>
          </w:cols>
        </w:sectPr>
      </w:pPr>
    </w:p>
    <w:p w14:paraId="1E238613">
      <w:pPr>
        <w:spacing w:line="275" w:lineRule="auto"/>
        <w:rPr>
          <w:rFonts w:ascii="Arial"/>
          <w:sz w:val="21"/>
        </w:rPr>
      </w:pPr>
    </w:p>
    <w:p w14:paraId="361BDD6F">
      <w:pPr>
        <w:spacing w:line="275" w:lineRule="auto"/>
        <w:rPr>
          <w:rFonts w:ascii="Arial"/>
          <w:sz w:val="21"/>
        </w:rPr>
      </w:pPr>
    </w:p>
    <w:p w14:paraId="08C9B8D4">
      <w:pPr>
        <w:spacing w:line="276" w:lineRule="auto"/>
        <w:rPr>
          <w:rFonts w:ascii="Arial"/>
          <w:sz w:val="21"/>
        </w:rPr>
      </w:pPr>
    </w:p>
    <w:p w14:paraId="226C1081">
      <w:pPr>
        <w:spacing w:before="101" w:line="224" w:lineRule="auto"/>
        <w:ind w:left="2463"/>
        <w:outlineLvl w:val="0"/>
        <w:rPr>
          <w:rFonts w:ascii="黑体" w:hAnsi="黑体" w:eastAsia="黑体" w:cs="黑体"/>
          <w:sz w:val="31"/>
          <w:szCs w:val="31"/>
        </w:rPr>
      </w:pPr>
      <w:bookmarkStart w:id="11" w:name="bookmark12"/>
      <w:bookmarkEnd w:id="11"/>
      <w:r>
        <w:rPr>
          <w:rFonts w:ascii="黑体" w:hAnsi="黑体" w:eastAsia="黑体" w:cs="黑体"/>
          <w:spacing w:val="8"/>
          <w:sz w:val="31"/>
          <w:szCs w:val="31"/>
        </w:rPr>
        <w:t>第十二章</w:t>
      </w:r>
      <w:r>
        <w:rPr>
          <w:rFonts w:ascii="黑体" w:hAnsi="黑体" w:eastAsia="黑体" w:cs="黑体"/>
          <w:spacing w:val="52"/>
          <w:sz w:val="31"/>
          <w:szCs w:val="31"/>
        </w:rPr>
        <w:t xml:space="preserve">  </w:t>
      </w:r>
      <w:r>
        <w:rPr>
          <w:rFonts w:ascii="黑体" w:hAnsi="黑体" w:eastAsia="黑体" w:cs="黑体"/>
          <w:spacing w:val="8"/>
          <w:sz w:val="31"/>
          <w:szCs w:val="31"/>
        </w:rPr>
        <w:t>环境保护与环卫设施规划</w:t>
      </w:r>
    </w:p>
    <w:p w14:paraId="2EAD7E20">
      <w:pPr>
        <w:spacing w:line="267" w:lineRule="auto"/>
        <w:rPr>
          <w:rFonts w:ascii="Arial"/>
          <w:sz w:val="21"/>
        </w:rPr>
      </w:pPr>
    </w:p>
    <w:p w14:paraId="305F6A9A">
      <w:pPr>
        <w:spacing w:line="267" w:lineRule="auto"/>
        <w:rPr>
          <w:rFonts w:ascii="Arial"/>
          <w:sz w:val="21"/>
        </w:rPr>
      </w:pPr>
    </w:p>
    <w:p w14:paraId="334EDFD1">
      <w:pPr>
        <w:spacing w:before="91" w:line="219" w:lineRule="auto"/>
        <w:ind w:left="250"/>
        <w:rPr>
          <w:rFonts w:ascii="黑体" w:hAnsi="黑体" w:eastAsia="黑体" w:cs="黑体"/>
          <w:sz w:val="28"/>
          <w:szCs w:val="28"/>
        </w:rPr>
      </w:pPr>
      <w:r>
        <w:rPr>
          <w:rFonts w:ascii="黑体" w:hAnsi="黑体" w:eastAsia="黑体" w:cs="黑体"/>
          <w:spacing w:val="-2"/>
          <w:sz w:val="28"/>
          <w:szCs w:val="28"/>
        </w:rPr>
        <w:t>第三十八条</w:t>
      </w:r>
      <w:r>
        <w:rPr>
          <w:rFonts w:ascii="黑体" w:hAnsi="黑体" w:eastAsia="黑体" w:cs="黑体"/>
          <w:spacing w:val="27"/>
          <w:sz w:val="28"/>
          <w:szCs w:val="28"/>
        </w:rPr>
        <w:t xml:space="preserve">   </w:t>
      </w:r>
      <w:r>
        <w:rPr>
          <w:rFonts w:ascii="黑体" w:hAnsi="黑体" w:eastAsia="黑体" w:cs="黑体"/>
          <w:spacing w:val="-2"/>
          <w:sz w:val="28"/>
          <w:szCs w:val="28"/>
        </w:rPr>
        <w:t>环境保护规划</w:t>
      </w:r>
    </w:p>
    <w:p w14:paraId="6F37B7B5">
      <w:pPr>
        <w:spacing w:line="437" w:lineRule="auto"/>
        <w:rPr>
          <w:rFonts w:ascii="Arial"/>
          <w:sz w:val="21"/>
        </w:rPr>
      </w:pPr>
    </w:p>
    <w:p w14:paraId="6F87FC5B">
      <w:pPr>
        <w:spacing w:before="78" w:line="219" w:lineRule="auto"/>
        <w:ind w:left="522"/>
        <w:rPr>
          <w:rFonts w:ascii="黑体" w:hAnsi="黑体" w:eastAsia="黑体" w:cs="黑体"/>
          <w:sz w:val="24"/>
          <w:szCs w:val="24"/>
        </w:rPr>
      </w:pPr>
      <w:r>
        <w:rPr>
          <w:rFonts w:ascii="黑体" w:hAnsi="黑体" w:eastAsia="黑体" w:cs="黑体"/>
          <w:spacing w:val="-2"/>
          <w:sz w:val="24"/>
          <w:szCs w:val="24"/>
        </w:rPr>
        <w:t>一、环境保护目标</w:t>
      </w:r>
    </w:p>
    <w:p w14:paraId="3A801127">
      <w:pPr>
        <w:spacing w:line="384" w:lineRule="auto"/>
        <w:rPr>
          <w:rFonts w:ascii="Arial"/>
          <w:sz w:val="21"/>
        </w:rPr>
      </w:pPr>
      <w:bookmarkStart w:id="16" w:name="_GoBack"/>
      <w:bookmarkEnd w:id="16"/>
    </w:p>
    <w:p w14:paraId="731CCCD5">
      <w:pPr>
        <w:pStyle w:val="2"/>
        <w:spacing w:before="79" w:line="220" w:lineRule="auto"/>
        <w:ind w:left="478"/>
      </w:pPr>
      <w:r>
        <w:rPr>
          <w:spacing w:val="-4"/>
        </w:rPr>
        <w:t>1.</w:t>
      </w:r>
      <w:r>
        <w:rPr>
          <w:spacing w:val="73"/>
        </w:rPr>
        <w:t xml:space="preserve"> </w:t>
      </w:r>
      <w:r>
        <w:rPr>
          <w:spacing w:val="-4"/>
        </w:rPr>
        <w:t>环境质量控制标准</w:t>
      </w:r>
    </w:p>
    <w:p w14:paraId="7411F72D">
      <w:pPr>
        <w:pStyle w:val="2"/>
        <w:spacing w:before="200" w:line="220" w:lineRule="auto"/>
        <w:ind w:left="478"/>
      </w:pPr>
      <w:r>
        <w:rPr>
          <w:rFonts w:hint="eastAsia"/>
          <w:spacing w:val="-6"/>
          <w:lang w:eastAsia="zh-CN"/>
        </w:rPr>
        <w:t>1）</w:t>
      </w:r>
      <w:r>
        <w:rPr>
          <w:spacing w:val="85"/>
        </w:rPr>
        <w:t xml:space="preserve"> </w:t>
      </w:r>
      <w:r>
        <w:rPr>
          <w:spacing w:val="-6"/>
        </w:rPr>
        <w:t>大气环境按《环境空气质量标准》（GB3095—2012）二级标准执行；</w:t>
      </w:r>
    </w:p>
    <w:p w14:paraId="1FDFCDF8">
      <w:pPr>
        <w:pStyle w:val="2"/>
        <w:spacing w:before="203" w:line="220" w:lineRule="auto"/>
        <w:ind w:left="463"/>
      </w:pPr>
      <w:r>
        <w:rPr>
          <w:rFonts w:hint="eastAsia"/>
          <w:spacing w:val="-6"/>
          <w:lang w:eastAsia="zh-CN"/>
        </w:rPr>
        <w:t>2）</w:t>
      </w:r>
      <w:r>
        <w:rPr>
          <w:spacing w:val="87"/>
        </w:rPr>
        <w:t xml:space="preserve"> </w:t>
      </w:r>
      <w:r>
        <w:rPr>
          <w:spacing w:val="-6"/>
        </w:rPr>
        <w:t>声环境按《声环境质量标准》（GB3096—2008）3</w:t>
      </w:r>
      <w:r>
        <w:rPr>
          <w:spacing w:val="-50"/>
        </w:rPr>
        <w:t xml:space="preserve"> </w:t>
      </w:r>
      <w:r>
        <w:rPr>
          <w:spacing w:val="-6"/>
        </w:rPr>
        <w:t>类区标准执行；</w:t>
      </w:r>
    </w:p>
    <w:p w14:paraId="39BE1849">
      <w:pPr>
        <w:pStyle w:val="2"/>
        <w:spacing w:before="204" w:line="220" w:lineRule="auto"/>
        <w:ind w:left="465"/>
      </w:pPr>
      <w:r>
        <w:rPr>
          <w:rFonts w:hint="eastAsia"/>
          <w:spacing w:val="-4"/>
          <w:lang w:eastAsia="zh-CN"/>
        </w:rPr>
        <w:t>3）</w:t>
      </w:r>
      <w:r>
        <w:rPr>
          <w:spacing w:val="69"/>
        </w:rPr>
        <w:t xml:space="preserve"> </w:t>
      </w:r>
      <w:r>
        <w:rPr>
          <w:spacing w:val="-4"/>
        </w:rPr>
        <w:t>地表水环境质量标准执行《地表水环境质量标准》（GB3838—2002）的Ⅲ类标准。</w:t>
      </w:r>
    </w:p>
    <w:p w14:paraId="7C412500">
      <w:pPr>
        <w:pStyle w:val="2"/>
        <w:spacing w:before="204" w:line="220" w:lineRule="auto"/>
        <w:ind w:left="459"/>
      </w:pPr>
      <w:r>
        <w:rPr>
          <w:rFonts w:hint="eastAsia"/>
          <w:spacing w:val="-4"/>
          <w:lang w:eastAsia="zh-CN"/>
        </w:rPr>
        <w:t>4）</w:t>
      </w:r>
      <w:r>
        <w:rPr>
          <w:spacing w:val="69"/>
        </w:rPr>
        <w:t xml:space="preserve"> </w:t>
      </w:r>
      <w:r>
        <w:rPr>
          <w:spacing w:val="-4"/>
        </w:rPr>
        <w:t>地下水环境执行《地下水环境质量标准》（GB-T14848-93）中的Ⅲ</w:t>
      </w:r>
      <w:r>
        <w:rPr>
          <w:spacing w:val="-5"/>
        </w:rPr>
        <w:t>类标准。</w:t>
      </w:r>
    </w:p>
    <w:p w14:paraId="549B8E45">
      <w:pPr>
        <w:pStyle w:val="2"/>
        <w:spacing w:before="201" w:line="371" w:lineRule="auto"/>
        <w:ind w:left="884" w:right="745" w:hanging="419"/>
      </w:pPr>
      <w:r>
        <w:rPr>
          <w:rFonts w:hint="eastAsia"/>
          <w:spacing w:val="-4"/>
          <w:lang w:eastAsia="zh-CN"/>
        </w:rPr>
        <w:t>5）</w:t>
      </w:r>
      <w:r>
        <w:rPr>
          <w:spacing w:val="71"/>
        </w:rPr>
        <w:t xml:space="preserve"> </w:t>
      </w:r>
      <w:r>
        <w:rPr>
          <w:spacing w:val="-4"/>
        </w:rPr>
        <w:t>土壤环境质量执行《土壤环境质量建设用地土壤污染风险管控标准（试行）》</w:t>
      </w:r>
      <w:r>
        <w:rPr>
          <w:rFonts w:hint="eastAsia"/>
          <w:spacing w:val="-4"/>
          <w:lang w:eastAsia="zh-CN"/>
        </w:rPr>
        <w:t>（</w:t>
      </w:r>
      <w:r>
        <w:rPr>
          <w:rFonts w:ascii="Calibri" w:hAnsi="Calibri" w:eastAsia="Calibri" w:cs="Calibri"/>
          <w:spacing w:val="-4"/>
        </w:rPr>
        <w:t>GB3660</w:t>
      </w:r>
      <w:r>
        <w:rPr>
          <w:rFonts w:ascii="Calibri" w:hAnsi="Calibri" w:eastAsia="Calibri" w:cs="Calibri"/>
          <w:spacing w:val="-5"/>
        </w:rPr>
        <w:t>0</w:t>
      </w:r>
      <w:r>
        <w:rPr>
          <w:spacing w:val="-5"/>
        </w:rPr>
        <w:t>—</w:t>
      </w:r>
      <w:r>
        <w:t xml:space="preserve"> </w:t>
      </w:r>
      <w:r>
        <w:rPr>
          <w:rFonts w:ascii="Calibri" w:hAnsi="Calibri" w:eastAsia="Calibri" w:cs="Calibri"/>
          <w:spacing w:val="-3"/>
        </w:rPr>
        <w:t>2018</w:t>
      </w:r>
      <w:r>
        <w:rPr>
          <w:rFonts w:hint="eastAsia" w:ascii="Calibri" w:hAnsi="Calibri" w:cs="Calibri"/>
          <w:spacing w:val="-3"/>
          <w:lang w:eastAsia="zh-CN"/>
        </w:rPr>
        <w:t>）的</w:t>
      </w:r>
      <w:r>
        <w:rPr>
          <w:spacing w:val="-3"/>
        </w:rPr>
        <w:t>第二类用地标准。</w:t>
      </w:r>
    </w:p>
    <w:p w14:paraId="2544EE73">
      <w:pPr>
        <w:pStyle w:val="2"/>
        <w:spacing w:before="16"/>
        <w:ind w:left="464"/>
      </w:pPr>
      <w:r>
        <w:rPr>
          <w:rFonts w:ascii="Calibri" w:hAnsi="Calibri" w:eastAsia="Calibri" w:cs="Calibri"/>
          <w:spacing w:val="-3"/>
        </w:rPr>
        <w:t>2.</w:t>
      </w:r>
      <w:r>
        <w:rPr>
          <w:rFonts w:ascii="Calibri" w:hAnsi="Calibri" w:eastAsia="Calibri" w:cs="Calibri"/>
          <w:spacing w:val="8"/>
        </w:rPr>
        <w:t xml:space="preserve">    </w:t>
      </w:r>
      <w:r>
        <w:rPr>
          <w:spacing w:val="-3"/>
        </w:rPr>
        <w:t>污染源排放标准</w:t>
      </w:r>
    </w:p>
    <w:p w14:paraId="41281DE8">
      <w:pPr>
        <w:pStyle w:val="2"/>
        <w:spacing w:before="176" w:line="220" w:lineRule="auto"/>
        <w:ind w:left="478"/>
      </w:pPr>
      <w:r>
        <w:rPr>
          <w:rFonts w:hint="eastAsia"/>
          <w:spacing w:val="-5"/>
          <w:lang w:eastAsia="zh-CN"/>
        </w:rPr>
        <w:t>1）</w:t>
      </w:r>
      <w:r>
        <w:rPr>
          <w:spacing w:val="88"/>
        </w:rPr>
        <w:t xml:space="preserve"> </w:t>
      </w:r>
      <w:r>
        <w:rPr>
          <w:spacing w:val="-5"/>
        </w:rPr>
        <w:t>生产废气按《大气污染物综合排放标准》（GB16297—1996）二级标准执行。</w:t>
      </w:r>
    </w:p>
    <w:p w14:paraId="4029CA4D">
      <w:pPr>
        <w:pStyle w:val="2"/>
        <w:spacing w:before="201" w:line="377" w:lineRule="auto"/>
        <w:ind w:left="886" w:right="749" w:hanging="423"/>
      </w:pPr>
      <w:r>
        <w:rPr>
          <w:rFonts w:hint="eastAsia"/>
          <w:spacing w:val="-4"/>
          <w:lang w:eastAsia="zh-CN"/>
        </w:rPr>
        <w:t>2）</w:t>
      </w:r>
      <w:r>
        <w:rPr>
          <w:spacing w:val="75"/>
        </w:rPr>
        <w:t xml:space="preserve"> </w:t>
      </w:r>
      <w:r>
        <w:rPr>
          <w:spacing w:val="-4"/>
        </w:rPr>
        <w:t>生产废水按《污水综合排放标准》（GB8978—1996）中的一级（不进污水处理厂）或三级</w:t>
      </w:r>
      <w:r>
        <w:rPr>
          <w:spacing w:val="-5"/>
        </w:rPr>
        <w:t>（排入污水处理厂）标准执行；</w:t>
      </w:r>
    </w:p>
    <w:p w14:paraId="1161E606">
      <w:pPr>
        <w:pStyle w:val="2"/>
        <w:spacing w:before="1" w:line="219" w:lineRule="auto"/>
        <w:ind w:left="465"/>
      </w:pPr>
      <w:r>
        <w:rPr>
          <w:rFonts w:hint="eastAsia"/>
          <w:spacing w:val="-5"/>
          <w:lang w:eastAsia="zh-CN"/>
        </w:rPr>
        <w:t>3）</w:t>
      </w:r>
      <w:r>
        <w:rPr>
          <w:spacing w:val="85"/>
        </w:rPr>
        <w:t xml:space="preserve"> </w:t>
      </w:r>
      <w:r>
        <w:rPr>
          <w:spacing w:val="-5"/>
        </w:rPr>
        <w:t>噪声按《工业企业厂界噪声标准》（GB12348—2008）Ⅲ类标准执行。</w:t>
      </w:r>
    </w:p>
    <w:p w14:paraId="3392BC8C">
      <w:pPr>
        <w:pStyle w:val="2"/>
        <w:spacing w:before="205" w:line="377" w:lineRule="auto"/>
        <w:ind w:left="881" w:right="772" w:hanging="422"/>
      </w:pPr>
      <w:r>
        <w:rPr>
          <w:rFonts w:hint="eastAsia"/>
          <w:spacing w:val="1"/>
          <w:lang w:eastAsia="zh-CN"/>
        </w:rPr>
        <w:t>4）</w:t>
      </w:r>
      <w:r>
        <w:rPr>
          <w:spacing w:val="73"/>
        </w:rPr>
        <w:t xml:space="preserve"> </w:t>
      </w:r>
      <w:r>
        <w:rPr>
          <w:spacing w:val="1"/>
        </w:rPr>
        <w:t>如有行业排放标准的，除满足以上排放标准外，还需执行行业污染物排放标准，且</w:t>
      </w:r>
      <w:r>
        <w:t>原则</w:t>
      </w:r>
      <w:r>
        <w:rPr>
          <w:spacing w:val="-5"/>
        </w:rPr>
        <w:t>上需满足上限控制。</w:t>
      </w:r>
    </w:p>
    <w:p w14:paraId="5FFB9356">
      <w:pPr>
        <w:spacing w:before="258" w:line="219" w:lineRule="auto"/>
        <w:ind w:left="522"/>
        <w:rPr>
          <w:rFonts w:ascii="黑体" w:hAnsi="黑体" w:eastAsia="黑体" w:cs="黑体"/>
          <w:sz w:val="24"/>
          <w:szCs w:val="24"/>
        </w:rPr>
      </w:pPr>
      <w:r>
        <w:rPr>
          <w:rFonts w:ascii="黑体" w:hAnsi="黑体" w:eastAsia="黑体" w:cs="黑体"/>
          <w:spacing w:val="-2"/>
          <w:sz w:val="24"/>
          <w:szCs w:val="24"/>
        </w:rPr>
        <w:t>二、环境保护措施</w:t>
      </w:r>
    </w:p>
    <w:p w14:paraId="538E40E2">
      <w:pPr>
        <w:spacing w:line="384" w:lineRule="auto"/>
        <w:rPr>
          <w:rFonts w:ascii="Arial"/>
          <w:sz w:val="21"/>
        </w:rPr>
      </w:pPr>
    </w:p>
    <w:p w14:paraId="55E32567">
      <w:pPr>
        <w:pStyle w:val="2"/>
        <w:spacing w:before="78" w:line="220" w:lineRule="auto"/>
        <w:ind w:left="478"/>
      </w:pPr>
      <w:r>
        <w:rPr>
          <w:spacing w:val="-5"/>
        </w:rPr>
        <w:t>1.</w:t>
      </w:r>
      <w:r>
        <w:rPr>
          <w:spacing w:val="73"/>
        </w:rPr>
        <w:t xml:space="preserve"> </w:t>
      </w:r>
      <w:r>
        <w:rPr>
          <w:spacing w:val="-5"/>
        </w:rPr>
        <w:t>废气处理措施</w:t>
      </w:r>
    </w:p>
    <w:p w14:paraId="7B025CD6">
      <w:pPr>
        <w:pStyle w:val="2"/>
        <w:spacing w:before="200" w:line="377" w:lineRule="auto"/>
        <w:ind w:left="881" w:right="763" w:hanging="403"/>
      </w:pPr>
      <w:r>
        <w:rPr>
          <w:rFonts w:hint="eastAsia"/>
          <w:spacing w:val="-5"/>
          <w:lang w:eastAsia="zh-CN"/>
        </w:rPr>
        <w:t>1）</w:t>
      </w:r>
      <w:r>
        <w:rPr>
          <w:spacing w:val="71"/>
        </w:rPr>
        <w:t xml:space="preserve"> </w:t>
      </w:r>
      <w:r>
        <w:rPr>
          <w:spacing w:val="-5"/>
        </w:rPr>
        <w:t>严格控制生产过程中产生的含有有机污染废气和含无机污染物废气的排放，必须</w:t>
      </w:r>
      <w:r>
        <w:rPr>
          <w:spacing w:val="-6"/>
        </w:rPr>
        <w:t>达到《大</w:t>
      </w:r>
      <w:r>
        <w:rPr>
          <w:spacing w:val="-4"/>
        </w:rPr>
        <w:t>气污染物综合排放标准》</w:t>
      </w:r>
      <w:r>
        <w:rPr>
          <w:rFonts w:hint="eastAsia"/>
          <w:spacing w:val="-4"/>
          <w:lang w:eastAsia="zh-CN"/>
        </w:rPr>
        <w:t>（</w:t>
      </w:r>
      <w:r>
        <w:rPr>
          <w:spacing w:val="-4"/>
        </w:rPr>
        <w:t>GB16297-1996</w:t>
      </w:r>
      <w:r>
        <w:rPr>
          <w:rFonts w:hint="eastAsia"/>
          <w:spacing w:val="-4"/>
          <w:lang w:eastAsia="zh-CN"/>
        </w:rPr>
        <w:t>）</w:t>
      </w:r>
      <w:r>
        <w:rPr>
          <w:spacing w:val="-4"/>
        </w:rPr>
        <w:t>中规定的标准</w:t>
      </w:r>
      <w:r>
        <w:rPr>
          <w:spacing w:val="-5"/>
        </w:rPr>
        <w:t>后方可排放，减少对大气的污染。</w:t>
      </w:r>
    </w:p>
    <w:p w14:paraId="78C3B9D8">
      <w:pPr>
        <w:pStyle w:val="2"/>
        <w:spacing w:before="1" w:line="218" w:lineRule="auto"/>
        <w:ind w:left="463"/>
      </w:pPr>
      <w:r>
        <w:rPr>
          <w:rFonts w:hint="eastAsia"/>
          <w:spacing w:val="-5"/>
          <w:lang w:eastAsia="zh-CN"/>
        </w:rPr>
        <w:t>2）</w:t>
      </w:r>
      <w:r>
        <w:rPr>
          <w:spacing w:val="68"/>
        </w:rPr>
        <w:t xml:space="preserve"> </w:t>
      </w:r>
      <w:r>
        <w:rPr>
          <w:spacing w:val="-5"/>
        </w:rPr>
        <w:t>对生产装置排放的废气，积极采用回收，吸收，吸附，冷凝等处理方法，确保治理效果。</w:t>
      </w:r>
    </w:p>
    <w:p w14:paraId="4CD75C02">
      <w:pPr>
        <w:pStyle w:val="2"/>
        <w:spacing w:before="205" w:line="185" w:lineRule="auto"/>
        <w:ind w:left="465"/>
      </w:pPr>
      <w:r>
        <w:rPr>
          <w:rFonts w:hint="eastAsia"/>
          <w:spacing w:val="-3"/>
          <w:lang w:eastAsia="zh-CN"/>
        </w:rPr>
        <w:t>3）</w:t>
      </w:r>
      <w:r>
        <w:rPr>
          <w:spacing w:val="73"/>
        </w:rPr>
        <w:t xml:space="preserve"> </w:t>
      </w:r>
      <w:r>
        <w:rPr>
          <w:spacing w:val="-3"/>
        </w:rPr>
        <w:t>对排入大气的污染物实施总量控制方法。</w:t>
      </w:r>
    </w:p>
    <w:p w14:paraId="48308E75">
      <w:pPr>
        <w:spacing w:line="14" w:lineRule="auto"/>
        <w:rPr>
          <w:rFonts w:ascii="Arial"/>
          <w:sz w:val="2"/>
        </w:rPr>
      </w:pPr>
      <w:r>
        <w:rPr>
          <w:rFonts w:ascii="Arial" w:hAnsi="Arial" w:eastAsia="Arial" w:cs="Arial"/>
          <w:sz w:val="2"/>
          <w:szCs w:val="2"/>
        </w:rPr>
        <w:br w:type="column"/>
      </w:r>
    </w:p>
    <w:p w14:paraId="5DC29FDC">
      <w:pPr>
        <w:pStyle w:val="2"/>
        <w:spacing w:before="61" w:line="220" w:lineRule="auto"/>
        <w:ind w:left="422"/>
      </w:pPr>
      <w:r>
        <w:rPr>
          <w:rFonts w:hint="eastAsia"/>
          <w:spacing w:val="-2"/>
          <w:lang w:eastAsia="zh-CN"/>
        </w:rPr>
        <w:t>4）</w:t>
      </w:r>
      <w:r>
        <w:rPr>
          <w:spacing w:val="86"/>
        </w:rPr>
        <w:t xml:space="preserve"> </w:t>
      </w:r>
      <w:r>
        <w:rPr>
          <w:spacing w:val="-2"/>
        </w:rPr>
        <w:t>搞好规划区绿化规划，园区与周边城区之间做好绿化隔离，以净化空气。</w:t>
      </w:r>
    </w:p>
    <w:p w14:paraId="2AA58467">
      <w:pPr>
        <w:pStyle w:val="2"/>
        <w:spacing w:before="204" w:line="220" w:lineRule="auto"/>
        <w:ind w:left="426"/>
      </w:pPr>
      <w:r>
        <w:rPr>
          <w:spacing w:val="-3"/>
        </w:rPr>
        <w:t>2.</w:t>
      </w:r>
      <w:r>
        <w:rPr>
          <w:spacing w:val="72"/>
        </w:rPr>
        <w:t xml:space="preserve"> </w:t>
      </w:r>
      <w:r>
        <w:rPr>
          <w:spacing w:val="-3"/>
        </w:rPr>
        <w:t>废水处理措施</w:t>
      </w:r>
    </w:p>
    <w:p w14:paraId="0A496B9C">
      <w:pPr>
        <w:pStyle w:val="2"/>
        <w:spacing w:before="203" w:line="219" w:lineRule="auto"/>
        <w:ind w:left="441"/>
      </w:pPr>
      <w:r>
        <w:rPr>
          <w:rFonts w:hint="eastAsia"/>
          <w:spacing w:val="-5"/>
          <w:lang w:eastAsia="zh-CN"/>
        </w:rPr>
        <w:t>1）</w:t>
      </w:r>
      <w:r>
        <w:rPr>
          <w:spacing w:val="71"/>
        </w:rPr>
        <w:t xml:space="preserve"> </w:t>
      </w:r>
      <w:r>
        <w:rPr>
          <w:spacing w:val="-5"/>
        </w:rPr>
        <w:t>规划区采用雨、污分流制。</w:t>
      </w:r>
    </w:p>
    <w:p w14:paraId="3591E3EB">
      <w:pPr>
        <w:pStyle w:val="2"/>
        <w:spacing w:before="202" w:line="219" w:lineRule="auto"/>
        <w:ind w:left="426"/>
      </w:pPr>
      <w:r>
        <w:rPr>
          <w:rFonts w:hint="eastAsia"/>
          <w:spacing w:val="-2"/>
          <w:lang w:eastAsia="zh-CN"/>
        </w:rPr>
        <w:t>2）</w:t>
      </w:r>
      <w:r>
        <w:rPr>
          <w:spacing w:val="71"/>
        </w:rPr>
        <w:t xml:space="preserve"> </w:t>
      </w:r>
      <w:r>
        <w:rPr>
          <w:spacing w:val="-2"/>
        </w:rPr>
        <w:t>生活污水与城市污水处理统一考虑，经处理达标后排</w:t>
      </w:r>
      <w:r>
        <w:rPr>
          <w:spacing w:val="-3"/>
        </w:rPr>
        <w:t>放。</w:t>
      </w:r>
    </w:p>
    <w:p w14:paraId="325CC8D3">
      <w:pPr>
        <w:pStyle w:val="2"/>
        <w:spacing w:before="206" w:line="376" w:lineRule="auto"/>
        <w:ind w:left="842" w:right="29" w:hanging="414"/>
      </w:pPr>
      <w:r>
        <w:rPr>
          <w:rFonts w:hint="eastAsia"/>
          <w:spacing w:val="1"/>
          <w:lang w:eastAsia="zh-CN"/>
        </w:rPr>
        <w:t>3）</w:t>
      </w:r>
      <w:r>
        <w:rPr>
          <w:spacing w:val="86"/>
        </w:rPr>
        <w:t xml:space="preserve"> </w:t>
      </w:r>
      <w:r>
        <w:rPr>
          <w:spacing w:val="1"/>
        </w:rPr>
        <w:t>对生产污水和工业废水处理，入驻工业企业，必须自建工业污、废水处理设施，在进行</w:t>
      </w:r>
      <w:r>
        <w:rPr>
          <w:spacing w:val="2"/>
        </w:rPr>
        <w:t>初步处理后，最大限度将水资源循环利用。不能回收的污、废水在满足区内污</w:t>
      </w:r>
      <w:r>
        <w:rPr>
          <w:spacing w:val="1"/>
        </w:rPr>
        <w:t>染物总容</w:t>
      </w:r>
      <w:r>
        <w:rPr>
          <w:spacing w:val="-1"/>
        </w:rPr>
        <w:t>量控制的原则下，统一收集到园区的污水处理厂，进行进一步的处理后达</w:t>
      </w:r>
      <w:r>
        <w:rPr>
          <w:spacing w:val="-2"/>
        </w:rPr>
        <w:t>标排放。</w:t>
      </w:r>
    </w:p>
    <w:p w14:paraId="35E6864D">
      <w:pPr>
        <w:pStyle w:val="2"/>
        <w:spacing w:before="1" w:line="219" w:lineRule="auto"/>
        <w:ind w:left="428"/>
      </w:pPr>
      <w:r>
        <w:rPr>
          <w:spacing w:val="-4"/>
        </w:rPr>
        <w:t>3.</w:t>
      </w:r>
      <w:r>
        <w:rPr>
          <w:spacing w:val="92"/>
        </w:rPr>
        <w:t xml:space="preserve"> </w:t>
      </w:r>
      <w:r>
        <w:rPr>
          <w:spacing w:val="-4"/>
        </w:rPr>
        <w:t>固体废弃物处理措施</w:t>
      </w:r>
    </w:p>
    <w:p w14:paraId="360BDE20">
      <w:pPr>
        <w:pStyle w:val="2"/>
        <w:spacing w:before="203" w:line="377" w:lineRule="auto"/>
        <w:ind w:left="842" w:right="29" w:hanging="401"/>
      </w:pPr>
      <w:r>
        <w:rPr>
          <w:rFonts w:hint="eastAsia"/>
          <w:spacing w:val="1"/>
          <w:lang w:eastAsia="zh-CN"/>
        </w:rPr>
        <w:t>1）</w:t>
      </w:r>
      <w:r>
        <w:rPr>
          <w:spacing w:val="90"/>
        </w:rPr>
        <w:t xml:space="preserve"> </w:t>
      </w:r>
      <w:r>
        <w:rPr>
          <w:spacing w:val="1"/>
        </w:rPr>
        <w:t>固体废弃物的处置严格执行《中华人民共和国固</w:t>
      </w:r>
      <w:r>
        <w:t>体废物污染环境防治法》和《一般工业</w:t>
      </w:r>
      <w:r>
        <w:rPr>
          <w:spacing w:val="-4"/>
        </w:rPr>
        <w:t>废物储存，处置场污染控制标准》，鼓励工业固体废弃物综合利</w:t>
      </w:r>
      <w:r>
        <w:rPr>
          <w:spacing w:val="-5"/>
        </w:rPr>
        <w:t>用，减少废物产生量。</w:t>
      </w:r>
    </w:p>
    <w:p w14:paraId="516B95B1">
      <w:pPr>
        <w:pStyle w:val="2"/>
        <w:spacing w:before="4" w:line="375" w:lineRule="auto"/>
        <w:ind w:left="847" w:right="29" w:hanging="421"/>
      </w:pPr>
      <w:r>
        <w:rPr>
          <w:rFonts w:hint="eastAsia"/>
          <w:spacing w:val="1"/>
          <w:lang w:eastAsia="zh-CN"/>
        </w:rPr>
        <w:t>2）</w:t>
      </w:r>
      <w:r>
        <w:rPr>
          <w:spacing w:val="88"/>
        </w:rPr>
        <w:t xml:space="preserve"> </w:t>
      </w:r>
      <w:r>
        <w:rPr>
          <w:spacing w:val="1"/>
        </w:rPr>
        <w:t>工业废弃物和生活垃圾分类收集，分类储运。各工业废弃物应由各企业自行进行无害化</w:t>
      </w:r>
      <w:r>
        <w:rPr>
          <w:spacing w:val="2"/>
        </w:rPr>
        <w:t>处理后，送至规划渣场集中处理；生活垃圾则由各收集点收集后</w:t>
      </w:r>
      <w:r>
        <w:rPr>
          <w:spacing w:val="1"/>
        </w:rPr>
        <w:t>送至城市垃圾处理场集</w:t>
      </w:r>
      <w:r>
        <w:rPr>
          <w:spacing w:val="-10"/>
        </w:rPr>
        <w:t>中处理。</w:t>
      </w:r>
    </w:p>
    <w:p w14:paraId="269718E2">
      <w:pPr>
        <w:pStyle w:val="2"/>
        <w:spacing w:before="1" w:line="219" w:lineRule="auto"/>
        <w:ind w:left="422"/>
      </w:pPr>
      <w:r>
        <w:rPr>
          <w:spacing w:val="-3"/>
        </w:rPr>
        <w:t>4.</w:t>
      </w:r>
      <w:r>
        <w:rPr>
          <w:spacing w:val="79"/>
        </w:rPr>
        <w:t xml:space="preserve"> </w:t>
      </w:r>
      <w:r>
        <w:rPr>
          <w:spacing w:val="-3"/>
        </w:rPr>
        <w:t>危险废弃物处置</w:t>
      </w:r>
    </w:p>
    <w:p w14:paraId="494EF8DB">
      <w:pPr>
        <w:pStyle w:val="2"/>
        <w:spacing w:before="203" w:line="376" w:lineRule="auto"/>
        <w:ind w:left="856" w:right="29" w:hanging="415"/>
      </w:pPr>
      <w:r>
        <w:rPr>
          <w:rFonts w:hint="eastAsia"/>
          <w:spacing w:val="1"/>
          <w:lang w:eastAsia="zh-CN"/>
        </w:rPr>
        <w:t>1）</w:t>
      </w:r>
      <w:r>
        <w:rPr>
          <w:spacing w:val="73"/>
        </w:rPr>
        <w:t xml:space="preserve"> </w:t>
      </w:r>
      <w:r>
        <w:rPr>
          <w:spacing w:val="1"/>
        </w:rPr>
        <w:t>规划区内各企业要严格执行安全生产的要求，杜绝事故性排放事件的发生；合理布局危</w:t>
      </w:r>
      <w:r>
        <w:rPr>
          <w:spacing w:val="-1"/>
        </w:rPr>
        <w:t>险化学品的存储堆放场地，设立明显标志，制</w:t>
      </w:r>
      <w:r>
        <w:rPr>
          <w:spacing w:val="-2"/>
        </w:rPr>
        <w:t>定《危险化学品管理规定》和安全预案。</w:t>
      </w:r>
    </w:p>
    <w:p w14:paraId="22560AB1">
      <w:pPr>
        <w:pStyle w:val="2"/>
        <w:spacing w:before="2" w:line="376" w:lineRule="auto"/>
        <w:ind w:left="845" w:right="29" w:hanging="419"/>
      </w:pPr>
      <w:r>
        <w:rPr>
          <w:rFonts w:hint="eastAsia"/>
          <w:spacing w:val="1"/>
          <w:lang w:eastAsia="zh-CN"/>
        </w:rPr>
        <w:t>2）</w:t>
      </w:r>
      <w:r>
        <w:rPr>
          <w:spacing w:val="88"/>
        </w:rPr>
        <w:t xml:space="preserve"> </w:t>
      </w:r>
      <w:r>
        <w:rPr>
          <w:spacing w:val="1"/>
        </w:rPr>
        <w:t>各企业产生的有毒有害废物应送至环保部门指定的固体废物处理中心集中处理，防止发</w:t>
      </w:r>
      <w:r>
        <w:rPr>
          <w:spacing w:val="-7"/>
        </w:rPr>
        <w:t>生二次污染。</w:t>
      </w:r>
    </w:p>
    <w:p w14:paraId="1EA3D422">
      <w:pPr>
        <w:pStyle w:val="2"/>
        <w:spacing w:line="220" w:lineRule="auto"/>
        <w:ind w:left="428"/>
      </w:pPr>
      <w:r>
        <w:rPr>
          <w:spacing w:val="-4"/>
        </w:rPr>
        <w:t>5.</w:t>
      </w:r>
      <w:r>
        <w:rPr>
          <w:spacing w:val="80"/>
        </w:rPr>
        <w:t xml:space="preserve"> </w:t>
      </w:r>
      <w:r>
        <w:rPr>
          <w:spacing w:val="-4"/>
        </w:rPr>
        <w:t>噪声控制措施</w:t>
      </w:r>
    </w:p>
    <w:p w14:paraId="257CAE03">
      <w:pPr>
        <w:pStyle w:val="2"/>
        <w:spacing w:before="201" w:line="219" w:lineRule="auto"/>
        <w:ind w:left="441"/>
      </w:pPr>
      <w:r>
        <w:rPr>
          <w:rFonts w:hint="eastAsia"/>
          <w:spacing w:val="-4"/>
          <w:lang w:eastAsia="zh-CN"/>
        </w:rPr>
        <w:t>1）</w:t>
      </w:r>
      <w:r>
        <w:rPr>
          <w:spacing w:val="68"/>
        </w:rPr>
        <w:t xml:space="preserve"> </w:t>
      </w:r>
      <w:r>
        <w:rPr>
          <w:spacing w:val="-4"/>
        </w:rPr>
        <w:t>控制噪声源，合理布局各功能区。</w:t>
      </w:r>
    </w:p>
    <w:p w14:paraId="18E5B09F">
      <w:pPr>
        <w:pStyle w:val="2"/>
        <w:spacing w:before="205" w:line="219" w:lineRule="auto"/>
        <w:ind w:left="426"/>
      </w:pPr>
      <w:r>
        <w:rPr>
          <w:rFonts w:hint="eastAsia"/>
          <w:spacing w:val="-2"/>
          <w:lang w:eastAsia="zh-CN"/>
        </w:rPr>
        <w:t>2）</w:t>
      </w:r>
      <w:r>
        <w:rPr>
          <w:spacing w:val="74"/>
        </w:rPr>
        <w:t xml:space="preserve"> </w:t>
      </w:r>
      <w:r>
        <w:rPr>
          <w:spacing w:val="-2"/>
        </w:rPr>
        <w:t>交通干道两侧建立绿化林带，其余各级道路两侧设置绿化</w:t>
      </w:r>
      <w:r>
        <w:rPr>
          <w:spacing w:val="-3"/>
        </w:rPr>
        <w:t>带。</w:t>
      </w:r>
    </w:p>
    <w:p w14:paraId="2028B425">
      <w:pPr>
        <w:pStyle w:val="2"/>
        <w:spacing w:before="206" w:line="220" w:lineRule="auto"/>
        <w:ind w:left="428"/>
      </w:pPr>
      <w:r>
        <w:rPr>
          <w:rFonts w:hint="eastAsia"/>
          <w:spacing w:val="-5"/>
          <w:lang w:eastAsia="zh-CN"/>
        </w:rPr>
        <w:t>3）</w:t>
      </w:r>
      <w:r>
        <w:rPr>
          <w:spacing w:val="80"/>
        </w:rPr>
        <w:t xml:space="preserve"> </w:t>
      </w:r>
      <w:r>
        <w:rPr>
          <w:rFonts w:hint="eastAsia"/>
          <w:spacing w:val="80"/>
          <w:lang w:eastAsia="zh-CN"/>
        </w:rPr>
        <w:t>噪声</w:t>
      </w:r>
      <w:r>
        <w:rPr>
          <w:spacing w:val="-5"/>
        </w:rPr>
        <w:t>分区</w:t>
      </w:r>
    </w:p>
    <w:p w14:paraId="5D3ACC17">
      <w:pPr>
        <w:pStyle w:val="2"/>
        <w:spacing w:before="203" w:line="376" w:lineRule="auto"/>
        <w:ind w:right="43" w:firstLine="484"/>
        <w:jc w:val="both"/>
      </w:pPr>
      <w:r>
        <w:rPr>
          <w:spacing w:val="1"/>
        </w:rPr>
        <w:t>综合服务中心区域划分为二类标准区，环境噪声不超过昼间 60</w:t>
      </w:r>
      <w:r>
        <w:t>dB</w:t>
      </w:r>
      <w:r>
        <w:rPr>
          <w:spacing w:val="1"/>
        </w:rPr>
        <w:t>(A</w:t>
      </w:r>
      <w:r>
        <w:rPr>
          <w:rFonts w:hint="eastAsia"/>
          <w:spacing w:val="1"/>
          <w:lang w:eastAsia="zh-CN"/>
        </w:rPr>
        <w:t>）</w:t>
      </w:r>
      <w:r>
        <w:rPr>
          <w:spacing w:val="1"/>
        </w:rPr>
        <w:t>， 夜间 50</w:t>
      </w:r>
      <w:r>
        <w:t>dB</w:t>
      </w:r>
      <w:r>
        <w:rPr>
          <w:spacing w:val="1"/>
        </w:rPr>
        <w:t>(A</w:t>
      </w:r>
      <w:r>
        <w:rPr>
          <w:rFonts w:hint="eastAsia"/>
          <w:spacing w:val="1"/>
          <w:lang w:eastAsia="zh-CN"/>
        </w:rPr>
        <w:t>）</w:t>
      </w:r>
      <w:r>
        <w:rPr>
          <w:spacing w:val="1"/>
        </w:rPr>
        <w:t>；产</w:t>
      </w:r>
      <w:r>
        <w:rPr>
          <w:spacing w:val="-1"/>
        </w:rPr>
        <w:t>业园区划分为三类标准区，环境噪声不超过昼间 65dB(A</w:t>
      </w:r>
      <w:r>
        <w:rPr>
          <w:rFonts w:hint="eastAsia"/>
          <w:spacing w:val="-1"/>
          <w:lang w:eastAsia="zh-CN"/>
        </w:rPr>
        <w:t>）</w:t>
      </w:r>
      <w:r>
        <w:rPr>
          <w:spacing w:val="-1"/>
        </w:rPr>
        <w:t>，夜间 55dB</w:t>
      </w:r>
      <w:r>
        <w:rPr>
          <w:spacing w:val="-2"/>
        </w:rPr>
        <w:t>(A</w:t>
      </w:r>
      <w:r>
        <w:rPr>
          <w:rFonts w:hint="eastAsia"/>
          <w:spacing w:val="-2"/>
          <w:lang w:eastAsia="zh-CN"/>
        </w:rPr>
        <w:t>）</w:t>
      </w:r>
      <w:r>
        <w:rPr>
          <w:spacing w:val="-2"/>
        </w:rPr>
        <w:t>；交通干线两侧区域划</w:t>
      </w:r>
      <w:r>
        <w:rPr>
          <w:spacing w:val="-1"/>
        </w:rPr>
        <w:t>分为四类标准区，环境噪声不超过昼间 70dB(A</w:t>
      </w:r>
      <w:r>
        <w:rPr>
          <w:rFonts w:hint="eastAsia"/>
          <w:spacing w:val="-1"/>
          <w:lang w:eastAsia="zh-CN"/>
        </w:rPr>
        <w:t>）</w:t>
      </w:r>
      <w:r>
        <w:rPr>
          <w:spacing w:val="-2"/>
        </w:rPr>
        <w:t>，夜间</w:t>
      </w:r>
      <w:r>
        <w:rPr>
          <w:spacing w:val="38"/>
        </w:rPr>
        <w:t xml:space="preserve"> </w:t>
      </w:r>
      <w:r>
        <w:rPr>
          <w:spacing w:val="-2"/>
        </w:rPr>
        <w:t>55dB(A</w:t>
      </w:r>
      <w:r>
        <w:rPr>
          <w:rFonts w:hint="eastAsia"/>
          <w:spacing w:val="-2"/>
          <w:lang w:eastAsia="zh-CN"/>
        </w:rPr>
        <w:t>）</w:t>
      </w:r>
      <w:r>
        <w:rPr>
          <w:spacing w:val="-2"/>
        </w:rPr>
        <w:t>。</w:t>
      </w:r>
    </w:p>
    <w:p w14:paraId="73EE6DCF">
      <w:pPr>
        <w:pStyle w:val="2"/>
        <w:spacing w:before="1" w:line="219" w:lineRule="auto"/>
        <w:ind w:left="425"/>
      </w:pPr>
      <w:r>
        <w:rPr>
          <w:spacing w:val="-3"/>
        </w:rPr>
        <w:t>6.</w:t>
      </w:r>
      <w:r>
        <w:rPr>
          <w:spacing w:val="75"/>
        </w:rPr>
        <w:t xml:space="preserve"> </w:t>
      </w:r>
      <w:r>
        <w:rPr>
          <w:spacing w:val="-3"/>
        </w:rPr>
        <w:t>强化环境管理</w:t>
      </w:r>
    </w:p>
    <w:p w14:paraId="53026CA2">
      <w:pPr>
        <w:pStyle w:val="2"/>
        <w:spacing w:before="205" w:line="311" w:lineRule="auto"/>
        <w:ind w:left="848" w:right="29" w:hanging="407"/>
      </w:pPr>
      <w:r>
        <w:rPr>
          <w:rFonts w:hint="eastAsia"/>
          <w:spacing w:val="1"/>
          <w:lang w:eastAsia="zh-CN"/>
        </w:rPr>
        <w:t>1）</w:t>
      </w:r>
      <w:r>
        <w:rPr>
          <w:spacing w:val="73"/>
        </w:rPr>
        <w:t xml:space="preserve"> </w:t>
      </w:r>
      <w:r>
        <w:rPr>
          <w:spacing w:val="1"/>
        </w:rPr>
        <w:t>盐边钒钛产业开发区内应严格执行国家、省和地方已颁布的各项环境管理制度和实施细</w:t>
      </w:r>
      <w:r>
        <w:rPr>
          <w:spacing w:val="-2"/>
        </w:rPr>
        <w:t>则，强化和完善环境影响评价。</w:t>
      </w:r>
    </w:p>
    <w:p w14:paraId="64CCF0AA">
      <w:pPr>
        <w:spacing w:line="311" w:lineRule="auto"/>
        <w:sectPr>
          <w:type w:val="continuous"/>
          <w:pgSz w:w="23811" w:h="16839"/>
          <w:pgMar w:top="1274" w:right="1409" w:bottom="1613" w:left="1411" w:header="838" w:footer="1386" w:gutter="0"/>
          <w:cols w:equalWidth="0" w:num="2">
            <w:col w:w="10825" w:space="100"/>
            <w:col w:w="10066"/>
          </w:cols>
        </w:sectPr>
      </w:pPr>
    </w:p>
    <w:p w14:paraId="674E5E70">
      <w:pPr>
        <w:spacing w:line="22" w:lineRule="exact"/>
      </w:pPr>
    </w:p>
    <w:p w14:paraId="02901676">
      <w:pPr>
        <w:spacing w:line="22" w:lineRule="exact"/>
        <w:sectPr>
          <w:headerReference r:id="rId38" w:type="default"/>
          <w:footerReference r:id="rId39" w:type="default"/>
          <w:pgSz w:w="23811" w:h="16839"/>
          <w:pgMar w:top="1274" w:right="1367" w:bottom="1613" w:left="1411" w:header="838" w:footer="1385" w:gutter="0"/>
          <w:cols w:equalWidth="0" w:num="1">
            <w:col w:w="21032"/>
          </w:cols>
        </w:sectPr>
      </w:pPr>
    </w:p>
    <w:p w14:paraId="747F4746">
      <w:pPr>
        <w:pStyle w:val="2"/>
        <w:spacing w:before="63" w:line="220" w:lineRule="auto"/>
        <w:ind w:left="463"/>
      </w:pPr>
      <w:r>
        <w:rPr>
          <w:rFonts w:hint="eastAsia"/>
          <w:spacing w:val="-3"/>
          <w:lang w:eastAsia="zh-CN"/>
        </w:rPr>
        <w:t>2）</w:t>
      </w:r>
      <w:r>
        <w:rPr>
          <w:spacing w:val="78"/>
        </w:rPr>
        <w:t xml:space="preserve"> </w:t>
      </w:r>
      <w:r>
        <w:rPr>
          <w:spacing w:val="-3"/>
        </w:rPr>
        <w:t>建立项目准入制度，严格项目立项和监管。</w:t>
      </w:r>
    </w:p>
    <w:p w14:paraId="60BBFF3A">
      <w:pPr>
        <w:pStyle w:val="2"/>
        <w:spacing w:before="203" w:line="376" w:lineRule="auto"/>
        <w:ind w:left="882" w:right="680" w:hanging="417"/>
      </w:pPr>
      <w:r>
        <w:rPr>
          <w:rFonts w:hint="eastAsia"/>
          <w:spacing w:val="-3"/>
          <w:lang w:eastAsia="zh-CN"/>
        </w:rPr>
        <w:t>3）</w:t>
      </w:r>
      <w:r>
        <w:rPr>
          <w:spacing w:val="80"/>
        </w:rPr>
        <w:t xml:space="preserve"> </w:t>
      </w:r>
      <w:r>
        <w:rPr>
          <w:spacing w:val="-3"/>
        </w:rPr>
        <w:t>抓好新建和改扩建项目的环保验收监测管理，保证在规定的时间内稳定</w:t>
      </w:r>
      <w:r>
        <w:rPr>
          <w:rFonts w:hint="eastAsia"/>
          <w:spacing w:val="-3"/>
          <w:lang w:eastAsia="zh-CN"/>
        </w:rPr>
        <w:t>地</w:t>
      </w:r>
      <w:r>
        <w:rPr>
          <w:spacing w:val="-3"/>
        </w:rPr>
        <w:t>达到排放标准，</w:t>
      </w:r>
      <w:r>
        <w:rPr>
          <w:spacing w:val="-2"/>
        </w:rPr>
        <w:t>经环保行政主管部门验收合格后，方可正式投产。</w:t>
      </w:r>
    </w:p>
    <w:p w14:paraId="1FAC72C4">
      <w:pPr>
        <w:pStyle w:val="2"/>
        <w:spacing w:before="1" w:line="376" w:lineRule="auto"/>
        <w:ind w:left="880" w:right="751" w:hanging="421"/>
      </w:pPr>
      <w:r>
        <w:rPr>
          <w:rFonts w:hint="eastAsia"/>
          <w:spacing w:val="2"/>
          <w:lang w:eastAsia="zh-CN"/>
        </w:rPr>
        <w:t>4）</w:t>
      </w:r>
      <w:r>
        <w:rPr>
          <w:spacing w:val="70"/>
        </w:rPr>
        <w:t xml:space="preserve"> </w:t>
      </w:r>
      <w:r>
        <w:rPr>
          <w:spacing w:val="2"/>
        </w:rPr>
        <w:t>加强废水、废气和固体废物集中控制和处理设</w:t>
      </w:r>
      <w:r>
        <w:rPr>
          <w:spacing w:val="1"/>
        </w:rPr>
        <w:t>施的建设和管理，并保证其正常运行达到</w:t>
      </w:r>
      <w:r>
        <w:rPr>
          <w:spacing w:val="-8"/>
        </w:rPr>
        <w:t>规定标准。</w:t>
      </w:r>
    </w:p>
    <w:p w14:paraId="769EA33E">
      <w:pPr>
        <w:pStyle w:val="2"/>
        <w:spacing w:line="219" w:lineRule="auto"/>
        <w:ind w:left="465"/>
      </w:pPr>
      <w:r>
        <w:rPr>
          <w:rFonts w:hint="eastAsia"/>
          <w:spacing w:val="-2"/>
          <w:lang w:eastAsia="zh-CN"/>
        </w:rPr>
        <w:t>5）</w:t>
      </w:r>
      <w:r>
        <w:rPr>
          <w:spacing w:val="88"/>
        </w:rPr>
        <w:t xml:space="preserve"> </w:t>
      </w:r>
      <w:r>
        <w:rPr>
          <w:spacing w:val="-2"/>
        </w:rPr>
        <w:t>严格执行国家、省、市关于土壤环境管理相关规定，做好土壤污染防治相关工作。</w:t>
      </w:r>
    </w:p>
    <w:p w14:paraId="5F6F159B">
      <w:pPr>
        <w:pStyle w:val="2"/>
        <w:spacing w:before="204" w:line="376" w:lineRule="auto"/>
        <w:ind w:left="879" w:right="750" w:hanging="417"/>
      </w:pPr>
      <w:r>
        <w:rPr>
          <w:rFonts w:hint="eastAsia"/>
          <w:b/>
          <w:bCs/>
          <w:spacing w:val="-4"/>
          <w:lang w:eastAsia="zh-CN"/>
        </w:rPr>
        <w:t>6）</w:t>
      </w:r>
      <w:r>
        <w:rPr>
          <w:spacing w:val="81"/>
        </w:rPr>
        <w:t xml:space="preserve"> </w:t>
      </w:r>
      <w:r>
        <w:rPr>
          <w:b/>
          <w:bCs/>
          <w:spacing w:val="-4"/>
        </w:rPr>
        <w:t>除在建项目外，严禁在长江干流及主要支流岸线</w:t>
      </w:r>
      <w:r>
        <w:rPr>
          <w:spacing w:val="-4"/>
        </w:rPr>
        <w:t xml:space="preserve"> </w:t>
      </w:r>
      <w:r>
        <w:rPr>
          <w:b/>
          <w:bCs/>
          <w:spacing w:val="-4"/>
        </w:rPr>
        <w:t>1</w:t>
      </w:r>
      <w:r>
        <w:rPr>
          <w:spacing w:val="-4"/>
        </w:rPr>
        <w:t xml:space="preserve"> </w:t>
      </w:r>
      <w:r>
        <w:rPr>
          <w:b/>
          <w:bCs/>
          <w:spacing w:val="-4"/>
        </w:rPr>
        <w:t>公里范围内新建布局重化工</w:t>
      </w:r>
      <w:r>
        <w:rPr>
          <w:b/>
          <w:bCs/>
          <w:spacing w:val="-5"/>
        </w:rPr>
        <w:t>园区，严</w:t>
      </w:r>
      <w:r>
        <w:rPr>
          <w:b/>
          <w:bCs/>
          <w:spacing w:val="-2"/>
        </w:rPr>
        <w:t>控中上游沿岸地区新建石油化工、煤化工、涉磷、造纸、印染、制革等项目。</w:t>
      </w:r>
    </w:p>
    <w:p w14:paraId="10CBC788">
      <w:pPr>
        <w:pStyle w:val="2"/>
        <w:spacing w:before="1" w:line="219" w:lineRule="auto"/>
        <w:ind w:left="466"/>
      </w:pPr>
      <w:r>
        <w:rPr>
          <w:spacing w:val="-3"/>
        </w:rPr>
        <w:t>7.</w:t>
      </w:r>
      <w:r>
        <w:rPr>
          <w:spacing w:val="77"/>
        </w:rPr>
        <w:t xml:space="preserve"> </w:t>
      </w:r>
      <w:r>
        <w:rPr>
          <w:spacing w:val="-3"/>
        </w:rPr>
        <w:t>矿区生态恢复与重建</w:t>
      </w:r>
    </w:p>
    <w:p w14:paraId="507E8006">
      <w:pPr>
        <w:pStyle w:val="2"/>
        <w:spacing w:before="204" w:line="220" w:lineRule="auto"/>
        <w:ind w:left="478"/>
      </w:pPr>
      <w:r>
        <w:rPr>
          <w:rFonts w:hint="eastAsia"/>
          <w:spacing w:val="-4"/>
          <w:lang w:eastAsia="zh-CN"/>
        </w:rPr>
        <w:t>1）</w:t>
      </w:r>
      <w:r>
        <w:rPr>
          <w:spacing w:val="76"/>
        </w:rPr>
        <w:t xml:space="preserve"> </w:t>
      </w:r>
      <w:r>
        <w:rPr>
          <w:spacing w:val="-4"/>
        </w:rPr>
        <w:t>加强尾矿库安全管理</w:t>
      </w:r>
    </w:p>
    <w:p w14:paraId="48951F3E">
      <w:pPr>
        <w:pStyle w:val="2"/>
        <w:spacing w:before="204" w:line="376" w:lineRule="auto"/>
        <w:ind w:left="38" w:right="681" w:firstLine="480"/>
      </w:pPr>
      <w:r>
        <w:rPr>
          <w:spacing w:val="-1"/>
        </w:rPr>
        <w:t>加强对尾矿库和排土场的跟踪监测和评价措施，及时掌握变化趋势，适时采</w:t>
      </w:r>
      <w:r>
        <w:rPr>
          <w:spacing w:val="-2"/>
        </w:rPr>
        <w:t>取控制措施，避</w:t>
      </w:r>
      <w:r>
        <w:rPr>
          <w:spacing w:val="1"/>
        </w:rPr>
        <w:t>免尾矿库溃坝、排土场垮塌等重大危险事故发生。并严</w:t>
      </w:r>
      <w:r>
        <w:t>格落实各尾矿库服务期满后的闭库管理，</w:t>
      </w:r>
      <w:r>
        <w:rPr>
          <w:spacing w:val="-3"/>
        </w:rPr>
        <w:t>减少尾矿库对环境的不良影响。</w:t>
      </w:r>
    </w:p>
    <w:p w14:paraId="743DD49E">
      <w:pPr>
        <w:pStyle w:val="2"/>
        <w:spacing w:line="220" w:lineRule="auto"/>
        <w:ind w:left="463"/>
      </w:pPr>
      <w:r>
        <w:rPr>
          <w:rFonts w:hint="eastAsia"/>
          <w:spacing w:val="-4"/>
          <w:lang w:eastAsia="zh-CN"/>
        </w:rPr>
        <w:t>2）</w:t>
      </w:r>
      <w:r>
        <w:rPr>
          <w:spacing w:val="73"/>
        </w:rPr>
        <w:t xml:space="preserve"> </w:t>
      </w:r>
      <w:r>
        <w:rPr>
          <w:spacing w:val="-4"/>
        </w:rPr>
        <w:t>生态恢复</w:t>
      </w:r>
    </w:p>
    <w:p w14:paraId="30CB113A">
      <w:pPr>
        <w:pStyle w:val="2"/>
        <w:spacing w:before="204" w:line="377" w:lineRule="auto"/>
        <w:ind w:left="38" w:right="749" w:firstLine="479"/>
      </w:pPr>
      <w:r>
        <w:rPr>
          <w:spacing w:val="-1"/>
        </w:rPr>
        <w:t>及时将废弃地尽可能</w:t>
      </w:r>
      <w:r>
        <w:rPr>
          <w:rFonts w:hint="eastAsia"/>
          <w:spacing w:val="-1"/>
          <w:lang w:eastAsia="zh-CN"/>
        </w:rPr>
        <w:t>地</w:t>
      </w:r>
      <w:r>
        <w:rPr>
          <w:spacing w:val="-1"/>
        </w:rPr>
        <w:t>复垦成可利用地，在自然条件及土地类型允许的前提下</w:t>
      </w:r>
      <w:r>
        <w:rPr>
          <w:spacing w:val="-2"/>
        </w:rPr>
        <w:t>首先复垦成林</w:t>
      </w:r>
      <w:r>
        <w:rPr>
          <w:spacing w:val="-5"/>
        </w:rPr>
        <w:t>地；在沟壑地区、排渣场边缘和道路边缘等区域重点加强水土流失治理工</w:t>
      </w:r>
      <w:r>
        <w:rPr>
          <w:spacing w:val="-6"/>
        </w:rPr>
        <w:t>作；</w:t>
      </w:r>
      <w:r>
        <w:rPr>
          <w:spacing w:val="53"/>
        </w:rPr>
        <w:t xml:space="preserve"> </w:t>
      </w:r>
      <w:r>
        <w:rPr>
          <w:spacing w:val="-6"/>
        </w:rPr>
        <w:t>利用矿区内高压电</w:t>
      </w:r>
      <w:r>
        <w:rPr>
          <w:spacing w:val="-1"/>
        </w:rPr>
        <w:t>力走廊和不宜建设用地进行生态防护林建设；在主要道路两侧及工业场地内，以园林绿化方</w:t>
      </w:r>
      <w:r>
        <w:rPr>
          <w:spacing w:val="-2"/>
        </w:rPr>
        <w:t>式进</w:t>
      </w:r>
      <w:r>
        <w:rPr>
          <w:spacing w:val="-3"/>
        </w:rPr>
        <w:t>行植被种植，绿化美化矿区环境。</w:t>
      </w:r>
    </w:p>
    <w:p w14:paraId="5DF8345A">
      <w:pPr>
        <w:spacing w:before="187" w:line="219" w:lineRule="auto"/>
        <w:ind w:left="250"/>
        <w:rPr>
          <w:rFonts w:ascii="黑体" w:hAnsi="黑体" w:eastAsia="黑体" w:cs="黑体"/>
          <w:sz w:val="28"/>
          <w:szCs w:val="28"/>
        </w:rPr>
      </w:pPr>
      <w:r>
        <w:rPr>
          <w:rFonts w:ascii="黑体" w:hAnsi="黑体" w:eastAsia="黑体" w:cs="黑体"/>
          <w:spacing w:val="-2"/>
          <w:sz w:val="28"/>
          <w:szCs w:val="28"/>
        </w:rPr>
        <w:t>第三十九条</w:t>
      </w:r>
      <w:r>
        <w:rPr>
          <w:rFonts w:ascii="黑体" w:hAnsi="黑体" w:eastAsia="黑体" w:cs="黑体"/>
          <w:spacing w:val="27"/>
          <w:sz w:val="28"/>
          <w:szCs w:val="28"/>
        </w:rPr>
        <w:t xml:space="preserve">   </w:t>
      </w:r>
      <w:r>
        <w:rPr>
          <w:rFonts w:ascii="黑体" w:hAnsi="黑体" w:eastAsia="黑体" w:cs="黑体"/>
          <w:spacing w:val="-2"/>
          <w:sz w:val="28"/>
          <w:szCs w:val="28"/>
        </w:rPr>
        <w:t>环卫设施规划</w:t>
      </w:r>
    </w:p>
    <w:p w14:paraId="5544F470">
      <w:pPr>
        <w:spacing w:line="309" w:lineRule="auto"/>
        <w:rPr>
          <w:rFonts w:ascii="Arial"/>
          <w:sz w:val="21"/>
        </w:rPr>
      </w:pPr>
    </w:p>
    <w:p w14:paraId="58046392">
      <w:pPr>
        <w:pStyle w:val="2"/>
        <w:spacing w:before="78" w:line="222" w:lineRule="auto"/>
        <w:ind w:left="478"/>
      </w:pPr>
      <w:r>
        <w:rPr>
          <w:spacing w:val="-9"/>
        </w:rPr>
        <w:t>1.</w:t>
      </w:r>
      <w:r>
        <w:rPr>
          <w:spacing w:val="76"/>
        </w:rPr>
        <w:t xml:space="preserve"> </w:t>
      </w:r>
      <w:r>
        <w:rPr>
          <w:spacing w:val="-9"/>
        </w:rPr>
        <w:t>公厕</w:t>
      </w:r>
    </w:p>
    <w:p w14:paraId="2F8A91BE">
      <w:pPr>
        <w:pStyle w:val="2"/>
        <w:spacing w:before="198" w:line="377" w:lineRule="auto"/>
        <w:ind w:left="47" w:right="763" w:firstLine="472"/>
      </w:pPr>
      <w:r>
        <w:rPr>
          <w:spacing w:val="-2"/>
        </w:rPr>
        <w:t>按照</w:t>
      </w:r>
      <w:r>
        <w:rPr>
          <w:spacing w:val="-33"/>
        </w:rPr>
        <w:t xml:space="preserve"> </w:t>
      </w:r>
      <w:r>
        <w:rPr>
          <w:spacing w:val="-2"/>
        </w:rPr>
        <w:t>1—2</w:t>
      </w:r>
      <w:r>
        <w:rPr>
          <w:spacing w:val="-49"/>
        </w:rPr>
        <w:t xml:space="preserve"> </w:t>
      </w:r>
      <w:r>
        <w:rPr>
          <w:spacing w:val="-2"/>
        </w:rPr>
        <w:t>座/平方公里标准设置公共厕所、使其达到</w:t>
      </w:r>
      <w:r>
        <w:rPr>
          <w:spacing w:val="-3"/>
        </w:rPr>
        <w:t>布局合理、美观、卫生的目的</w:t>
      </w:r>
      <w:r>
        <w:rPr>
          <w:rFonts w:hint="eastAsia"/>
          <w:spacing w:val="-3"/>
          <w:lang w:eastAsia="zh-CN"/>
        </w:rPr>
        <w:t>；在</w:t>
      </w:r>
      <w:r>
        <w:rPr>
          <w:spacing w:val="-3"/>
        </w:rPr>
        <w:t>局部人</w:t>
      </w:r>
      <w:r>
        <w:rPr>
          <w:spacing w:val="-4"/>
        </w:rPr>
        <w:t>员密集地段，可酌情增补公厕数量。</w:t>
      </w:r>
    </w:p>
    <w:p w14:paraId="7C88CCE7">
      <w:pPr>
        <w:pStyle w:val="2"/>
        <w:spacing w:line="219" w:lineRule="auto"/>
        <w:ind w:left="463"/>
      </w:pPr>
      <w:r>
        <w:rPr>
          <w:spacing w:val="-2"/>
        </w:rPr>
        <w:t>2.</w:t>
      </w:r>
      <w:r>
        <w:rPr>
          <w:spacing w:val="77"/>
        </w:rPr>
        <w:t xml:space="preserve"> </w:t>
      </w:r>
      <w:r>
        <w:rPr>
          <w:spacing w:val="-2"/>
        </w:rPr>
        <w:t>果皮箱、垃圾收集点及转运站</w:t>
      </w:r>
    </w:p>
    <w:p w14:paraId="68F2B784">
      <w:pPr>
        <w:pStyle w:val="2"/>
        <w:spacing w:before="204" w:line="219" w:lineRule="auto"/>
        <w:ind w:left="522"/>
      </w:pPr>
      <w:r>
        <w:rPr>
          <w:spacing w:val="-2"/>
        </w:rPr>
        <w:t>果皮箱设置在道路两旁，干道每</w:t>
      </w:r>
      <w:r>
        <w:rPr>
          <w:spacing w:val="-30"/>
        </w:rPr>
        <w:t xml:space="preserve"> </w:t>
      </w:r>
      <w:r>
        <w:rPr>
          <w:spacing w:val="-2"/>
        </w:rPr>
        <w:t>100—200</w:t>
      </w:r>
      <w:r>
        <w:rPr>
          <w:spacing w:val="-48"/>
        </w:rPr>
        <w:t xml:space="preserve"> </w:t>
      </w:r>
      <w:r>
        <w:rPr>
          <w:spacing w:val="-2"/>
        </w:rPr>
        <w:t>米设置</w:t>
      </w:r>
      <w:r>
        <w:rPr>
          <w:spacing w:val="-31"/>
        </w:rPr>
        <w:t xml:space="preserve"> </w:t>
      </w:r>
      <w:r>
        <w:rPr>
          <w:spacing w:val="-2"/>
        </w:rPr>
        <w:t>1</w:t>
      </w:r>
      <w:r>
        <w:rPr>
          <w:spacing w:val="-48"/>
        </w:rPr>
        <w:t xml:space="preserve"> </w:t>
      </w:r>
      <w:r>
        <w:rPr>
          <w:spacing w:val="-2"/>
        </w:rPr>
        <w:t>个，一般道路每</w:t>
      </w:r>
      <w:r>
        <w:rPr>
          <w:spacing w:val="-45"/>
        </w:rPr>
        <w:t xml:space="preserve"> </w:t>
      </w:r>
      <w:r>
        <w:rPr>
          <w:spacing w:val="-2"/>
        </w:rPr>
        <w:t>200—4</w:t>
      </w:r>
      <w:r>
        <w:rPr>
          <w:spacing w:val="-3"/>
        </w:rPr>
        <w:t>00</w:t>
      </w:r>
      <w:r>
        <w:rPr>
          <w:spacing w:val="-48"/>
        </w:rPr>
        <w:t xml:space="preserve"> </w:t>
      </w:r>
      <w:r>
        <w:rPr>
          <w:spacing w:val="-3"/>
        </w:rPr>
        <w:t>米设置</w:t>
      </w:r>
      <w:r>
        <w:rPr>
          <w:spacing w:val="-30"/>
        </w:rPr>
        <w:t xml:space="preserve"> </w:t>
      </w:r>
      <w:r>
        <w:rPr>
          <w:spacing w:val="-3"/>
        </w:rPr>
        <w:t>1</w:t>
      </w:r>
      <w:r>
        <w:rPr>
          <w:spacing w:val="-48"/>
        </w:rPr>
        <w:t xml:space="preserve"> </w:t>
      </w:r>
      <w:r>
        <w:rPr>
          <w:spacing w:val="-3"/>
        </w:rPr>
        <w:t>个。</w:t>
      </w:r>
    </w:p>
    <w:p w14:paraId="310BD21C">
      <w:pPr>
        <w:pStyle w:val="2"/>
        <w:spacing w:before="202" w:line="379" w:lineRule="auto"/>
        <w:ind w:left="39" w:right="748" w:firstLine="478"/>
      </w:pPr>
      <w:r>
        <w:rPr>
          <w:spacing w:val="-2"/>
        </w:rPr>
        <w:t>采用直运垃圾处置场的转运模式，垃圾收集站服务半径为 150</w:t>
      </w:r>
      <w:r>
        <w:rPr>
          <w:spacing w:val="-3"/>
        </w:rPr>
        <w:t>0</w:t>
      </w:r>
      <w:r>
        <w:rPr>
          <w:spacing w:val="-29"/>
        </w:rPr>
        <w:t xml:space="preserve"> </w:t>
      </w:r>
      <w:r>
        <w:rPr>
          <w:spacing w:val="-3"/>
        </w:rPr>
        <w:t>米，用地面积不小于 100</w:t>
      </w:r>
      <w:r>
        <w:rPr>
          <w:spacing w:val="-30"/>
        </w:rPr>
        <w:t xml:space="preserve"> </w:t>
      </w:r>
      <w:r>
        <w:rPr>
          <w:spacing w:val="-3"/>
        </w:rPr>
        <w:t>平</w:t>
      </w:r>
      <w:r>
        <w:rPr>
          <w:spacing w:val="-2"/>
        </w:rPr>
        <w:t>方米，与周围建筑物的间隔不小于</w:t>
      </w:r>
      <w:r>
        <w:rPr>
          <w:spacing w:val="-41"/>
        </w:rPr>
        <w:t xml:space="preserve"> </w:t>
      </w:r>
      <w:r>
        <w:rPr>
          <w:spacing w:val="-2"/>
        </w:rPr>
        <w:t>5.0</w:t>
      </w:r>
      <w:r>
        <w:rPr>
          <w:spacing w:val="-50"/>
        </w:rPr>
        <w:t xml:space="preserve"> </w:t>
      </w:r>
      <w:r>
        <w:rPr>
          <w:spacing w:val="-2"/>
        </w:rPr>
        <w:t>米。</w:t>
      </w:r>
    </w:p>
    <w:p w14:paraId="5C550A3D">
      <w:pPr>
        <w:spacing w:line="14" w:lineRule="auto"/>
        <w:rPr>
          <w:rFonts w:ascii="Arial"/>
          <w:sz w:val="2"/>
        </w:rPr>
      </w:pPr>
      <w:r>
        <w:rPr>
          <w:rFonts w:ascii="Arial" w:hAnsi="Arial" w:eastAsia="Arial" w:cs="Arial"/>
          <w:sz w:val="2"/>
          <w:szCs w:val="2"/>
        </w:rPr>
        <w:br w:type="column"/>
      </w:r>
    </w:p>
    <w:p w14:paraId="67B1B334">
      <w:pPr>
        <w:spacing w:line="274" w:lineRule="auto"/>
        <w:rPr>
          <w:rFonts w:ascii="Arial"/>
          <w:sz w:val="21"/>
        </w:rPr>
      </w:pPr>
    </w:p>
    <w:p w14:paraId="4059462D">
      <w:pPr>
        <w:spacing w:line="275" w:lineRule="auto"/>
        <w:rPr>
          <w:rFonts w:ascii="Arial"/>
          <w:sz w:val="21"/>
        </w:rPr>
      </w:pPr>
    </w:p>
    <w:p w14:paraId="75E71853">
      <w:pPr>
        <w:spacing w:line="275" w:lineRule="auto"/>
        <w:rPr>
          <w:rFonts w:ascii="Arial"/>
          <w:sz w:val="21"/>
        </w:rPr>
      </w:pPr>
    </w:p>
    <w:p w14:paraId="15BC6CAE">
      <w:pPr>
        <w:spacing w:before="101" w:line="224" w:lineRule="auto"/>
        <w:ind w:left="2426"/>
        <w:outlineLvl w:val="0"/>
        <w:rPr>
          <w:rFonts w:ascii="黑体" w:hAnsi="黑体" w:eastAsia="黑体" w:cs="黑体"/>
          <w:sz w:val="31"/>
          <w:szCs w:val="31"/>
        </w:rPr>
      </w:pPr>
      <w:bookmarkStart w:id="12" w:name="bookmark13"/>
      <w:bookmarkEnd w:id="12"/>
      <w:r>
        <w:rPr>
          <w:rFonts w:ascii="黑体" w:hAnsi="黑体" w:eastAsia="黑体" w:cs="黑体"/>
          <w:spacing w:val="7"/>
          <w:sz w:val="31"/>
          <w:szCs w:val="31"/>
        </w:rPr>
        <w:t>第十三章</w:t>
      </w:r>
      <w:r>
        <w:rPr>
          <w:rFonts w:ascii="黑体" w:hAnsi="黑体" w:eastAsia="黑体" w:cs="黑体"/>
          <w:spacing w:val="59"/>
          <w:sz w:val="31"/>
          <w:szCs w:val="31"/>
        </w:rPr>
        <w:t xml:space="preserve">  </w:t>
      </w:r>
      <w:r>
        <w:rPr>
          <w:rFonts w:ascii="黑体" w:hAnsi="黑体" w:eastAsia="黑体" w:cs="黑体"/>
          <w:spacing w:val="7"/>
          <w:sz w:val="31"/>
          <w:szCs w:val="31"/>
        </w:rPr>
        <w:t>公共安全与综合防灾规划</w:t>
      </w:r>
    </w:p>
    <w:p w14:paraId="3D8F6473">
      <w:pPr>
        <w:spacing w:line="267" w:lineRule="auto"/>
        <w:rPr>
          <w:rFonts w:ascii="Arial"/>
          <w:sz w:val="21"/>
        </w:rPr>
      </w:pPr>
    </w:p>
    <w:p w14:paraId="1CA012D9">
      <w:pPr>
        <w:spacing w:line="267" w:lineRule="auto"/>
        <w:rPr>
          <w:rFonts w:ascii="Arial"/>
          <w:sz w:val="21"/>
        </w:rPr>
      </w:pPr>
    </w:p>
    <w:p w14:paraId="49ADC1F9">
      <w:pPr>
        <w:spacing w:before="91" w:line="219" w:lineRule="auto"/>
        <w:ind w:left="352"/>
        <w:rPr>
          <w:rFonts w:ascii="黑体" w:hAnsi="黑体" w:eastAsia="黑体" w:cs="黑体"/>
          <w:sz w:val="28"/>
          <w:szCs w:val="28"/>
        </w:rPr>
      </w:pPr>
      <w:r>
        <w:rPr>
          <w:rFonts w:ascii="黑体" w:hAnsi="黑体" w:eastAsia="黑体" w:cs="黑体"/>
          <w:spacing w:val="-4"/>
          <w:sz w:val="28"/>
          <w:szCs w:val="28"/>
        </w:rPr>
        <w:t>第四十条</w:t>
      </w:r>
      <w:r>
        <w:rPr>
          <w:rFonts w:ascii="黑体" w:hAnsi="黑体" w:eastAsia="黑体" w:cs="黑体"/>
          <w:spacing w:val="98"/>
          <w:sz w:val="28"/>
          <w:szCs w:val="28"/>
        </w:rPr>
        <w:t xml:space="preserve"> </w:t>
      </w:r>
      <w:r>
        <w:rPr>
          <w:rFonts w:ascii="黑体" w:hAnsi="黑体" w:eastAsia="黑体" w:cs="黑体"/>
          <w:spacing w:val="-4"/>
          <w:sz w:val="28"/>
          <w:szCs w:val="28"/>
        </w:rPr>
        <w:t>防洪规划</w:t>
      </w:r>
    </w:p>
    <w:p w14:paraId="64B2368D">
      <w:pPr>
        <w:spacing w:line="306" w:lineRule="auto"/>
        <w:rPr>
          <w:rFonts w:ascii="Arial"/>
          <w:sz w:val="21"/>
        </w:rPr>
      </w:pPr>
    </w:p>
    <w:p w14:paraId="12E2C536">
      <w:pPr>
        <w:pStyle w:val="2"/>
        <w:spacing w:before="78" w:line="379" w:lineRule="auto"/>
        <w:ind w:left="16" w:right="68" w:firstLine="468"/>
      </w:pPr>
      <w:r>
        <w:rPr>
          <w:b/>
          <w:bCs/>
          <w:spacing w:val="-6"/>
          <w:u w:val="single" w:color="auto"/>
        </w:rPr>
        <w:t>规划金沙江按</w:t>
      </w:r>
      <w:r>
        <w:rPr>
          <w:spacing w:val="-20"/>
          <w:u w:val="single" w:color="auto"/>
        </w:rPr>
        <w:t xml:space="preserve"> </w:t>
      </w:r>
      <w:r>
        <w:rPr>
          <w:b/>
          <w:bCs/>
          <w:spacing w:val="-6"/>
          <w:u w:val="single" w:color="auto"/>
        </w:rPr>
        <w:t>100</w:t>
      </w:r>
      <w:r>
        <w:rPr>
          <w:spacing w:val="-49"/>
          <w:u w:val="single" w:color="auto"/>
        </w:rPr>
        <w:t xml:space="preserve"> </w:t>
      </w:r>
      <w:r>
        <w:rPr>
          <w:b/>
          <w:bCs/>
          <w:spacing w:val="-6"/>
          <w:u w:val="single" w:color="auto"/>
        </w:rPr>
        <w:t>年一遇标准设防，巴拉河按</w:t>
      </w:r>
      <w:r>
        <w:rPr>
          <w:spacing w:val="-47"/>
          <w:u w:val="single" w:color="auto"/>
        </w:rPr>
        <w:t xml:space="preserve"> </w:t>
      </w:r>
      <w:r>
        <w:rPr>
          <w:b/>
          <w:bCs/>
          <w:spacing w:val="-6"/>
          <w:u w:val="single" w:color="auto"/>
        </w:rPr>
        <w:t>20</w:t>
      </w:r>
      <w:r>
        <w:rPr>
          <w:spacing w:val="-49"/>
          <w:u w:val="single" w:color="auto"/>
        </w:rPr>
        <w:t xml:space="preserve"> </w:t>
      </w:r>
      <w:r>
        <w:rPr>
          <w:b/>
          <w:bCs/>
          <w:spacing w:val="-6"/>
          <w:u w:val="single" w:color="auto"/>
        </w:rPr>
        <w:t>年一遇标准设防。山洪按</w:t>
      </w:r>
      <w:r>
        <w:rPr>
          <w:spacing w:val="-47"/>
          <w:u w:val="single" w:color="auto"/>
        </w:rPr>
        <w:t xml:space="preserve"> </w:t>
      </w:r>
      <w:r>
        <w:rPr>
          <w:b/>
          <w:bCs/>
          <w:spacing w:val="-6"/>
          <w:u w:val="single" w:color="auto"/>
        </w:rPr>
        <w:t>20</w:t>
      </w:r>
      <w:r>
        <w:rPr>
          <w:spacing w:val="-50"/>
          <w:u w:val="single" w:color="auto"/>
        </w:rPr>
        <w:t xml:space="preserve"> </w:t>
      </w:r>
      <w:r>
        <w:rPr>
          <w:b/>
          <w:bCs/>
          <w:spacing w:val="-6"/>
          <w:u w:val="single" w:color="auto"/>
        </w:rPr>
        <w:t>年一遇标准设</w:t>
      </w:r>
      <w:r>
        <w:rPr>
          <w:b/>
          <w:bCs/>
          <w:spacing w:val="-5"/>
          <w:u w:val="single" w:color="auto"/>
        </w:rPr>
        <w:t>防；尾矿库和排土场防洪标准按照《防洪标准》（GB50201—2014）根据库容确定其防洪标准。</w:t>
      </w:r>
    </w:p>
    <w:p w14:paraId="322186E3">
      <w:pPr>
        <w:spacing w:before="185" w:line="219" w:lineRule="auto"/>
        <w:ind w:left="213"/>
        <w:rPr>
          <w:rFonts w:ascii="黑体" w:hAnsi="黑体" w:eastAsia="黑体" w:cs="黑体"/>
          <w:sz w:val="28"/>
          <w:szCs w:val="28"/>
        </w:rPr>
      </w:pPr>
      <w:r>
        <w:rPr>
          <w:rFonts w:ascii="黑体" w:hAnsi="黑体" w:eastAsia="黑体" w:cs="黑体"/>
          <w:spacing w:val="-2"/>
          <w:sz w:val="28"/>
          <w:szCs w:val="28"/>
        </w:rPr>
        <w:t>第四十一条</w:t>
      </w:r>
      <w:r>
        <w:rPr>
          <w:rFonts w:ascii="黑体" w:hAnsi="黑体" w:eastAsia="黑体" w:cs="黑体"/>
          <w:spacing w:val="26"/>
          <w:sz w:val="28"/>
          <w:szCs w:val="28"/>
        </w:rPr>
        <w:t xml:space="preserve">   </w:t>
      </w:r>
      <w:r>
        <w:rPr>
          <w:rFonts w:ascii="黑体" w:hAnsi="黑体" w:eastAsia="黑体" w:cs="黑体"/>
          <w:spacing w:val="-2"/>
          <w:sz w:val="28"/>
          <w:szCs w:val="28"/>
        </w:rPr>
        <w:t>消防规划</w:t>
      </w:r>
    </w:p>
    <w:p w14:paraId="16D12CCC">
      <w:pPr>
        <w:spacing w:line="441" w:lineRule="auto"/>
        <w:rPr>
          <w:rFonts w:ascii="Arial"/>
          <w:sz w:val="21"/>
        </w:rPr>
      </w:pPr>
    </w:p>
    <w:p w14:paraId="6E769768">
      <w:pPr>
        <w:spacing w:before="78" w:line="218" w:lineRule="auto"/>
        <w:ind w:left="485"/>
        <w:rPr>
          <w:rFonts w:ascii="黑体" w:hAnsi="黑体" w:eastAsia="黑体" w:cs="黑体"/>
          <w:sz w:val="24"/>
          <w:szCs w:val="24"/>
        </w:rPr>
      </w:pPr>
      <w:r>
        <w:rPr>
          <w:rFonts w:ascii="黑体" w:hAnsi="黑体" w:eastAsia="黑体" w:cs="黑体"/>
          <w:spacing w:val="-2"/>
          <w:sz w:val="24"/>
          <w:szCs w:val="24"/>
        </w:rPr>
        <w:t>一、消防站规划</w:t>
      </w:r>
    </w:p>
    <w:p w14:paraId="6A1CDE5E">
      <w:pPr>
        <w:spacing w:line="382" w:lineRule="auto"/>
        <w:rPr>
          <w:rFonts w:ascii="Arial"/>
          <w:sz w:val="21"/>
        </w:rPr>
      </w:pPr>
    </w:p>
    <w:p w14:paraId="32F973E5">
      <w:pPr>
        <w:pStyle w:val="2"/>
        <w:spacing w:before="79" w:line="378" w:lineRule="auto"/>
        <w:ind w:left="5" w:right="70" w:firstLine="478"/>
        <w:jc w:val="both"/>
      </w:pPr>
      <w:r>
        <w:rPr>
          <w:b/>
          <w:bCs/>
          <w:spacing w:val="-4"/>
          <w:u w:val="single" w:color="auto"/>
        </w:rPr>
        <w:t>规划消防站</w:t>
      </w:r>
      <w:r>
        <w:rPr>
          <w:spacing w:val="-49"/>
          <w:u w:val="single" w:color="auto"/>
        </w:rPr>
        <w:t xml:space="preserve"> </w:t>
      </w:r>
      <w:r>
        <w:rPr>
          <w:b/>
          <w:bCs/>
          <w:spacing w:val="-4"/>
          <w:u w:val="single" w:color="auto"/>
        </w:rPr>
        <w:t>4</w:t>
      </w:r>
      <w:r>
        <w:rPr>
          <w:spacing w:val="-49"/>
          <w:u w:val="single" w:color="auto"/>
        </w:rPr>
        <w:t xml:space="preserve"> </w:t>
      </w:r>
      <w:r>
        <w:rPr>
          <w:b/>
          <w:bCs/>
          <w:spacing w:val="-4"/>
          <w:u w:val="single" w:color="auto"/>
        </w:rPr>
        <w:t>座，其中安宁片区设置两座一级普通消防站，一</w:t>
      </w:r>
      <w:r>
        <w:rPr>
          <w:b/>
          <w:bCs/>
          <w:spacing w:val="-5"/>
          <w:u w:val="single" w:color="auto"/>
        </w:rPr>
        <w:t>处位于园区中南部，服务南部</w:t>
      </w:r>
      <w:r>
        <w:rPr>
          <w:b/>
          <w:bCs/>
          <w:spacing w:val="-4"/>
          <w:u w:val="single" w:color="auto"/>
        </w:rPr>
        <w:t>园区，另一处位于北侧，服务园区北部；新九片区设一级普通消防站两座。安宁片区的一级普通</w:t>
      </w:r>
      <w:r>
        <w:rPr>
          <w:b/>
          <w:bCs/>
          <w:spacing w:val="-5"/>
          <w:u w:val="single" w:color="auto"/>
        </w:rPr>
        <w:t>消防站分别占地</w:t>
      </w:r>
      <w:r>
        <w:rPr>
          <w:spacing w:val="-48"/>
          <w:u w:val="single" w:color="auto"/>
        </w:rPr>
        <w:t xml:space="preserve"> </w:t>
      </w:r>
      <w:r>
        <w:rPr>
          <w:b/>
          <w:bCs/>
          <w:spacing w:val="-5"/>
          <w:u w:val="single" w:color="auto"/>
        </w:rPr>
        <w:t>0.86</w:t>
      </w:r>
      <w:r>
        <w:rPr>
          <w:spacing w:val="-43"/>
          <w:u w:val="single" w:color="auto"/>
        </w:rPr>
        <w:t xml:space="preserve"> </w:t>
      </w:r>
      <w:r>
        <w:rPr>
          <w:b/>
          <w:bCs/>
          <w:spacing w:val="-5"/>
          <w:u w:val="single" w:color="auto"/>
        </w:rPr>
        <w:t>公顷、0.96，新九片区的一级普通</w:t>
      </w:r>
      <w:r>
        <w:rPr>
          <w:b/>
          <w:bCs/>
          <w:spacing w:val="-6"/>
          <w:u w:val="single" w:color="auto"/>
        </w:rPr>
        <w:t>消防站分别占地0.58</w:t>
      </w:r>
      <w:r>
        <w:rPr>
          <w:spacing w:val="-43"/>
          <w:u w:val="single" w:color="auto"/>
        </w:rPr>
        <w:t xml:space="preserve"> </w:t>
      </w:r>
      <w:r>
        <w:rPr>
          <w:b/>
          <w:bCs/>
          <w:spacing w:val="-6"/>
          <w:u w:val="single" w:color="auto"/>
        </w:rPr>
        <w:t>公顷、0.57</w:t>
      </w:r>
      <w:r>
        <w:rPr>
          <w:spacing w:val="-43"/>
          <w:u w:val="single" w:color="auto"/>
        </w:rPr>
        <w:t xml:space="preserve"> </w:t>
      </w:r>
      <w:r>
        <w:rPr>
          <w:b/>
          <w:bCs/>
          <w:spacing w:val="-6"/>
          <w:u w:val="single" w:color="auto"/>
        </w:rPr>
        <w:t>公顷</w:t>
      </w:r>
      <w:r>
        <w:rPr>
          <w:spacing w:val="-6"/>
        </w:rPr>
        <w:t>。</w:t>
      </w:r>
    </w:p>
    <w:p w14:paraId="036BC45D">
      <w:pPr>
        <w:spacing w:before="254" w:line="218" w:lineRule="auto"/>
        <w:ind w:left="485"/>
        <w:rPr>
          <w:rFonts w:ascii="黑体" w:hAnsi="黑体" w:eastAsia="黑体" w:cs="黑体"/>
          <w:sz w:val="24"/>
          <w:szCs w:val="24"/>
        </w:rPr>
      </w:pPr>
      <w:r>
        <w:rPr>
          <w:rFonts w:ascii="黑体" w:hAnsi="黑体" w:eastAsia="黑体" w:cs="黑体"/>
          <w:spacing w:val="-2"/>
          <w:sz w:val="24"/>
          <w:szCs w:val="24"/>
        </w:rPr>
        <w:t>二、消防通道</w:t>
      </w:r>
    </w:p>
    <w:p w14:paraId="4C861405">
      <w:pPr>
        <w:spacing w:line="385" w:lineRule="auto"/>
        <w:rPr>
          <w:rFonts w:ascii="Arial"/>
          <w:sz w:val="21"/>
        </w:rPr>
      </w:pPr>
    </w:p>
    <w:p w14:paraId="3220C12B">
      <w:pPr>
        <w:pStyle w:val="2"/>
        <w:spacing w:before="78" w:line="377" w:lineRule="auto"/>
        <w:ind w:right="67" w:firstLine="488"/>
        <w:jc w:val="both"/>
      </w:pPr>
      <w:r>
        <w:rPr>
          <w:b/>
          <w:bCs/>
          <w:spacing w:val="-4"/>
          <w:u w:val="single" w:color="auto"/>
        </w:rPr>
        <w:t>消防通道主要利用盐边钒钛产业开发区道路网络系统，以盐边钒钛产业开发区道路作为消防车通道和疏散通道。在盐边钒钛产业开发区建设中，应注意及时完善街坊内部通道，消防通道间</w:t>
      </w:r>
      <w:r>
        <w:rPr>
          <w:b/>
          <w:bCs/>
          <w:spacing w:val="-2"/>
          <w:u w:val="single" w:color="auto"/>
        </w:rPr>
        <w:t>距不宜大于</w:t>
      </w:r>
      <w:r>
        <w:rPr>
          <w:spacing w:val="-32"/>
          <w:u w:val="single" w:color="auto"/>
        </w:rPr>
        <w:t xml:space="preserve"> </w:t>
      </w:r>
      <w:r>
        <w:rPr>
          <w:b/>
          <w:bCs/>
          <w:spacing w:val="-2"/>
          <w:u w:val="single" w:color="auto"/>
        </w:rPr>
        <w:t>160</w:t>
      </w:r>
      <w:r>
        <w:rPr>
          <w:spacing w:val="-48"/>
          <w:u w:val="single" w:color="auto"/>
        </w:rPr>
        <w:t xml:space="preserve"> </w:t>
      </w:r>
      <w:r>
        <w:rPr>
          <w:b/>
          <w:bCs/>
          <w:spacing w:val="-2"/>
          <w:u w:val="single" w:color="auto"/>
        </w:rPr>
        <w:t>米，沿街单列建筑长度大于</w:t>
      </w:r>
      <w:r>
        <w:rPr>
          <w:spacing w:val="-32"/>
          <w:u w:val="single" w:color="auto"/>
        </w:rPr>
        <w:t xml:space="preserve"> </w:t>
      </w:r>
      <w:r>
        <w:rPr>
          <w:b/>
          <w:bCs/>
          <w:spacing w:val="-2"/>
          <w:u w:val="single" w:color="auto"/>
        </w:rPr>
        <w:t>1</w:t>
      </w:r>
      <w:r>
        <w:rPr>
          <w:b/>
          <w:bCs/>
          <w:spacing w:val="-3"/>
          <w:u w:val="single" w:color="auto"/>
        </w:rPr>
        <w:t>60</w:t>
      </w:r>
      <w:r>
        <w:rPr>
          <w:spacing w:val="-50"/>
          <w:u w:val="single" w:color="auto"/>
        </w:rPr>
        <w:t xml:space="preserve"> </w:t>
      </w:r>
      <w:r>
        <w:rPr>
          <w:b/>
          <w:bCs/>
          <w:spacing w:val="-3"/>
          <w:u w:val="single" w:color="auto"/>
        </w:rPr>
        <w:t>米时，应设置消防车通道出入口，净空不小于4</w:t>
      </w:r>
      <w:r>
        <w:t xml:space="preserve"> </w:t>
      </w:r>
      <w:r>
        <w:rPr>
          <w:b/>
          <w:bCs/>
          <w:spacing w:val="-5"/>
          <w:u w:val="single" w:color="auto"/>
        </w:rPr>
        <w:t>×4</w:t>
      </w:r>
      <w:r>
        <w:rPr>
          <w:spacing w:val="-51"/>
          <w:u w:val="single" w:color="auto"/>
        </w:rPr>
        <w:t xml:space="preserve"> </w:t>
      </w:r>
      <w:r>
        <w:rPr>
          <w:b/>
          <w:bCs/>
          <w:spacing w:val="-5"/>
          <w:u w:val="single" w:color="auto"/>
        </w:rPr>
        <w:t>米。</w:t>
      </w:r>
    </w:p>
    <w:p w14:paraId="708B11E7">
      <w:pPr>
        <w:spacing w:before="186" w:line="219" w:lineRule="auto"/>
        <w:ind w:left="213"/>
        <w:rPr>
          <w:rFonts w:ascii="黑体" w:hAnsi="黑体" w:eastAsia="黑体" w:cs="黑体"/>
          <w:sz w:val="28"/>
          <w:szCs w:val="28"/>
        </w:rPr>
      </w:pPr>
      <w:r>
        <w:rPr>
          <w:rFonts w:ascii="黑体" w:hAnsi="黑体" w:eastAsia="黑体" w:cs="黑体"/>
          <w:spacing w:val="-2"/>
          <w:sz w:val="28"/>
          <w:szCs w:val="28"/>
        </w:rPr>
        <w:t>第四十二条</w:t>
      </w:r>
      <w:r>
        <w:rPr>
          <w:rFonts w:ascii="黑体" w:hAnsi="黑体" w:eastAsia="黑体" w:cs="黑体"/>
          <w:spacing w:val="27"/>
          <w:sz w:val="28"/>
          <w:szCs w:val="28"/>
        </w:rPr>
        <w:t xml:space="preserve">   </w:t>
      </w:r>
      <w:r>
        <w:rPr>
          <w:rFonts w:ascii="黑体" w:hAnsi="黑体" w:eastAsia="黑体" w:cs="黑体"/>
          <w:spacing w:val="-2"/>
          <w:sz w:val="28"/>
          <w:szCs w:val="28"/>
        </w:rPr>
        <w:t>抗震工程规划</w:t>
      </w:r>
    </w:p>
    <w:p w14:paraId="63C8E353">
      <w:pPr>
        <w:spacing w:line="441" w:lineRule="auto"/>
        <w:rPr>
          <w:rFonts w:ascii="Arial"/>
          <w:sz w:val="21"/>
        </w:rPr>
      </w:pPr>
    </w:p>
    <w:p w14:paraId="72A76166">
      <w:pPr>
        <w:spacing w:before="78" w:line="218" w:lineRule="auto"/>
        <w:ind w:left="485"/>
        <w:rPr>
          <w:rFonts w:ascii="黑体" w:hAnsi="黑体" w:eastAsia="黑体" w:cs="黑体"/>
          <w:sz w:val="24"/>
          <w:szCs w:val="24"/>
        </w:rPr>
      </w:pPr>
      <w:r>
        <w:rPr>
          <w:rFonts w:ascii="黑体" w:hAnsi="黑体" w:eastAsia="黑体" w:cs="黑体"/>
          <w:spacing w:val="-2"/>
          <w:sz w:val="24"/>
          <w:szCs w:val="24"/>
        </w:rPr>
        <w:t>一、设防标准</w:t>
      </w:r>
    </w:p>
    <w:p w14:paraId="2D4D61A5">
      <w:pPr>
        <w:spacing w:line="381" w:lineRule="auto"/>
        <w:rPr>
          <w:rFonts w:ascii="Arial"/>
          <w:sz w:val="21"/>
        </w:rPr>
      </w:pPr>
    </w:p>
    <w:p w14:paraId="49A96BE1">
      <w:pPr>
        <w:pStyle w:val="2"/>
        <w:spacing w:before="79" w:line="338" w:lineRule="auto"/>
        <w:ind w:firstLine="484"/>
        <w:jc w:val="both"/>
      </w:pPr>
      <w:r>
        <w:rPr>
          <w:b/>
          <w:bCs/>
          <w:spacing w:val="-4"/>
          <w:u w:val="single" w:color="auto"/>
        </w:rPr>
        <w:t>盐边钒钛产业开发区抗震设防烈度为</w:t>
      </w:r>
      <w:r>
        <w:rPr>
          <w:spacing w:val="-41"/>
          <w:u w:val="single" w:color="auto"/>
        </w:rPr>
        <w:t xml:space="preserve"> </w:t>
      </w:r>
      <w:r>
        <w:rPr>
          <w:b/>
          <w:bCs/>
          <w:spacing w:val="-4"/>
          <w:u w:val="single" w:color="auto"/>
        </w:rPr>
        <w:t>7</w:t>
      </w:r>
      <w:r>
        <w:rPr>
          <w:spacing w:val="-52"/>
          <w:u w:val="single" w:color="auto"/>
        </w:rPr>
        <w:t xml:space="preserve"> </w:t>
      </w:r>
      <w:r>
        <w:rPr>
          <w:b/>
          <w:bCs/>
          <w:spacing w:val="-4"/>
          <w:u w:val="single" w:color="auto"/>
        </w:rPr>
        <w:t>度，设计基本地震加速度值为</w:t>
      </w:r>
      <w:r>
        <w:rPr>
          <w:spacing w:val="-4"/>
          <w:u w:val="single" w:color="auto"/>
        </w:rPr>
        <w:t xml:space="preserve"> </w:t>
      </w:r>
      <w:r>
        <w:rPr>
          <w:b/>
          <w:bCs/>
          <w:spacing w:val="-4"/>
          <w:u w:val="single" w:color="auto"/>
        </w:rPr>
        <w:t>0.1</w:t>
      </w:r>
      <w:r>
        <w:rPr>
          <w:b/>
          <w:bCs/>
          <w:spacing w:val="-5"/>
          <w:u w:val="single" w:color="auto"/>
        </w:rPr>
        <w:t>5g，地震反应谱特</w:t>
      </w:r>
      <w:r>
        <w:rPr>
          <w:b/>
          <w:bCs/>
          <w:spacing w:val="-6"/>
          <w:u w:val="single" w:color="auto"/>
        </w:rPr>
        <w:t>征周期为</w:t>
      </w:r>
      <w:r>
        <w:rPr>
          <w:spacing w:val="-6"/>
          <w:u w:val="single" w:color="auto"/>
        </w:rPr>
        <w:t xml:space="preserve"> </w:t>
      </w:r>
      <w:r>
        <w:rPr>
          <w:b/>
          <w:bCs/>
          <w:spacing w:val="-6"/>
          <w:u w:val="single" w:color="auto"/>
        </w:rPr>
        <w:t>0.40s，执行国家标准《中国地震动参数区划图》（GB</w:t>
      </w:r>
      <w:r>
        <w:rPr>
          <w:spacing w:val="42"/>
          <w:u w:val="single" w:color="auto"/>
        </w:rPr>
        <w:t xml:space="preserve"> </w:t>
      </w:r>
      <w:r>
        <w:rPr>
          <w:b/>
          <w:bCs/>
          <w:spacing w:val="-6"/>
          <w:u w:val="single" w:color="auto"/>
        </w:rPr>
        <w:t>18306－2015）第</w:t>
      </w:r>
      <w:r>
        <w:rPr>
          <w:spacing w:val="45"/>
          <w:u w:val="single" w:color="auto"/>
        </w:rPr>
        <w:t xml:space="preserve"> </w:t>
      </w:r>
      <w:r>
        <w:rPr>
          <w:b/>
          <w:bCs/>
          <w:spacing w:val="-6"/>
          <w:u w:val="single" w:color="auto"/>
        </w:rPr>
        <w:t>1</w:t>
      </w:r>
      <w:r>
        <w:rPr>
          <w:spacing w:val="-6"/>
          <w:u w:val="single" w:color="auto"/>
        </w:rPr>
        <w:t xml:space="preserve"> </w:t>
      </w:r>
      <w:r>
        <w:rPr>
          <w:b/>
          <w:bCs/>
          <w:spacing w:val="-6"/>
          <w:u w:val="single" w:color="auto"/>
        </w:rPr>
        <w:t>号修改单，</w:t>
      </w:r>
      <w:r>
        <w:rPr>
          <w:b/>
          <w:bCs/>
          <w:spacing w:val="-1"/>
          <w:u w:val="single" w:color="auto"/>
        </w:rPr>
        <w:t>一般建设工程按区划图</w:t>
      </w:r>
      <w:r>
        <w:rPr>
          <w:spacing w:val="-1"/>
          <w:u w:val="single" w:color="auto"/>
        </w:rPr>
        <w:t xml:space="preserve"> </w:t>
      </w:r>
      <w:r>
        <w:rPr>
          <w:b/>
          <w:bCs/>
          <w:spacing w:val="-1"/>
          <w:u w:val="single" w:color="auto"/>
        </w:rPr>
        <w:t>或地震小区划提供的抗震设防要求进行抗震设防，选址应尽量避开地震断裂带和砂土液化区；重大</w:t>
      </w:r>
      <w:r>
        <w:rPr>
          <w:spacing w:val="-1"/>
          <w:u w:val="single" w:color="auto"/>
        </w:rPr>
        <w:t xml:space="preserve"> </w:t>
      </w:r>
      <w:r>
        <w:rPr>
          <w:b/>
          <w:bCs/>
          <w:spacing w:val="-1"/>
          <w:u w:val="single" w:color="auto"/>
        </w:rPr>
        <w:t>建设工程、易产生严重次生灾害工程应进行地震安全性评价，并按</w:t>
      </w:r>
      <w:r>
        <w:rPr>
          <w:b/>
          <w:bCs/>
          <w:spacing w:val="-3"/>
          <w:u w:val="single" w:color="auto"/>
        </w:rPr>
        <w:t>地震安全性评价结果进行抗震设防。</w:t>
      </w:r>
    </w:p>
    <w:p w14:paraId="35B2E27F">
      <w:pPr>
        <w:spacing w:line="338" w:lineRule="auto"/>
        <w:sectPr>
          <w:type w:val="continuous"/>
          <w:pgSz w:w="23811" w:h="16839"/>
          <w:pgMar w:top="1274" w:right="1367" w:bottom="1613" w:left="1411" w:header="838" w:footer="1385" w:gutter="0"/>
          <w:cols w:equalWidth="0" w:num="2">
            <w:col w:w="10825" w:space="100"/>
            <w:col w:w="10107"/>
          </w:cols>
        </w:sectPr>
      </w:pPr>
    </w:p>
    <w:p w14:paraId="56FC8613">
      <w:pPr>
        <w:spacing w:line="24" w:lineRule="exact"/>
      </w:pPr>
    </w:p>
    <w:p w14:paraId="631A7242">
      <w:pPr>
        <w:spacing w:line="24" w:lineRule="exact"/>
        <w:sectPr>
          <w:headerReference r:id="rId40" w:type="default"/>
          <w:footerReference r:id="rId41" w:type="default"/>
          <w:pgSz w:w="23811" w:h="16839"/>
          <w:pgMar w:top="1274" w:right="1373" w:bottom="1613" w:left="1327" w:header="838" w:footer="1386" w:gutter="0"/>
          <w:cols w:equalWidth="0" w:num="1">
            <w:col w:w="21110"/>
          </w:cols>
        </w:sectPr>
      </w:pPr>
    </w:p>
    <w:p w14:paraId="23B80416">
      <w:pPr>
        <w:spacing w:before="64" w:line="217" w:lineRule="auto"/>
        <w:ind w:left="606"/>
        <w:rPr>
          <w:rFonts w:ascii="黑体" w:hAnsi="黑体" w:eastAsia="黑体" w:cs="黑体"/>
          <w:sz w:val="24"/>
          <w:szCs w:val="24"/>
        </w:rPr>
      </w:pPr>
      <w:r>
        <w:rPr>
          <w:rFonts w:ascii="黑体" w:hAnsi="黑体" w:eastAsia="黑体" w:cs="黑体"/>
          <w:spacing w:val="-2"/>
          <w:sz w:val="24"/>
          <w:szCs w:val="24"/>
        </w:rPr>
        <w:t>二、避震疏散场地</w:t>
      </w:r>
    </w:p>
    <w:p w14:paraId="7DD5EA9A">
      <w:pPr>
        <w:spacing w:line="382" w:lineRule="auto"/>
        <w:rPr>
          <w:rFonts w:ascii="Arial"/>
          <w:sz w:val="21"/>
        </w:rPr>
      </w:pPr>
    </w:p>
    <w:p w14:paraId="12E5600F">
      <w:pPr>
        <w:pStyle w:val="2"/>
        <w:spacing w:before="78" w:line="377" w:lineRule="auto"/>
        <w:ind w:left="128" w:right="750" w:firstLine="496"/>
      </w:pPr>
      <w:r>
        <w:rPr>
          <w:b/>
          <w:bCs/>
          <w:spacing w:val="-4"/>
          <w:u w:val="single" w:color="auto"/>
        </w:rPr>
        <w:t>固定避难场所占地面积应大于</w:t>
      </w:r>
      <w:r>
        <w:rPr>
          <w:spacing w:val="31"/>
          <w:u w:val="single" w:color="auto"/>
        </w:rPr>
        <w:t xml:space="preserve"> </w:t>
      </w:r>
      <w:r>
        <w:rPr>
          <w:b/>
          <w:bCs/>
          <w:spacing w:val="-4"/>
          <w:u w:val="single" w:color="auto"/>
        </w:rPr>
        <w:t>1</w:t>
      </w:r>
      <w:r>
        <w:rPr>
          <w:spacing w:val="-4"/>
          <w:u w:val="single" w:color="auto"/>
        </w:rPr>
        <w:t xml:space="preserve"> </w:t>
      </w:r>
      <w:r>
        <w:rPr>
          <w:b/>
          <w:bCs/>
          <w:spacing w:val="-4"/>
          <w:u w:val="single" w:color="auto"/>
        </w:rPr>
        <w:t>公顷，</w:t>
      </w:r>
      <w:r>
        <w:rPr>
          <w:spacing w:val="-4"/>
        </w:rPr>
        <w:t>服务半径宜为</w:t>
      </w:r>
      <w:r>
        <w:rPr>
          <w:spacing w:val="-31"/>
        </w:rPr>
        <w:t xml:space="preserve"> </w:t>
      </w:r>
      <w:r>
        <w:rPr>
          <w:spacing w:val="-4"/>
        </w:rPr>
        <w:t>2-3</w:t>
      </w:r>
      <w:r>
        <w:rPr>
          <w:spacing w:val="-34"/>
        </w:rPr>
        <w:t xml:space="preserve"> </w:t>
      </w:r>
      <w:r>
        <w:rPr>
          <w:spacing w:val="-4"/>
        </w:rPr>
        <w:t>千米，步行大约 1</w:t>
      </w:r>
      <w:r>
        <w:rPr>
          <w:spacing w:val="-27"/>
        </w:rPr>
        <w:t xml:space="preserve"> </w:t>
      </w:r>
      <w:r>
        <w:rPr>
          <w:spacing w:val="-4"/>
        </w:rPr>
        <w:t>小时之内可以</w:t>
      </w:r>
      <w:r>
        <w:rPr>
          <w:spacing w:val="-2"/>
        </w:rPr>
        <w:t>到达，</w:t>
      </w:r>
      <w:r>
        <w:rPr>
          <w:b/>
          <w:bCs/>
          <w:spacing w:val="-2"/>
          <w:u w:val="single" w:color="auto"/>
        </w:rPr>
        <w:t>规划将中心公园和观音岩公园分别作为安宁和新九的固定避难疏散场所。</w:t>
      </w:r>
    </w:p>
    <w:p w14:paraId="77CD5A99">
      <w:pPr>
        <w:pStyle w:val="2"/>
        <w:spacing w:before="3" w:line="370" w:lineRule="auto"/>
        <w:ind w:left="122" w:right="682" w:firstLine="488"/>
        <w:jc w:val="both"/>
      </w:pPr>
      <w:r>
        <w:rPr>
          <w:b/>
          <w:bCs/>
          <w:spacing w:val="-3"/>
          <w:u w:val="single" w:color="auto"/>
        </w:rPr>
        <w:t>紧急避难场所占地面积应大于</w:t>
      </w:r>
      <w:r>
        <w:rPr>
          <w:spacing w:val="-3"/>
          <w:u w:val="single" w:color="auto"/>
        </w:rPr>
        <w:t xml:space="preserve"> </w:t>
      </w:r>
      <w:r>
        <w:rPr>
          <w:b/>
          <w:bCs/>
          <w:spacing w:val="-3"/>
          <w:u w:val="single" w:color="auto"/>
        </w:rPr>
        <w:t>0.1</w:t>
      </w:r>
      <w:r>
        <w:rPr>
          <w:spacing w:val="-3"/>
          <w:u w:val="single" w:color="auto"/>
        </w:rPr>
        <w:t xml:space="preserve"> </w:t>
      </w:r>
      <w:r>
        <w:rPr>
          <w:b/>
          <w:bCs/>
          <w:spacing w:val="-3"/>
          <w:u w:val="single" w:color="auto"/>
        </w:rPr>
        <w:t>公顷</w:t>
      </w:r>
      <w:r>
        <w:rPr>
          <w:b/>
          <w:bCs/>
          <w:spacing w:val="-4"/>
          <w:u w:val="single" w:color="auto"/>
        </w:rPr>
        <w:t>，</w:t>
      </w:r>
      <w:r>
        <w:rPr>
          <w:spacing w:val="-4"/>
        </w:rPr>
        <w:t>用于紧急疏散居民，具备最基本的生活保障设施，</w:t>
      </w:r>
      <w:r>
        <w:rPr>
          <w:spacing w:val="-1"/>
        </w:rPr>
        <w:t xml:space="preserve">服 务半径 </w:t>
      </w:r>
      <w:r>
        <w:rPr>
          <w:rFonts w:ascii="Calibri" w:hAnsi="Calibri" w:eastAsia="Calibri" w:cs="Calibri"/>
          <w:spacing w:val="-1"/>
        </w:rPr>
        <w:t xml:space="preserve">500  </w:t>
      </w:r>
      <w:r>
        <w:rPr>
          <w:spacing w:val="-1"/>
        </w:rPr>
        <w:t xml:space="preserve">米，步行大约 </w:t>
      </w:r>
      <w:r>
        <w:rPr>
          <w:rFonts w:ascii="Calibri" w:hAnsi="Calibri" w:eastAsia="Calibri" w:cs="Calibri"/>
          <w:spacing w:val="-1"/>
        </w:rPr>
        <w:t xml:space="preserve">10  </w:t>
      </w:r>
      <w:r>
        <w:rPr>
          <w:spacing w:val="-2"/>
        </w:rPr>
        <w:t>分钟之内可以到达。</w:t>
      </w:r>
      <w:r>
        <w:rPr>
          <w:b/>
          <w:bCs/>
          <w:spacing w:val="-2"/>
          <w:u w:val="single" w:color="auto"/>
        </w:rPr>
        <w:t>规划选择园区内的小公园、小广场、专业</w:t>
      </w:r>
      <w:r>
        <w:rPr>
          <w:b/>
          <w:bCs/>
          <w:spacing w:val="-5"/>
          <w:u w:val="single" w:color="auto"/>
        </w:rPr>
        <w:t>绿地、建筑中的避难层</w:t>
      </w:r>
      <w:r>
        <w:rPr>
          <w:spacing w:val="-52"/>
          <w:u w:val="single" w:color="auto"/>
        </w:rPr>
        <w:t xml:space="preserve"> </w:t>
      </w:r>
      <w:r>
        <w:rPr>
          <w:rFonts w:hint="eastAsia"/>
          <w:spacing w:val="-52"/>
          <w:u w:val="single" w:color="auto"/>
          <w:lang w:eastAsia="zh-CN"/>
        </w:rPr>
        <w:t>（</w:t>
      </w:r>
      <w:r>
        <w:rPr>
          <w:b/>
          <w:bCs/>
          <w:spacing w:val="-5"/>
          <w:u w:val="single" w:color="auto"/>
        </w:rPr>
        <w:t>间</w:t>
      </w:r>
      <w:r>
        <w:rPr>
          <w:rFonts w:hint="eastAsia"/>
          <w:b/>
          <w:bCs/>
          <w:spacing w:val="-5"/>
          <w:u w:val="single" w:color="auto"/>
          <w:lang w:eastAsia="zh-CN"/>
        </w:rPr>
        <w:t>）</w:t>
      </w:r>
      <w:r>
        <w:rPr>
          <w:b/>
          <w:bCs/>
          <w:spacing w:val="-5"/>
          <w:u w:val="single" w:color="auto"/>
        </w:rPr>
        <w:t>等作为紧急避难场所。</w:t>
      </w:r>
    </w:p>
    <w:p w14:paraId="6D92A001">
      <w:pPr>
        <w:spacing w:before="283" w:line="217" w:lineRule="auto"/>
        <w:ind w:left="606"/>
        <w:rPr>
          <w:rFonts w:ascii="黑体" w:hAnsi="黑体" w:eastAsia="黑体" w:cs="黑体"/>
          <w:sz w:val="24"/>
          <w:szCs w:val="24"/>
        </w:rPr>
      </w:pPr>
      <w:r>
        <w:rPr>
          <w:rFonts w:ascii="黑体" w:hAnsi="黑体" w:eastAsia="黑体" w:cs="黑体"/>
          <w:spacing w:val="-2"/>
          <w:sz w:val="24"/>
          <w:szCs w:val="24"/>
        </w:rPr>
        <w:t>三、避震疏散通道</w:t>
      </w:r>
    </w:p>
    <w:p w14:paraId="3A0B5FA6">
      <w:pPr>
        <w:spacing w:line="383" w:lineRule="auto"/>
        <w:rPr>
          <w:rFonts w:ascii="Arial"/>
          <w:sz w:val="21"/>
        </w:rPr>
      </w:pPr>
    </w:p>
    <w:p w14:paraId="730B126C">
      <w:pPr>
        <w:pStyle w:val="2"/>
        <w:spacing w:before="78" w:line="394" w:lineRule="auto"/>
        <w:ind w:left="123" w:right="546" w:firstLine="482"/>
      </w:pPr>
      <w:r>
        <w:rPr>
          <w:b/>
          <w:bCs/>
          <w:spacing w:val="-2"/>
          <w:u w:val="single" w:color="auto"/>
        </w:rPr>
        <w:t>规划以主干道与快速路作为园区的主要避难通道，次干道与支路组成园区的次要避难通道。</w:t>
      </w:r>
      <w:r>
        <w:rPr>
          <w:b/>
          <w:bCs/>
          <w:spacing w:val="-3"/>
          <w:u w:val="single" w:color="auto"/>
        </w:rPr>
        <w:t>规划要求抗震疏散通道的宽度不宜小于</w:t>
      </w:r>
      <w:r>
        <w:rPr>
          <w:spacing w:val="-3"/>
          <w:u w:val="single" w:color="auto"/>
        </w:rPr>
        <w:t xml:space="preserve"> </w:t>
      </w:r>
      <w:r>
        <w:rPr>
          <w:rFonts w:ascii="Calibri" w:hAnsi="Calibri" w:eastAsia="Calibri" w:cs="Calibri"/>
          <w:b/>
          <w:bCs/>
          <w:spacing w:val="-3"/>
          <w:u w:val="single" w:color="auto"/>
        </w:rPr>
        <w:t xml:space="preserve">15  </w:t>
      </w:r>
      <w:r>
        <w:rPr>
          <w:b/>
          <w:bCs/>
          <w:spacing w:val="-3"/>
          <w:u w:val="single" w:color="auto"/>
        </w:rPr>
        <w:t>米，主要疏散通道两侧建筑倒塌后有</w:t>
      </w:r>
      <w:r>
        <w:rPr>
          <w:spacing w:val="-3"/>
          <w:u w:val="single" w:color="auto"/>
        </w:rPr>
        <w:t xml:space="preserve"> </w:t>
      </w:r>
      <w:r>
        <w:rPr>
          <w:rFonts w:ascii="Calibri" w:hAnsi="Calibri" w:eastAsia="Calibri" w:cs="Calibri"/>
          <w:b/>
          <w:bCs/>
          <w:spacing w:val="-3"/>
          <w:u w:val="single" w:color="auto"/>
        </w:rPr>
        <w:t>7-10</w:t>
      </w:r>
      <w:r>
        <w:rPr>
          <w:rFonts w:ascii="Calibri" w:hAnsi="Calibri" w:eastAsia="Calibri" w:cs="Calibri"/>
          <w:b/>
          <w:bCs/>
          <w:spacing w:val="14"/>
          <w:w w:val="101"/>
          <w:u w:val="single" w:color="auto"/>
        </w:rPr>
        <w:t xml:space="preserve">  </w:t>
      </w:r>
      <w:r>
        <w:rPr>
          <w:b/>
          <w:bCs/>
          <w:spacing w:val="-3"/>
          <w:u w:val="single" w:color="auto"/>
        </w:rPr>
        <w:t>米的通道。</w:t>
      </w:r>
    </w:p>
    <w:p w14:paraId="0EE48611">
      <w:pPr>
        <w:spacing w:before="145" w:line="219" w:lineRule="auto"/>
        <w:ind w:left="334"/>
        <w:rPr>
          <w:rFonts w:ascii="黑体" w:hAnsi="黑体" w:eastAsia="黑体" w:cs="黑体"/>
          <w:sz w:val="28"/>
          <w:szCs w:val="28"/>
        </w:rPr>
      </w:pPr>
      <w:r>
        <w:rPr>
          <w:rFonts w:ascii="黑体" w:hAnsi="黑体" w:eastAsia="黑体" w:cs="黑体"/>
          <w:spacing w:val="-3"/>
          <w:sz w:val="28"/>
          <w:szCs w:val="28"/>
        </w:rPr>
        <w:t>第四十三条</w:t>
      </w:r>
      <w:r>
        <w:rPr>
          <w:rFonts w:ascii="黑体" w:hAnsi="黑体" w:eastAsia="黑体" w:cs="黑体"/>
          <w:spacing w:val="30"/>
          <w:sz w:val="28"/>
          <w:szCs w:val="28"/>
        </w:rPr>
        <w:t xml:space="preserve">   </w:t>
      </w:r>
      <w:r>
        <w:rPr>
          <w:rFonts w:ascii="黑体" w:hAnsi="黑体" w:eastAsia="黑体" w:cs="黑体"/>
          <w:spacing w:val="-3"/>
          <w:sz w:val="28"/>
          <w:szCs w:val="28"/>
        </w:rPr>
        <w:t>人防规划</w:t>
      </w:r>
    </w:p>
    <w:p w14:paraId="5BDB57B2">
      <w:pPr>
        <w:spacing w:line="309" w:lineRule="auto"/>
        <w:rPr>
          <w:rFonts w:ascii="Arial"/>
          <w:sz w:val="21"/>
        </w:rPr>
      </w:pPr>
    </w:p>
    <w:p w14:paraId="34A5138D">
      <w:pPr>
        <w:pStyle w:val="2"/>
        <w:spacing w:before="78" w:line="220" w:lineRule="auto"/>
        <w:ind w:left="605"/>
      </w:pPr>
      <w:r>
        <w:rPr>
          <w:b/>
          <w:bCs/>
          <w:spacing w:val="-2"/>
          <w:u w:val="single" w:color="auto"/>
        </w:rPr>
        <w:t>规划结合中心公园和观音岩公园两处大型疏散场所设置人防工程。</w:t>
      </w:r>
    </w:p>
    <w:p w14:paraId="5D8345A2">
      <w:pPr>
        <w:pStyle w:val="2"/>
        <w:spacing w:before="205" w:line="231" w:lineRule="auto"/>
        <w:ind w:left="605"/>
      </w:pPr>
      <w:r>
        <w:rPr>
          <w:b/>
          <w:bCs/>
          <w:spacing w:val="-2"/>
          <w:u w:val="single" w:color="auto"/>
        </w:rPr>
        <w:t>规划结合管委会</w:t>
      </w:r>
      <w:r>
        <w:rPr>
          <w:rFonts w:ascii="Calibri" w:hAnsi="Calibri" w:eastAsia="Calibri" w:cs="Calibri"/>
          <w:b/>
          <w:bCs/>
          <w:spacing w:val="-2"/>
          <w:u w:val="single" w:color="auto"/>
        </w:rPr>
        <w:t>/</w:t>
      </w:r>
      <w:r>
        <w:rPr>
          <w:b/>
          <w:bCs/>
          <w:spacing w:val="-2"/>
          <w:u w:val="single" w:color="auto"/>
        </w:rPr>
        <w:t>综合服务中心建设具有防电磁脉冲的能力人防指挥中心。</w:t>
      </w:r>
    </w:p>
    <w:p w14:paraId="112C251A">
      <w:pPr>
        <w:pStyle w:val="2"/>
        <w:spacing w:before="187" w:line="394" w:lineRule="auto"/>
        <w:ind w:left="121" w:right="755" w:firstLine="485"/>
      </w:pPr>
      <w:r>
        <w:rPr>
          <w:b/>
          <w:bCs/>
          <w:spacing w:val="-4"/>
          <w:u w:val="single" w:color="auto"/>
        </w:rPr>
        <w:t>人员掩蔽工程出入口与人员生活、工作区的距离应按掩蔽人员听到警报十分钟内步行进入工</w:t>
      </w:r>
      <w:r>
        <w:rPr>
          <w:b/>
          <w:bCs/>
          <w:spacing w:val="-3"/>
          <w:u w:val="single" w:color="auto"/>
        </w:rPr>
        <w:t>程确定；其服务半径不宜大于</w:t>
      </w:r>
      <w:r>
        <w:rPr>
          <w:spacing w:val="-37"/>
          <w:u w:val="single" w:color="auto"/>
        </w:rPr>
        <w:t xml:space="preserve"> </w:t>
      </w:r>
      <w:r>
        <w:rPr>
          <w:rFonts w:ascii="Calibri" w:hAnsi="Calibri" w:eastAsia="Calibri" w:cs="Calibri"/>
          <w:b/>
          <w:bCs/>
          <w:spacing w:val="-3"/>
          <w:u w:val="single" w:color="auto"/>
        </w:rPr>
        <w:t>200m</w:t>
      </w:r>
      <w:r>
        <w:rPr>
          <w:rFonts w:ascii="Calibri" w:hAnsi="Calibri" w:eastAsia="Calibri" w:cs="Calibri"/>
          <w:b/>
          <w:bCs/>
          <w:spacing w:val="-22"/>
          <w:u w:val="single" w:color="auto"/>
        </w:rPr>
        <w:t xml:space="preserve"> </w:t>
      </w:r>
      <w:r>
        <w:rPr>
          <w:b/>
          <w:bCs/>
          <w:spacing w:val="-3"/>
          <w:u w:val="single" w:color="auto"/>
        </w:rPr>
        <w:t>。</w:t>
      </w:r>
    </w:p>
    <w:p w14:paraId="317B6A90">
      <w:pPr>
        <w:spacing w:before="145" w:line="219" w:lineRule="auto"/>
        <w:ind w:left="334"/>
        <w:rPr>
          <w:rFonts w:ascii="黑体" w:hAnsi="黑体" w:eastAsia="黑体" w:cs="黑体"/>
          <w:sz w:val="28"/>
          <w:szCs w:val="28"/>
        </w:rPr>
      </w:pPr>
      <w:r>
        <w:rPr>
          <w:rFonts w:ascii="黑体" w:hAnsi="黑体" w:eastAsia="黑体" w:cs="黑体"/>
          <w:spacing w:val="-2"/>
          <w:sz w:val="28"/>
          <w:szCs w:val="28"/>
        </w:rPr>
        <w:t>第四十四条</w:t>
      </w:r>
      <w:r>
        <w:rPr>
          <w:rFonts w:ascii="黑体" w:hAnsi="黑体" w:eastAsia="黑体" w:cs="黑体"/>
          <w:spacing w:val="28"/>
          <w:sz w:val="28"/>
          <w:szCs w:val="28"/>
        </w:rPr>
        <w:t xml:space="preserve">   </w:t>
      </w:r>
      <w:r>
        <w:rPr>
          <w:rFonts w:ascii="黑体" w:hAnsi="黑体" w:eastAsia="黑体" w:cs="黑体"/>
          <w:spacing w:val="-2"/>
          <w:sz w:val="28"/>
          <w:szCs w:val="28"/>
        </w:rPr>
        <w:t>地质灾害防治规划</w:t>
      </w:r>
    </w:p>
    <w:p w14:paraId="1E501A70">
      <w:pPr>
        <w:spacing w:line="309" w:lineRule="auto"/>
        <w:rPr>
          <w:rFonts w:ascii="Arial"/>
          <w:sz w:val="21"/>
        </w:rPr>
      </w:pPr>
    </w:p>
    <w:p w14:paraId="329F471B">
      <w:pPr>
        <w:pStyle w:val="2"/>
        <w:spacing w:before="78" w:line="220" w:lineRule="auto"/>
        <w:ind w:left="606"/>
      </w:pPr>
      <w:r>
        <w:rPr>
          <w:b/>
          <w:bCs/>
          <w:spacing w:val="-2"/>
          <w:u w:val="single" w:color="auto"/>
        </w:rPr>
        <w:t>盐边钒钛产业开发区主要位于地质灾害次重点防治区，主要分区及防护措施如下表所示：</w:t>
      </w:r>
    </w:p>
    <w:p w14:paraId="39FB1A29">
      <w:pPr>
        <w:spacing w:line="360" w:lineRule="auto"/>
        <w:rPr>
          <w:rFonts w:ascii="Arial"/>
          <w:sz w:val="21"/>
        </w:rPr>
      </w:pPr>
    </w:p>
    <w:p w14:paraId="6CA1D6CC">
      <w:pPr>
        <w:spacing w:before="74" w:line="207" w:lineRule="auto"/>
        <w:ind w:left="2696"/>
        <w:rPr>
          <w:rFonts w:ascii="华文细黑" w:hAnsi="华文细黑" w:eastAsia="华文细黑" w:cs="华文细黑"/>
          <w:sz w:val="21"/>
          <w:szCs w:val="21"/>
        </w:rPr>
      </w:pPr>
      <w:r>
        <w:rPr>
          <w:rFonts w:ascii="华文细黑" w:hAnsi="华文细黑" w:eastAsia="华文细黑" w:cs="华文细黑"/>
          <w:spacing w:val="-1"/>
          <w:sz w:val="21"/>
          <w:szCs w:val="21"/>
        </w:rPr>
        <w:t>表格 8  盐边钒钛产业开发区地质灾害防治分区划分表</w:t>
      </w:r>
    </w:p>
    <w:p w14:paraId="6CCE7C23">
      <w:pPr>
        <w:spacing w:line="126" w:lineRule="exact"/>
      </w:pPr>
    </w:p>
    <w:tbl>
      <w:tblPr>
        <w:tblStyle w:val="5"/>
        <w:tblW w:w="10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5"/>
        <w:gridCol w:w="801"/>
        <w:gridCol w:w="964"/>
        <w:gridCol w:w="1072"/>
        <w:gridCol w:w="3973"/>
        <w:gridCol w:w="2440"/>
      </w:tblGrid>
      <w:tr w14:paraId="4D7CC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015" w:type="dxa"/>
            <w:vAlign w:val="top"/>
          </w:tcPr>
          <w:p w14:paraId="464C954F">
            <w:pPr>
              <w:pStyle w:val="6"/>
              <w:spacing w:before="68" w:line="207" w:lineRule="auto"/>
              <w:ind w:left="209"/>
            </w:pPr>
            <w:r>
              <w:rPr>
                <w:spacing w:val="-4"/>
              </w:rPr>
              <w:t>防治分</w:t>
            </w:r>
          </w:p>
          <w:p w14:paraId="51E546E4">
            <w:pPr>
              <w:pStyle w:val="6"/>
              <w:spacing w:before="72" w:line="208" w:lineRule="auto"/>
              <w:ind w:left="217"/>
            </w:pPr>
            <w:r>
              <w:rPr>
                <w:spacing w:val="-6"/>
              </w:rPr>
              <w:t>区名称</w:t>
            </w:r>
          </w:p>
        </w:tc>
        <w:tc>
          <w:tcPr>
            <w:tcW w:w="801" w:type="dxa"/>
            <w:vAlign w:val="top"/>
          </w:tcPr>
          <w:p w14:paraId="255BB54C">
            <w:pPr>
              <w:pStyle w:val="6"/>
              <w:spacing w:before="68" w:line="216" w:lineRule="auto"/>
              <w:ind w:left="199"/>
            </w:pPr>
            <w:r>
              <w:rPr>
                <w:spacing w:val="-4"/>
              </w:rPr>
              <w:t>亚区</w:t>
            </w:r>
          </w:p>
          <w:p w14:paraId="561A777C">
            <w:pPr>
              <w:pStyle w:val="6"/>
              <w:spacing w:before="61" w:line="208" w:lineRule="auto"/>
              <w:ind w:left="193"/>
            </w:pPr>
            <w:r>
              <w:rPr>
                <w:spacing w:val="-2"/>
              </w:rPr>
              <w:t>名称</w:t>
            </w:r>
          </w:p>
        </w:tc>
        <w:tc>
          <w:tcPr>
            <w:tcW w:w="964" w:type="dxa"/>
            <w:vAlign w:val="top"/>
          </w:tcPr>
          <w:p w14:paraId="7E8F432A">
            <w:pPr>
              <w:pStyle w:val="6"/>
              <w:spacing w:before="68" w:line="211" w:lineRule="auto"/>
              <w:ind w:left="279"/>
            </w:pPr>
            <w:r>
              <w:rPr>
                <w:spacing w:val="-3"/>
              </w:rPr>
              <w:t>分区</w:t>
            </w:r>
          </w:p>
          <w:p w14:paraId="6BBCC732">
            <w:pPr>
              <w:pStyle w:val="6"/>
              <w:spacing w:before="67" w:line="208" w:lineRule="auto"/>
              <w:ind w:left="278"/>
            </w:pPr>
            <w:r>
              <w:rPr>
                <w:spacing w:val="-3"/>
              </w:rPr>
              <w:t>范围</w:t>
            </w:r>
          </w:p>
        </w:tc>
        <w:tc>
          <w:tcPr>
            <w:tcW w:w="1072" w:type="dxa"/>
            <w:vAlign w:val="top"/>
          </w:tcPr>
          <w:p w14:paraId="0ADA89C1">
            <w:pPr>
              <w:pStyle w:val="6"/>
              <w:spacing w:before="68" w:line="208" w:lineRule="auto"/>
              <w:ind w:left="340"/>
            </w:pPr>
            <w:r>
              <w:rPr>
                <w:spacing w:val="-4"/>
              </w:rPr>
              <w:t>主要</w:t>
            </w:r>
          </w:p>
          <w:p w14:paraId="2618B479">
            <w:pPr>
              <w:pStyle w:val="6"/>
              <w:spacing w:before="70" w:line="208" w:lineRule="auto"/>
              <w:ind w:left="332"/>
            </w:pPr>
            <w:r>
              <w:rPr>
                <w:spacing w:val="-2"/>
              </w:rPr>
              <w:t>灾种</w:t>
            </w:r>
          </w:p>
        </w:tc>
        <w:tc>
          <w:tcPr>
            <w:tcW w:w="3973" w:type="dxa"/>
            <w:vAlign w:val="top"/>
          </w:tcPr>
          <w:p w14:paraId="084E54AE">
            <w:pPr>
              <w:pStyle w:val="6"/>
              <w:spacing w:before="231" w:line="207" w:lineRule="auto"/>
              <w:ind w:left="1370"/>
            </w:pPr>
            <w:r>
              <w:rPr>
                <w:spacing w:val="-3"/>
              </w:rPr>
              <w:t>主要防治措施</w:t>
            </w:r>
          </w:p>
        </w:tc>
        <w:tc>
          <w:tcPr>
            <w:tcW w:w="2440" w:type="dxa"/>
            <w:vAlign w:val="top"/>
          </w:tcPr>
          <w:p w14:paraId="63A23959">
            <w:pPr>
              <w:pStyle w:val="6"/>
              <w:spacing w:before="68" w:line="207" w:lineRule="auto"/>
              <w:ind w:left="181"/>
            </w:pPr>
            <w:r>
              <w:rPr>
                <w:spacing w:val="-1"/>
              </w:rPr>
              <w:t>重点防治地质灾害点或</w:t>
            </w:r>
          </w:p>
          <w:p w14:paraId="732F2858">
            <w:pPr>
              <w:pStyle w:val="6"/>
              <w:spacing w:before="71" w:line="209" w:lineRule="auto"/>
              <w:ind w:left="1012"/>
            </w:pPr>
            <w:r>
              <w:rPr>
                <w:spacing w:val="-1"/>
              </w:rPr>
              <w:t>地段</w:t>
            </w:r>
          </w:p>
        </w:tc>
      </w:tr>
      <w:tr w14:paraId="45F80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trPr>
        <w:tc>
          <w:tcPr>
            <w:tcW w:w="1015" w:type="dxa"/>
            <w:vMerge w:val="restart"/>
            <w:tcBorders>
              <w:bottom w:val="nil"/>
            </w:tcBorders>
            <w:vAlign w:val="top"/>
          </w:tcPr>
          <w:p w14:paraId="55D9CB5F">
            <w:pPr>
              <w:spacing w:line="242" w:lineRule="auto"/>
              <w:rPr>
                <w:rFonts w:ascii="Arial"/>
                <w:sz w:val="21"/>
              </w:rPr>
            </w:pPr>
          </w:p>
          <w:p w14:paraId="029782E6">
            <w:pPr>
              <w:spacing w:line="242" w:lineRule="auto"/>
              <w:rPr>
                <w:rFonts w:ascii="Arial"/>
                <w:sz w:val="21"/>
              </w:rPr>
            </w:pPr>
          </w:p>
          <w:p w14:paraId="65557DEE">
            <w:pPr>
              <w:spacing w:line="242" w:lineRule="auto"/>
              <w:rPr>
                <w:rFonts w:ascii="Arial"/>
                <w:sz w:val="21"/>
              </w:rPr>
            </w:pPr>
          </w:p>
          <w:p w14:paraId="4A51A4E4">
            <w:pPr>
              <w:spacing w:line="242" w:lineRule="auto"/>
              <w:rPr>
                <w:rFonts w:ascii="Arial"/>
                <w:sz w:val="21"/>
              </w:rPr>
            </w:pPr>
          </w:p>
          <w:p w14:paraId="74C5886D">
            <w:pPr>
              <w:pStyle w:val="6"/>
              <w:spacing w:before="74" w:line="269" w:lineRule="auto"/>
              <w:ind w:left="208" w:right="186" w:hanging="6"/>
            </w:pPr>
            <w:r>
              <w:rPr>
                <w:spacing w:val="-4"/>
              </w:rPr>
              <w:t>次重点</w:t>
            </w:r>
            <w:r>
              <w:rPr>
                <w:spacing w:val="-6"/>
              </w:rPr>
              <w:t>防治区</w:t>
            </w:r>
          </w:p>
        </w:tc>
        <w:tc>
          <w:tcPr>
            <w:tcW w:w="801" w:type="dxa"/>
            <w:vAlign w:val="top"/>
          </w:tcPr>
          <w:p w14:paraId="29CEAECD">
            <w:pPr>
              <w:spacing w:line="319" w:lineRule="auto"/>
              <w:rPr>
                <w:rFonts w:ascii="Arial"/>
                <w:sz w:val="21"/>
              </w:rPr>
            </w:pPr>
          </w:p>
          <w:p w14:paraId="1DDBE719">
            <w:pPr>
              <w:spacing w:line="320" w:lineRule="auto"/>
              <w:rPr>
                <w:rFonts w:ascii="Arial"/>
                <w:sz w:val="21"/>
              </w:rPr>
            </w:pPr>
          </w:p>
          <w:p w14:paraId="3B9BA8A5">
            <w:pPr>
              <w:pStyle w:val="6"/>
              <w:spacing w:before="74" w:line="235" w:lineRule="auto"/>
              <w:ind w:left="192"/>
            </w:pPr>
            <w:r>
              <w:rPr>
                <w:spacing w:val="-21"/>
              </w:rPr>
              <w:t>Ⅱ—1</w:t>
            </w:r>
          </w:p>
        </w:tc>
        <w:tc>
          <w:tcPr>
            <w:tcW w:w="964" w:type="dxa"/>
            <w:vAlign w:val="top"/>
          </w:tcPr>
          <w:p w14:paraId="31364C54">
            <w:pPr>
              <w:spacing w:line="314" w:lineRule="auto"/>
              <w:rPr>
                <w:rFonts w:ascii="Arial"/>
                <w:sz w:val="21"/>
              </w:rPr>
            </w:pPr>
          </w:p>
          <w:p w14:paraId="67279350">
            <w:pPr>
              <w:pStyle w:val="6"/>
              <w:spacing w:before="74" w:line="268" w:lineRule="auto"/>
              <w:ind w:left="173" w:right="163"/>
              <w:jc w:val="both"/>
            </w:pPr>
            <w:r>
              <w:rPr>
                <w:spacing w:val="-4"/>
              </w:rPr>
              <w:t>新九镇</w:t>
            </w:r>
            <w:r>
              <w:rPr>
                <w:spacing w:val="-5"/>
              </w:rPr>
              <w:t>（原新</w:t>
            </w:r>
            <w:r>
              <w:rPr>
                <w:spacing w:val="-10"/>
              </w:rPr>
              <w:t>九乡）</w:t>
            </w:r>
          </w:p>
        </w:tc>
        <w:tc>
          <w:tcPr>
            <w:tcW w:w="1072" w:type="dxa"/>
            <w:vAlign w:val="top"/>
          </w:tcPr>
          <w:p w14:paraId="4EA2C5A8">
            <w:pPr>
              <w:spacing w:line="319" w:lineRule="auto"/>
              <w:rPr>
                <w:rFonts w:ascii="Arial"/>
                <w:sz w:val="21"/>
              </w:rPr>
            </w:pPr>
          </w:p>
          <w:p w14:paraId="58DF7692">
            <w:pPr>
              <w:spacing w:line="320" w:lineRule="auto"/>
              <w:rPr>
                <w:rFonts w:ascii="Arial"/>
                <w:sz w:val="21"/>
              </w:rPr>
            </w:pPr>
          </w:p>
          <w:p w14:paraId="0F3AC40E">
            <w:pPr>
              <w:pStyle w:val="6"/>
              <w:spacing w:before="73" w:line="208" w:lineRule="auto"/>
              <w:ind w:left="233"/>
            </w:pPr>
            <w:r>
              <w:rPr>
                <w:spacing w:val="-3"/>
              </w:rPr>
              <w:t>泥石流</w:t>
            </w:r>
          </w:p>
        </w:tc>
        <w:tc>
          <w:tcPr>
            <w:tcW w:w="3973" w:type="dxa"/>
            <w:vAlign w:val="top"/>
          </w:tcPr>
          <w:p w14:paraId="03871658">
            <w:pPr>
              <w:pStyle w:val="6"/>
              <w:spacing w:before="228" w:line="207" w:lineRule="auto"/>
              <w:ind w:left="122"/>
            </w:pPr>
            <w:r>
              <w:rPr>
                <w:spacing w:val="-2"/>
              </w:rPr>
              <w:t>主要加强对矿渣和尾矿排放的管理，减少</w:t>
            </w:r>
          </w:p>
          <w:p w14:paraId="4A3B1348">
            <w:pPr>
              <w:pStyle w:val="6"/>
              <w:spacing w:before="71" w:line="207" w:lineRule="auto"/>
              <w:ind w:left="121"/>
            </w:pPr>
            <w:r>
              <w:rPr>
                <w:spacing w:val="-2"/>
              </w:rPr>
              <w:t>泥石流物源，并在加强监测的基础上对泥</w:t>
            </w:r>
          </w:p>
          <w:p w14:paraId="7D9A0CE6">
            <w:pPr>
              <w:pStyle w:val="6"/>
              <w:spacing w:before="71" w:line="206" w:lineRule="auto"/>
              <w:ind w:left="203"/>
            </w:pPr>
            <w:r>
              <w:t>石流实施以生物工程和避绕为主结合一</w:t>
            </w:r>
          </w:p>
          <w:p w14:paraId="5FD98209">
            <w:pPr>
              <w:pStyle w:val="6"/>
              <w:spacing w:before="74" w:line="207" w:lineRule="auto"/>
              <w:ind w:left="415"/>
            </w:pPr>
            <w:r>
              <w:rPr>
                <w:spacing w:val="-1"/>
              </w:rPr>
              <w:t>定量的稳栏、排导工程加以防治。</w:t>
            </w:r>
          </w:p>
        </w:tc>
        <w:tc>
          <w:tcPr>
            <w:tcW w:w="2440" w:type="dxa"/>
            <w:vAlign w:val="top"/>
          </w:tcPr>
          <w:p w14:paraId="5002D08E">
            <w:pPr>
              <w:pStyle w:val="6"/>
              <w:spacing w:before="63" w:line="207" w:lineRule="auto"/>
              <w:ind w:left="120"/>
            </w:pPr>
            <w:r>
              <w:rPr>
                <w:spacing w:val="-9"/>
              </w:rPr>
              <w:t>新九镇（原新九乡）钒钛</w:t>
            </w:r>
          </w:p>
          <w:p w14:paraId="014DCC37">
            <w:pPr>
              <w:pStyle w:val="6"/>
              <w:spacing w:before="72" w:line="208" w:lineRule="auto"/>
              <w:ind w:left="112"/>
            </w:pPr>
            <w:r>
              <w:rPr>
                <w:spacing w:val="-9"/>
              </w:rPr>
              <w:t>磁铁矿区，重要地质灾害</w:t>
            </w:r>
          </w:p>
          <w:p w14:paraId="7430D993">
            <w:pPr>
              <w:pStyle w:val="6"/>
              <w:spacing w:before="71" w:line="208" w:lineRule="auto"/>
              <w:ind w:left="119"/>
            </w:pPr>
            <w:r>
              <w:rPr>
                <w:spacing w:val="-9"/>
              </w:rPr>
              <w:t>点如李家沟口泥石流、坝</w:t>
            </w:r>
          </w:p>
          <w:p w14:paraId="5AA18573">
            <w:pPr>
              <w:pStyle w:val="6"/>
              <w:spacing w:before="70" w:line="207" w:lineRule="auto"/>
              <w:ind w:left="119"/>
            </w:pPr>
            <w:r>
              <w:rPr>
                <w:spacing w:val="-9"/>
              </w:rPr>
              <w:t>箐沟泥石流、雷家沟泥石</w:t>
            </w:r>
          </w:p>
          <w:p w14:paraId="215B6762">
            <w:pPr>
              <w:pStyle w:val="6"/>
              <w:spacing w:before="72" w:line="205" w:lineRule="auto"/>
              <w:ind w:left="1019"/>
            </w:pPr>
            <w:r>
              <w:rPr>
                <w:spacing w:val="-3"/>
              </w:rPr>
              <w:t>流等</w:t>
            </w:r>
          </w:p>
        </w:tc>
      </w:tr>
      <w:tr w14:paraId="11BA2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trPr>
        <w:tc>
          <w:tcPr>
            <w:tcW w:w="1015" w:type="dxa"/>
            <w:vMerge w:val="continue"/>
            <w:tcBorders>
              <w:top w:val="nil"/>
            </w:tcBorders>
            <w:vAlign w:val="top"/>
          </w:tcPr>
          <w:p w14:paraId="41E65102">
            <w:pPr>
              <w:rPr>
                <w:rFonts w:ascii="Arial"/>
                <w:sz w:val="21"/>
              </w:rPr>
            </w:pPr>
          </w:p>
        </w:tc>
        <w:tc>
          <w:tcPr>
            <w:tcW w:w="801" w:type="dxa"/>
            <w:vAlign w:val="top"/>
          </w:tcPr>
          <w:p w14:paraId="3CA7988C">
            <w:pPr>
              <w:spacing w:line="318" w:lineRule="auto"/>
              <w:rPr>
                <w:rFonts w:ascii="Arial"/>
                <w:sz w:val="21"/>
              </w:rPr>
            </w:pPr>
          </w:p>
          <w:p w14:paraId="5CA25F9F">
            <w:pPr>
              <w:pStyle w:val="6"/>
              <w:spacing w:before="73" w:line="235" w:lineRule="auto"/>
              <w:ind w:left="192"/>
            </w:pPr>
            <w:r>
              <w:rPr>
                <w:spacing w:val="-21"/>
              </w:rPr>
              <w:t>Ⅱ—2</w:t>
            </w:r>
          </w:p>
        </w:tc>
        <w:tc>
          <w:tcPr>
            <w:tcW w:w="964" w:type="dxa"/>
            <w:vAlign w:val="top"/>
          </w:tcPr>
          <w:p w14:paraId="1C040411">
            <w:pPr>
              <w:pStyle w:val="6"/>
              <w:spacing w:before="69" w:line="207" w:lineRule="auto"/>
              <w:ind w:left="114"/>
            </w:pPr>
            <w:r>
              <w:rPr>
                <w:spacing w:val="-25"/>
              </w:rPr>
              <w:t>益民、红</w:t>
            </w:r>
          </w:p>
          <w:p w14:paraId="2D0B7D96">
            <w:pPr>
              <w:pStyle w:val="6"/>
              <w:spacing w:before="70" w:line="207" w:lineRule="auto"/>
              <w:ind w:left="167"/>
            </w:pPr>
            <w:r>
              <w:rPr>
                <w:spacing w:val="-1"/>
              </w:rPr>
              <w:t>格等等</w:t>
            </w:r>
          </w:p>
          <w:p w14:paraId="671DE843">
            <w:pPr>
              <w:pStyle w:val="6"/>
              <w:spacing w:before="71" w:line="207" w:lineRule="auto"/>
              <w:ind w:left="291"/>
            </w:pPr>
            <w:r>
              <w:rPr>
                <w:spacing w:val="-6"/>
              </w:rPr>
              <w:t>乡镇</w:t>
            </w:r>
          </w:p>
        </w:tc>
        <w:tc>
          <w:tcPr>
            <w:tcW w:w="1072" w:type="dxa"/>
            <w:vAlign w:val="top"/>
          </w:tcPr>
          <w:p w14:paraId="7CD73D6F">
            <w:pPr>
              <w:pStyle w:val="6"/>
              <w:spacing w:before="233" w:line="267" w:lineRule="auto"/>
              <w:ind w:left="431" w:right="112" w:hanging="308"/>
            </w:pPr>
            <w:r>
              <w:rPr>
                <w:spacing w:val="-3"/>
              </w:rPr>
              <w:t>滑坡和崩</w:t>
            </w:r>
            <w:r>
              <w:t>塌</w:t>
            </w:r>
          </w:p>
        </w:tc>
        <w:tc>
          <w:tcPr>
            <w:tcW w:w="3973" w:type="dxa"/>
            <w:vAlign w:val="top"/>
          </w:tcPr>
          <w:p w14:paraId="1EED6818">
            <w:pPr>
              <w:pStyle w:val="6"/>
              <w:spacing w:before="69" w:line="207" w:lineRule="auto"/>
              <w:ind w:right="16"/>
              <w:jc w:val="right"/>
            </w:pPr>
            <w:r>
              <w:rPr>
                <w:spacing w:val="-9"/>
              </w:rPr>
              <w:t>以避让、监测、地表排水和生物工程为主，</w:t>
            </w:r>
          </w:p>
          <w:p w14:paraId="1D232297">
            <w:pPr>
              <w:pStyle w:val="6"/>
              <w:spacing w:before="69" w:line="207" w:lineRule="auto"/>
              <w:ind w:left="204"/>
            </w:pPr>
            <w:r>
              <w:rPr>
                <w:spacing w:val="-1"/>
              </w:rPr>
              <w:t>对危害严重的滑坡等地质灾害实施一定</w:t>
            </w:r>
          </w:p>
          <w:p w14:paraId="15F6FBF9">
            <w:pPr>
              <w:pStyle w:val="6"/>
              <w:spacing w:before="73" w:line="207" w:lineRule="auto"/>
              <w:ind w:left="417"/>
            </w:pPr>
            <w:r>
              <w:rPr>
                <w:spacing w:val="-1"/>
              </w:rPr>
              <w:t>支挡或削方减载等工程加以</w:t>
            </w:r>
            <w:r>
              <w:rPr>
                <w:rFonts w:hint="eastAsia"/>
                <w:spacing w:val="-1"/>
                <w:lang w:eastAsia="zh-CN"/>
              </w:rPr>
              <w:t>治理</w:t>
            </w:r>
            <w:r>
              <w:rPr>
                <w:spacing w:val="-1"/>
              </w:rPr>
              <w:t>。</w:t>
            </w:r>
          </w:p>
        </w:tc>
        <w:tc>
          <w:tcPr>
            <w:tcW w:w="2440" w:type="dxa"/>
            <w:vAlign w:val="top"/>
          </w:tcPr>
          <w:p w14:paraId="0F3E0843">
            <w:pPr>
              <w:pStyle w:val="6"/>
              <w:spacing w:before="69" w:line="207" w:lineRule="auto"/>
              <w:ind w:left="115"/>
            </w:pPr>
            <w:r>
              <w:rPr>
                <w:spacing w:val="-9"/>
              </w:rPr>
              <w:t>移民安置区，重要的地质</w:t>
            </w:r>
          </w:p>
          <w:p w14:paraId="0AC80CE5">
            <w:pPr>
              <w:pStyle w:val="6"/>
              <w:spacing w:before="68" w:line="208" w:lineRule="auto"/>
              <w:ind w:left="116"/>
            </w:pPr>
            <w:r>
              <w:rPr>
                <w:spacing w:val="-1"/>
              </w:rPr>
              <w:t>灾害点如 4B 站滑坡、L4</w:t>
            </w:r>
          </w:p>
          <w:p w14:paraId="45A48645">
            <w:pPr>
              <w:pStyle w:val="6"/>
              <w:spacing w:before="71" w:line="206" w:lineRule="auto"/>
              <w:ind w:left="704"/>
            </w:pPr>
            <w:r>
              <w:rPr>
                <w:spacing w:val="-2"/>
              </w:rPr>
              <w:t>管线滑坡等</w:t>
            </w:r>
          </w:p>
        </w:tc>
      </w:tr>
    </w:tbl>
    <w:p w14:paraId="4E8AF136">
      <w:pPr>
        <w:spacing w:line="14" w:lineRule="auto"/>
        <w:rPr>
          <w:rFonts w:ascii="Arial"/>
          <w:sz w:val="2"/>
        </w:rPr>
      </w:pPr>
    </w:p>
    <w:p w14:paraId="7594E4A0">
      <w:pPr>
        <w:spacing w:line="14" w:lineRule="auto"/>
        <w:rPr>
          <w:rFonts w:ascii="Arial"/>
          <w:sz w:val="2"/>
        </w:rPr>
      </w:pPr>
      <w:r>
        <w:rPr>
          <w:rFonts w:ascii="Arial" w:hAnsi="Arial" w:eastAsia="Arial" w:cs="Arial"/>
          <w:sz w:val="2"/>
          <w:szCs w:val="2"/>
        </w:rPr>
        <w:br w:type="column"/>
      </w:r>
    </w:p>
    <w:p w14:paraId="5DDA400F">
      <w:pPr>
        <w:spacing w:line="274" w:lineRule="auto"/>
        <w:rPr>
          <w:rFonts w:ascii="Arial"/>
          <w:sz w:val="21"/>
        </w:rPr>
      </w:pPr>
    </w:p>
    <w:p w14:paraId="17831924">
      <w:pPr>
        <w:spacing w:line="274" w:lineRule="auto"/>
        <w:rPr>
          <w:rFonts w:ascii="Arial"/>
          <w:sz w:val="21"/>
        </w:rPr>
      </w:pPr>
    </w:p>
    <w:p w14:paraId="6F2B3BAD">
      <w:pPr>
        <w:spacing w:line="275" w:lineRule="auto"/>
        <w:rPr>
          <w:rFonts w:ascii="Arial"/>
          <w:sz w:val="21"/>
        </w:rPr>
      </w:pPr>
    </w:p>
    <w:p w14:paraId="294952E2">
      <w:pPr>
        <w:spacing w:before="100" w:line="224" w:lineRule="auto"/>
        <w:ind w:left="3223"/>
        <w:outlineLvl w:val="0"/>
        <w:rPr>
          <w:rFonts w:ascii="黑体" w:hAnsi="黑体" w:eastAsia="黑体" w:cs="黑体"/>
          <w:sz w:val="31"/>
          <w:szCs w:val="31"/>
        </w:rPr>
      </w:pPr>
      <w:bookmarkStart w:id="13" w:name="bookmark14"/>
      <w:bookmarkEnd w:id="13"/>
      <w:r>
        <w:rPr>
          <w:rFonts w:ascii="黑体" w:hAnsi="黑体" w:eastAsia="黑体" w:cs="黑体"/>
          <w:spacing w:val="6"/>
          <w:sz w:val="31"/>
          <w:szCs w:val="31"/>
        </w:rPr>
        <w:t>第十四章</w:t>
      </w:r>
      <w:r>
        <w:rPr>
          <w:rFonts w:ascii="黑体" w:hAnsi="黑体" w:eastAsia="黑体" w:cs="黑体"/>
          <w:spacing w:val="58"/>
          <w:sz w:val="31"/>
          <w:szCs w:val="31"/>
        </w:rPr>
        <w:t xml:space="preserve">  </w:t>
      </w:r>
      <w:r>
        <w:rPr>
          <w:rFonts w:ascii="黑体" w:hAnsi="黑体" w:eastAsia="黑体" w:cs="黑体"/>
          <w:spacing w:val="6"/>
          <w:sz w:val="31"/>
          <w:szCs w:val="31"/>
        </w:rPr>
        <w:t>分期建设规划</w:t>
      </w:r>
    </w:p>
    <w:p w14:paraId="20D2C47F">
      <w:pPr>
        <w:spacing w:line="266" w:lineRule="auto"/>
        <w:rPr>
          <w:rFonts w:ascii="Arial"/>
          <w:sz w:val="21"/>
        </w:rPr>
      </w:pPr>
    </w:p>
    <w:p w14:paraId="7F447B5E">
      <w:pPr>
        <w:spacing w:line="267" w:lineRule="auto"/>
        <w:rPr>
          <w:rFonts w:ascii="Arial"/>
          <w:sz w:val="21"/>
        </w:rPr>
      </w:pPr>
    </w:p>
    <w:p w14:paraId="0FA1F22C">
      <w:pPr>
        <w:spacing w:before="91" w:line="226" w:lineRule="auto"/>
        <w:ind w:left="211"/>
        <w:rPr>
          <w:rFonts w:ascii="黑体" w:hAnsi="黑体" w:eastAsia="黑体" w:cs="黑体"/>
          <w:sz w:val="28"/>
          <w:szCs w:val="28"/>
        </w:rPr>
      </w:pPr>
      <w:r>
        <w:rPr>
          <w:rFonts w:ascii="黑体" w:hAnsi="黑体" w:eastAsia="黑体" w:cs="黑体"/>
          <w:spacing w:val="-5"/>
          <w:sz w:val="28"/>
          <w:szCs w:val="28"/>
        </w:rPr>
        <w:t>第四十五条</w:t>
      </w:r>
      <w:r>
        <w:rPr>
          <w:rFonts w:ascii="黑体" w:hAnsi="黑体" w:eastAsia="黑体" w:cs="黑体"/>
          <w:spacing w:val="26"/>
          <w:sz w:val="28"/>
          <w:szCs w:val="28"/>
        </w:rPr>
        <w:t xml:space="preserve">   </w:t>
      </w:r>
      <w:r>
        <w:rPr>
          <w:rFonts w:ascii="黑体" w:hAnsi="黑体" w:eastAsia="黑体" w:cs="黑体"/>
          <w:spacing w:val="-5"/>
          <w:sz w:val="28"/>
          <w:szCs w:val="28"/>
        </w:rPr>
        <w:t>近期（</w:t>
      </w:r>
      <w:r>
        <w:rPr>
          <w:rFonts w:ascii="Cambria" w:hAnsi="Cambria" w:eastAsia="Cambria" w:cs="Cambria"/>
          <w:spacing w:val="-5"/>
          <w:sz w:val="28"/>
          <w:szCs w:val="28"/>
        </w:rPr>
        <w:t>2019</w:t>
      </w:r>
      <w:r>
        <w:rPr>
          <w:rFonts w:ascii="黑体" w:hAnsi="黑体" w:eastAsia="黑体" w:cs="黑体"/>
          <w:spacing w:val="-5"/>
          <w:sz w:val="28"/>
          <w:szCs w:val="28"/>
        </w:rPr>
        <w:t>—</w:t>
      </w:r>
      <w:r>
        <w:rPr>
          <w:rFonts w:ascii="Cambria" w:hAnsi="Cambria" w:eastAsia="Cambria" w:cs="Cambria"/>
          <w:spacing w:val="-5"/>
          <w:sz w:val="28"/>
          <w:szCs w:val="28"/>
        </w:rPr>
        <w:t>2025</w:t>
      </w:r>
      <w:r>
        <w:rPr>
          <w:rFonts w:ascii="Cambria" w:hAnsi="Cambria" w:eastAsia="Cambria" w:cs="Cambria"/>
          <w:spacing w:val="19"/>
          <w:sz w:val="28"/>
          <w:szCs w:val="28"/>
        </w:rPr>
        <w:t xml:space="preserve"> </w:t>
      </w:r>
      <w:r>
        <w:rPr>
          <w:rFonts w:ascii="黑体" w:hAnsi="黑体" w:eastAsia="黑体" w:cs="黑体"/>
          <w:spacing w:val="-5"/>
          <w:sz w:val="28"/>
          <w:szCs w:val="28"/>
        </w:rPr>
        <w:t>年</w:t>
      </w:r>
      <w:r>
        <w:rPr>
          <w:rFonts w:ascii="黑体" w:hAnsi="黑体" w:eastAsia="黑体" w:cs="黑体"/>
          <w:spacing w:val="-16"/>
          <w:sz w:val="28"/>
          <w:szCs w:val="28"/>
        </w:rPr>
        <w:t>）：</w:t>
      </w:r>
      <w:r>
        <w:rPr>
          <w:rFonts w:ascii="黑体" w:hAnsi="黑体" w:eastAsia="黑体" w:cs="黑体"/>
          <w:spacing w:val="-5"/>
          <w:sz w:val="28"/>
          <w:szCs w:val="28"/>
        </w:rPr>
        <w:t>全面启动，完善框架</w:t>
      </w:r>
    </w:p>
    <w:p w14:paraId="2C767FB7">
      <w:pPr>
        <w:spacing w:line="296" w:lineRule="auto"/>
        <w:rPr>
          <w:rFonts w:ascii="Arial"/>
          <w:sz w:val="21"/>
        </w:rPr>
      </w:pPr>
    </w:p>
    <w:p w14:paraId="3E4BBEE1">
      <w:pPr>
        <w:pStyle w:val="2"/>
        <w:spacing w:before="78"/>
        <w:ind w:left="480"/>
      </w:pPr>
      <w:r>
        <w:rPr>
          <w:spacing w:val="-3"/>
        </w:rPr>
        <w:t>规划近期建设用地面积</w:t>
      </w:r>
      <w:r>
        <w:rPr>
          <w:spacing w:val="-33"/>
        </w:rPr>
        <w:t xml:space="preserve"> </w:t>
      </w:r>
      <w:r>
        <w:rPr>
          <w:rFonts w:ascii="Calibri" w:hAnsi="Calibri" w:eastAsia="Calibri" w:cs="Calibri"/>
          <w:spacing w:val="-3"/>
        </w:rPr>
        <w:t>1014.63</w:t>
      </w:r>
      <w:r>
        <w:rPr>
          <w:rFonts w:ascii="Calibri" w:hAnsi="Calibri" w:eastAsia="Calibri" w:cs="Calibri"/>
          <w:spacing w:val="24"/>
        </w:rPr>
        <w:t xml:space="preserve"> </w:t>
      </w:r>
      <w:r>
        <w:rPr>
          <w:spacing w:val="-3"/>
        </w:rPr>
        <w:t>公顷，比现状增加</w:t>
      </w:r>
      <w:r>
        <w:rPr>
          <w:spacing w:val="-47"/>
        </w:rPr>
        <w:t xml:space="preserve"> </w:t>
      </w:r>
      <w:r>
        <w:rPr>
          <w:rFonts w:ascii="Calibri" w:hAnsi="Calibri" w:eastAsia="Calibri" w:cs="Calibri"/>
          <w:spacing w:val="-3"/>
        </w:rPr>
        <w:t>656.12</w:t>
      </w:r>
      <w:r>
        <w:rPr>
          <w:rFonts w:ascii="Calibri" w:hAnsi="Calibri" w:eastAsia="Calibri" w:cs="Calibri"/>
          <w:spacing w:val="24"/>
        </w:rPr>
        <w:t xml:space="preserve"> </w:t>
      </w:r>
      <w:r>
        <w:rPr>
          <w:spacing w:val="-3"/>
        </w:rPr>
        <w:t>公顷。</w:t>
      </w:r>
    </w:p>
    <w:p w14:paraId="60E466F8">
      <w:pPr>
        <w:pStyle w:val="2"/>
        <w:spacing w:before="180" w:line="378" w:lineRule="auto"/>
        <w:ind w:left="2" w:right="62" w:firstLine="478"/>
        <w:jc w:val="both"/>
      </w:pPr>
      <w:r>
        <w:rPr>
          <w:b/>
          <w:bCs/>
          <w:spacing w:val="-4"/>
          <w:u w:val="single" w:color="auto"/>
        </w:rPr>
        <w:t>近期完成开发区路网骨架系统建设，安宁片区功能布局进一步调整，新九集镇新城、物流园</w:t>
      </w:r>
      <w:r>
        <w:rPr>
          <w:b/>
          <w:bCs/>
          <w:spacing w:val="-3"/>
          <w:u w:val="single" w:color="auto"/>
        </w:rPr>
        <w:t>区启动建设。重点建设的重要项目包括</w:t>
      </w:r>
      <w:r>
        <w:rPr>
          <w:spacing w:val="-45"/>
          <w:u w:val="single" w:color="auto"/>
        </w:rPr>
        <w:t xml:space="preserve"> </w:t>
      </w:r>
      <w:r>
        <w:rPr>
          <w:b/>
          <w:bCs/>
          <w:spacing w:val="-3"/>
          <w:u w:val="single" w:color="auto"/>
        </w:rPr>
        <w:t>50</w:t>
      </w:r>
      <w:r>
        <w:rPr>
          <w:spacing w:val="-45"/>
          <w:u w:val="single" w:color="auto"/>
        </w:rPr>
        <w:t xml:space="preserve"> </w:t>
      </w:r>
      <w:r>
        <w:rPr>
          <w:b/>
          <w:bCs/>
          <w:spacing w:val="-3"/>
          <w:u w:val="single" w:color="auto"/>
        </w:rPr>
        <w:t>万吨攀西钛精矿升级转</w:t>
      </w:r>
      <w:r>
        <w:rPr>
          <w:b/>
          <w:bCs/>
          <w:spacing w:val="-4"/>
          <w:u w:val="single" w:color="auto"/>
        </w:rPr>
        <w:t>化氯化钛渣创新工程、20</w:t>
      </w:r>
      <w:r>
        <w:rPr>
          <w:spacing w:val="-43"/>
          <w:u w:val="single" w:color="auto"/>
        </w:rPr>
        <w:t xml:space="preserve"> </w:t>
      </w:r>
      <w:r>
        <w:rPr>
          <w:b/>
          <w:bCs/>
          <w:spacing w:val="-4"/>
          <w:u w:val="single" w:color="auto"/>
        </w:rPr>
        <w:t>万吨</w:t>
      </w:r>
      <w:r>
        <w:rPr>
          <w:b/>
          <w:bCs/>
          <w:spacing w:val="-3"/>
          <w:u w:val="single" w:color="auto"/>
        </w:rPr>
        <w:t>氯化钛白项目、中干沟矿、乐乐能源公司综合利用废物年产</w:t>
      </w:r>
      <w:r>
        <w:rPr>
          <w:spacing w:val="-48"/>
          <w:u w:val="single" w:color="auto"/>
        </w:rPr>
        <w:t xml:space="preserve"> </w:t>
      </w:r>
      <w:r>
        <w:rPr>
          <w:b/>
          <w:bCs/>
          <w:spacing w:val="-3"/>
          <w:u w:val="single" w:color="auto"/>
        </w:rPr>
        <w:t>45</w:t>
      </w:r>
      <w:r>
        <w:rPr>
          <w:spacing w:val="-42"/>
          <w:u w:val="single" w:color="auto"/>
        </w:rPr>
        <w:t xml:space="preserve"> </w:t>
      </w:r>
      <w:r>
        <w:rPr>
          <w:b/>
          <w:bCs/>
          <w:spacing w:val="-3"/>
          <w:u w:val="single" w:color="auto"/>
        </w:rPr>
        <w:t>万</w:t>
      </w:r>
      <w:r>
        <w:rPr>
          <w:spacing w:val="-57"/>
          <w:u w:val="single" w:color="auto"/>
        </w:rPr>
        <w:t xml:space="preserve"> </w:t>
      </w:r>
      <w:r>
        <w:rPr>
          <w:b/>
          <w:bCs/>
          <w:spacing w:val="-3"/>
          <w:u w:val="single" w:color="auto"/>
        </w:rPr>
        <w:t>m</w:t>
      </w:r>
      <w:r>
        <w:rPr>
          <w:b/>
          <w:bCs/>
          <w:spacing w:val="-3"/>
          <w:position w:val="12"/>
          <w:sz w:val="12"/>
          <w:szCs w:val="12"/>
          <w:u w:val="single" w:color="auto"/>
        </w:rPr>
        <w:t>3</w:t>
      </w:r>
      <w:r>
        <w:rPr>
          <w:spacing w:val="-20"/>
          <w:position w:val="12"/>
          <w:sz w:val="12"/>
          <w:szCs w:val="12"/>
          <w:u w:val="single" w:color="auto"/>
        </w:rPr>
        <w:t xml:space="preserve"> </w:t>
      </w:r>
      <w:r>
        <w:rPr>
          <w:b/>
          <w:bCs/>
          <w:spacing w:val="-3"/>
          <w:u w:val="single" w:color="auto"/>
        </w:rPr>
        <w:t>砌块项</w:t>
      </w:r>
      <w:r>
        <w:rPr>
          <w:b/>
          <w:bCs/>
          <w:spacing w:val="-4"/>
          <w:u w:val="single" w:color="auto"/>
        </w:rPr>
        <w:t>目等。</w:t>
      </w:r>
    </w:p>
    <w:p w14:paraId="628DCA11">
      <w:pPr>
        <w:spacing w:before="223" w:line="206" w:lineRule="auto"/>
        <w:ind w:left="3518"/>
        <w:rPr>
          <w:rFonts w:ascii="华文细黑" w:hAnsi="华文细黑" w:eastAsia="华文细黑" w:cs="华文细黑"/>
          <w:sz w:val="21"/>
          <w:szCs w:val="21"/>
        </w:rPr>
      </w:pPr>
      <w:r>
        <w:rPr>
          <w:rFonts w:ascii="华文细黑" w:hAnsi="华文细黑" w:eastAsia="华文细黑" w:cs="华文细黑"/>
          <w:spacing w:val="-1"/>
          <w:sz w:val="21"/>
          <w:szCs w:val="21"/>
        </w:rPr>
        <w:t>表格 9  近期城市建设用地统计表</w:t>
      </w:r>
    </w:p>
    <w:p w14:paraId="523BEFC4">
      <w:pPr>
        <w:spacing w:line="130" w:lineRule="exact"/>
      </w:pPr>
    </w:p>
    <w:tbl>
      <w:tblPr>
        <w:tblStyle w:val="5"/>
        <w:tblW w:w="7298" w:type="dxa"/>
        <w:tblInd w:w="13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0"/>
        <w:gridCol w:w="1475"/>
        <w:gridCol w:w="1446"/>
        <w:gridCol w:w="1866"/>
        <w:gridCol w:w="1871"/>
      </w:tblGrid>
      <w:tr w14:paraId="101FB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2115" w:type="dxa"/>
            <w:gridSpan w:val="2"/>
            <w:vAlign w:val="top"/>
          </w:tcPr>
          <w:p w14:paraId="0D525AFE">
            <w:pPr>
              <w:pStyle w:val="6"/>
              <w:spacing w:before="237" w:line="208" w:lineRule="auto"/>
              <w:ind w:left="852"/>
            </w:pPr>
            <w:r>
              <w:rPr>
                <w:spacing w:val="-2"/>
              </w:rPr>
              <w:t>名称</w:t>
            </w:r>
          </w:p>
        </w:tc>
        <w:tc>
          <w:tcPr>
            <w:tcW w:w="1446" w:type="dxa"/>
            <w:vAlign w:val="top"/>
          </w:tcPr>
          <w:p w14:paraId="7E339685">
            <w:pPr>
              <w:pStyle w:val="6"/>
              <w:spacing w:before="237" w:line="208" w:lineRule="auto"/>
              <w:ind w:left="119"/>
            </w:pPr>
            <w:r>
              <w:rPr>
                <w:spacing w:val="-8"/>
              </w:rPr>
              <w:t>面积（h  ㎡）</w:t>
            </w:r>
          </w:p>
        </w:tc>
        <w:tc>
          <w:tcPr>
            <w:tcW w:w="1866" w:type="dxa"/>
            <w:vAlign w:val="top"/>
          </w:tcPr>
          <w:p w14:paraId="6449855F">
            <w:pPr>
              <w:pStyle w:val="6"/>
              <w:spacing w:before="237" w:line="208" w:lineRule="auto"/>
              <w:ind w:left="126"/>
            </w:pPr>
            <w:r>
              <w:rPr>
                <w:spacing w:val="-7"/>
              </w:rPr>
              <w:t>安宁片区（h  ㎡）</w:t>
            </w:r>
          </w:p>
        </w:tc>
        <w:tc>
          <w:tcPr>
            <w:tcW w:w="1871" w:type="dxa"/>
            <w:vAlign w:val="top"/>
          </w:tcPr>
          <w:p w14:paraId="7EC55FB2">
            <w:pPr>
              <w:pStyle w:val="6"/>
              <w:spacing w:before="237" w:line="207" w:lineRule="auto"/>
              <w:ind w:left="120"/>
            </w:pPr>
            <w:r>
              <w:rPr>
                <w:spacing w:val="-6"/>
              </w:rPr>
              <w:t>新九片区（h  ㎡）</w:t>
            </w:r>
          </w:p>
        </w:tc>
      </w:tr>
      <w:tr w14:paraId="611CD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2115" w:type="dxa"/>
            <w:gridSpan w:val="2"/>
            <w:vAlign w:val="top"/>
          </w:tcPr>
          <w:p w14:paraId="42E17C48">
            <w:pPr>
              <w:pStyle w:val="6"/>
              <w:spacing w:before="73" w:line="206" w:lineRule="auto"/>
              <w:ind w:left="434"/>
            </w:pPr>
            <w:r>
              <w:rPr>
                <w:spacing w:val="-2"/>
              </w:rPr>
              <w:t>近期建设用地</w:t>
            </w:r>
          </w:p>
        </w:tc>
        <w:tc>
          <w:tcPr>
            <w:tcW w:w="1446" w:type="dxa"/>
            <w:vAlign w:val="top"/>
          </w:tcPr>
          <w:p w14:paraId="43C2696F">
            <w:pPr>
              <w:pStyle w:val="6"/>
              <w:spacing w:before="73" w:line="210" w:lineRule="auto"/>
              <w:ind w:left="372"/>
            </w:pPr>
            <w:r>
              <w:rPr>
                <w:spacing w:val="-4"/>
              </w:rPr>
              <w:t>1014.63</w:t>
            </w:r>
          </w:p>
        </w:tc>
        <w:tc>
          <w:tcPr>
            <w:tcW w:w="1866" w:type="dxa"/>
            <w:vAlign w:val="top"/>
          </w:tcPr>
          <w:p w14:paraId="3F98E639">
            <w:pPr>
              <w:pStyle w:val="6"/>
              <w:spacing w:before="73" w:line="210" w:lineRule="auto"/>
              <w:ind w:left="615"/>
            </w:pPr>
            <w:r>
              <w:rPr>
                <w:spacing w:val="-1"/>
              </w:rPr>
              <w:t>479.84</w:t>
            </w:r>
          </w:p>
        </w:tc>
        <w:tc>
          <w:tcPr>
            <w:tcW w:w="1871" w:type="dxa"/>
            <w:vAlign w:val="top"/>
          </w:tcPr>
          <w:p w14:paraId="34C95EB7">
            <w:pPr>
              <w:pStyle w:val="6"/>
              <w:spacing w:before="73" w:line="210" w:lineRule="auto"/>
              <w:ind w:left="620"/>
            </w:pPr>
            <w:r>
              <w:rPr>
                <w:spacing w:val="-2"/>
              </w:rPr>
              <w:t>534.79</w:t>
            </w:r>
          </w:p>
        </w:tc>
      </w:tr>
      <w:tr w14:paraId="7EBCA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40" w:type="dxa"/>
            <w:vAlign w:val="top"/>
          </w:tcPr>
          <w:p w14:paraId="54956C02">
            <w:pPr>
              <w:pStyle w:val="6"/>
              <w:spacing w:before="72" w:line="207" w:lineRule="auto"/>
              <w:ind w:left="117"/>
            </w:pPr>
            <w:r>
              <w:rPr>
                <w:spacing w:val="-2"/>
              </w:rPr>
              <w:t>其中</w:t>
            </w:r>
          </w:p>
        </w:tc>
        <w:tc>
          <w:tcPr>
            <w:tcW w:w="1475" w:type="dxa"/>
            <w:vAlign w:val="top"/>
          </w:tcPr>
          <w:p w14:paraId="62AE3BB5">
            <w:pPr>
              <w:pStyle w:val="6"/>
              <w:spacing w:before="72" w:line="206" w:lineRule="auto"/>
              <w:ind w:left="118"/>
            </w:pPr>
            <w:r>
              <w:rPr>
                <w:spacing w:val="-2"/>
              </w:rPr>
              <w:t>工业用地规模</w:t>
            </w:r>
          </w:p>
        </w:tc>
        <w:tc>
          <w:tcPr>
            <w:tcW w:w="1446" w:type="dxa"/>
            <w:vAlign w:val="top"/>
          </w:tcPr>
          <w:p w14:paraId="6AD07997">
            <w:pPr>
              <w:pStyle w:val="6"/>
              <w:spacing w:before="72" w:line="213" w:lineRule="auto"/>
              <w:ind w:left="407"/>
            </w:pPr>
            <w:r>
              <w:rPr>
                <w:spacing w:val="-1"/>
              </w:rPr>
              <w:t>800.34</w:t>
            </w:r>
          </w:p>
        </w:tc>
        <w:tc>
          <w:tcPr>
            <w:tcW w:w="1866" w:type="dxa"/>
            <w:vAlign w:val="top"/>
          </w:tcPr>
          <w:p w14:paraId="55608FF7">
            <w:pPr>
              <w:pStyle w:val="6"/>
              <w:spacing w:before="72" w:line="213" w:lineRule="auto"/>
              <w:ind w:left="677"/>
            </w:pPr>
            <w:r>
              <w:rPr>
                <w:spacing w:val="-2"/>
              </w:rPr>
              <w:t>350.8</w:t>
            </w:r>
          </w:p>
        </w:tc>
        <w:tc>
          <w:tcPr>
            <w:tcW w:w="1871" w:type="dxa"/>
            <w:vAlign w:val="top"/>
          </w:tcPr>
          <w:p w14:paraId="3A043B71">
            <w:pPr>
              <w:pStyle w:val="6"/>
              <w:spacing w:before="72" w:line="213" w:lineRule="auto"/>
              <w:ind w:left="617"/>
            </w:pPr>
            <w:r>
              <w:rPr>
                <w:spacing w:val="-1"/>
              </w:rPr>
              <w:t>449.54</w:t>
            </w:r>
          </w:p>
        </w:tc>
      </w:tr>
    </w:tbl>
    <w:p w14:paraId="7CAB1132">
      <w:pPr>
        <w:spacing w:before="315" w:line="234" w:lineRule="auto"/>
        <w:ind w:left="211"/>
        <w:rPr>
          <w:rFonts w:ascii="黑体" w:hAnsi="黑体" w:eastAsia="黑体" w:cs="黑体"/>
          <w:sz w:val="28"/>
          <w:szCs w:val="28"/>
        </w:rPr>
      </w:pPr>
      <w:r>
        <w:rPr>
          <w:rFonts w:ascii="黑体" w:hAnsi="黑体" w:eastAsia="黑体" w:cs="黑体"/>
          <w:spacing w:val="-5"/>
          <w:sz w:val="28"/>
          <w:szCs w:val="28"/>
        </w:rPr>
        <w:t>第四十六条</w:t>
      </w:r>
      <w:r>
        <w:rPr>
          <w:rFonts w:ascii="黑体" w:hAnsi="黑体" w:eastAsia="黑体" w:cs="黑体"/>
          <w:spacing w:val="34"/>
          <w:sz w:val="28"/>
          <w:szCs w:val="28"/>
        </w:rPr>
        <w:t xml:space="preserve">   </w:t>
      </w:r>
      <w:r>
        <w:rPr>
          <w:rFonts w:ascii="黑体" w:hAnsi="黑体" w:eastAsia="黑体" w:cs="黑体"/>
          <w:spacing w:val="-5"/>
          <w:sz w:val="28"/>
          <w:szCs w:val="28"/>
        </w:rPr>
        <w:t>中远期（</w:t>
      </w:r>
      <w:r>
        <w:rPr>
          <w:rFonts w:ascii="Cambria" w:hAnsi="Cambria" w:eastAsia="Cambria" w:cs="Cambria"/>
          <w:spacing w:val="-5"/>
          <w:sz w:val="28"/>
          <w:szCs w:val="28"/>
        </w:rPr>
        <w:t>2026</w:t>
      </w:r>
      <w:r>
        <w:rPr>
          <w:rFonts w:ascii="黑体" w:hAnsi="黑体" w:eastAsia="黑体" w:cs="黑体"/>
          <w:spacing w:val="-5"/>
          <w:sz w:val="28"/>
          <w:szCs w:val="28"/>
        </w:rPr>
        <w:t>—</w:t>
      </w:r>
      <w:r>
        <w:rPr>
          <w:rFonts w:ascii="Cambria" w:hAnsi="Cambria" w:eastAsia="Cambria" w:cs="Cambria"/>
          <w:spacing w:val="-5"/>
          <w:sz w:val="28"/>
          <w:szCs w:val="28"/>
        </w:rPr>
        <w:t>2035</w:t>
      </w:r>
      <w:r>
        <w:rPr>
          <w:rFonts w:ascii="Cambria" w:hAnsi="Cambria" w:eastAsia="Cambria" w:cs="Cambria"/>
          <w:spacing w:val="18"/>
          <w:sz w:val="28"/>
          <w:szCs w:val="28"/>
        </w:rPr>
        <w:t xml:space="preserve"> </w:t>
      </w:r>
      <w:r>
        <w:rPr>
          <w:rFonts w:ascii="黑体" w:hAnsi="黑体" w:eastAsia="黑体" w:cs="黑体"/>
          <w:spacing w:val="-5"/>
          <w:sz w:val="28"/>
          <w:szCs w:val="28"/>
        </w:rPr>
        <w:t>年</w:t>
      </w:r>
      <w:r>
        <w:rPr>
          <w:rFonts w:ascii="黑体" w:hAnsi="黑体" w:eastAsia="黑体" w:cs="黑体"/>
          <w:spacing w:val="-25"/>
          <w:sz w:val="28"/>
          <w:szCs w:val="28"/>
        </w:rPr>
        <w:t>）：</w:t>
      </w:r>
      <w:r>
        <w:rPr>
          <w:rFonts w:ascii="黑体" w:hAnsi="黑体" w:eastAsia="黑体" w:cs="黑体"/>
          <w:spacing w:val="-5"/>
          <w:sz w:val="28"/>
          <w:szCs w:val="28"/>
        </w:rPr>
        <w:t>稳步推进、持续发展</w:t>
      </w:r>
    </w:p>
    <w:p w14:paraId="43CF591C">
      <w:pPr>
        <w:spacing w:line="286" w:lineRule="auto"/>
        <w:rPr>
          <w:rFonts w:ascii="Arial"/>
          <w:sz w:val="21"/>
        </w:rPr>
      </w:pPr>
    </w:p>
    <w:p w14:paraId="16BC8D29">
      <w:pPr>
        <w:pStyle w:val="2"/>
        <w:spacing w:before="79" w:line="220" w:lineRule="auto"/>
        <w:ind w:left="480"/>
      </w:pPr>
      <w:r>
        <w:rPr>
          <w:spacing w:val="-3"/>
        </w:rPr>
        <w:t>规划中远期城市建设用地面积</w:t>
      </w:r>
      <w:r>
        <w:rPr>
          <w:spacing w:val="-36"/>
        </w:rPr>
        <w:t xml:space="preserve"> </w:t>
      </w:r>
      <w:r>
        <w:rPr>
          <w:spacing w:val="-3"/>
        </w:rPr>
        <w:t>2079.07</w:t>
      </w:r>
      <w:r>
        <w:rPr>
          <w:spacing w:val="-43"/>
        </w:rPr>
        <w:t xml:space="preserve"> </w:t>
      </w:r>
      <w:r>
        <w:rPr>
          <w:spacing w:val="-3"/>
        </w:rPr>
        <w:t>公顷，比近期增加</w:t>
      </w:r>
      <w:r>
        <w:rPr>
          <w:spacing w:val="-32"/>
        </w:rPr>
        <w:t xml:space="preserve"> </w:t>
      </w:r>
      <w:r>
        <w:rPr>
          <w:spacing w:val="-3"/>
        </w:rPr>
        <w:t>1064.44</w:t>
      </w:r>
      <w:r>
        <w:rPr>
          <w:spacing w:val="-43"/>
        </w:rPr>
        <w:t xml:space="preserve"> </w:t>
      </w:r>
      <w:r>
        <w:rPr>
          <w:spacing w:val="-3"/>
        </w:rPr>
        <w:t>公顷。</w:t>
      </w:r>
    </w:p>
    <w:p w14:paraId="5EEFA4CB">
      <w:pPr>
        <w:pStyle w:val="2"/>
        <w:spacing w:before="204" w:line="377" w:lineRule="auto"/>
        <w:ind w:firstLine="460"/>
      </w:pPr>
      <w:r>
        <w:rPr>
          <w:spacing w:val="1"/>
        </w:rPr>
        <w:t>“产城相融”建成，新九镇总部基地进一步发展壮大，安宁片区基本完成产业转型及</w:t>
      </w:r>
      <w:r>
        <w:t>整合；</w:t>
      </w:r>
      <w:r>
        <w:rPr>
          <w:spacing w:val="-1"/>
        </w:rPr>
        <w:t>新九片区洗选产业完成整合，芦林区域完成建设。开发区成为具有强大区域竞争力和品牌</w:t>
      </w:r>
      <w:r>
        <w:rPr>
          <w:spacing w:val="-2"/>
        </w:rPr>
        <w:t>优势的重要钒钛产业基地，同时扩展高新技术园区用地。</w:t>
      </w:r>
    </w:p>
    <w:p w14:paraId="282BD943">
      <w:pPr>
        <w:spacing w:before="228" w:line="206" w:lineRule="auto"/>
        <w:ind w:left="3355"/>
        <w:rPr>
          <w:rFonts w:ascii="华文细黑" w:hAnsi="华文细黑" w:eastAsia="华文细黑" w:cs="华文细黑"/>
          <w:sz w:val="21"/>
          <w:szCs w:val="21"/>
        </w:rPr>
      </w:pPr>
      <w:r>
        <w:rPr>
          <w:rFonts w:ascii="华文细黑" w:hAnsi="华文细黑" w:eastAsia="华文细黑" w:cs="华文细黑"/>
          <w:spacing w:val="-4"/>
          <w:sz w:val="21"/>
          <w:szCs w:val="21"/>
        </w:rPr>
        <w:t>表格</w:t>
      </w:r>
      <w:r>
        <w:rPr>
          <w:rFonts w:ascii="华文细黑" w:hAnsi="华文细黑" w:eastAsia="华文细黑" w:cs="华文细黑"/>
          <w:spacing w:val="29"/>
          <w:sz w:val="21"/>
          <w:szCs w:val="21"/>
        </w:rPr>
        <w:t xml:space="preserve"> </w:t>
      </w:r>
      <w:r>
        <w:rPr>
          <w:rFonts w:ascii="华文细黑" w:hAnsi="华文细黑" w:eastAsia="华文细黑" w:cs="华文细黑"/>
          <w:spacing w:val="-4"/>
          <w:sz w:val="21"/>
          <w:szCs w:val="21"/>
        </w:rPr>
        <w:t>10</w:t>
      </w:r>
      <w:r>
        <w:rPr>
          <w:rFonts w:ascii="华文细黑" w:hAnsi="华文细黑" w:eastAsia="华文细黑" w:cs="华文细黑"/>
          <w:spacing w:val="13"/>
          <w:w w:val="101"/>
          <w:sz w:val="21"/>
          <w:szCs w:val="21"/>
        </w:rPr>
        <w:t xml:space="preserve">  </w:t>
      </w:r>
      <w:r>
        <w:rPr>
          <w:rFonts w:ascii="华文细黑" w:hAnsi="华文细黑" w:eastAsia="华文细黑" w:cs="华文细黑"/>
          <w:spacing w:val="-4"/>
          <w:sz w:val="21"/>
          <w:szCs w:val="21"/>
        </w:rPr>
        <w:t>中远期新增建设用地统计表</w:t>
      </w:r>
    </w:p>
    <w:p w14:paraId="05B633B3">
      <w:pPr>
        <w:spacing w:line="130" w:lineRule="exact"/>
      </w:pPr>
    </w:p>
    <w:tbl>
      <w:tblPr>
        <w:tblStyle w:val="5"/>
        <w:tblW w:w="7298" w:type="dxa"/>
        <w:tblInd w:w="13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0"/>
        <w:gridCol w:w="1475"/>
        <w:gridCol w:w="1446"/>
        <w:gridCol w:w="1866"/>
        <w:gridCol w:w="1871"/>
      </w:tblGrid>
      <w:tr w14:paraId="77E2A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2115" w:type="dxa"/>
            <w:gridSpan w:val="2"/>
            <w:vAlign w:val="top"/>
          </w:tcPr>
          <w:p w14:paraId="2C55A0B7">
            <w:pPr>
              <w:pStyle w:val="6"/>
              <w:spacing w:before="150" w:line="208" w:lineRule="auto"/>
              <w:ind w:left="852"/>
            </w:pPr>
            <w:r>
              <w:rPr>
                <w:spacing w:val="-2"/>
              </w:rPr>
              <w:t>名称</w:t>
            </w:r>
          </w:p>
        </w:tc>
        <w:tc>
          <w:tcPr>
            <w:tcW w:w="1446" w:type="dxa"/>
            <w:vAlign w:val="top"/>
          </w:tcPr>
          <w:p w14:paraId="50048B30">
            <w:pPr>
              <w:pStyle w:val="6"/>
              <w:spacing w:before="150" w:line="208" w:lineRule="auto"/>
              <w:ind w:left="119"/>
            </w:pPr>
            <w:r>
              <w:rPr>
                <w:spacing w:val="-8"/>
              </w:rPr>
              <w:t>面积（h  ㎡）</w:t>
            </w:r>
          </w:p>
        </w:tc>
        <w:tc>
          <w:tcPr>
            <w:tcW w:w="1866" w:type="dxa"/>
            <w:vAlign w:val="top"/>
          </w:tcPr>
          <w:p w14:paraId="7AE80C5A">
            <w:pPr>
              <w:pStyle w:val="6"/>
              <w:spacing w:before="150" w:line="208" w:lineRule="auto"/>
              <w:ind w:left="126"/>
            </w:pPr>
            <w:r>
              <w:rPr>
                <w:spacing w:val="-7"/>
              </w:rPr>
              <w:t>安宁片区（h  ㎡）</w:t>
            </w:r>
          </w:p>
        </w:tc>
        <w:tc>
          <w:tcPr>
            <w:tcW w:w="1871" w:type="dxa"/>
            <w:vAlign w:val="top"/>
          </w:tcPr>
          <w:p w14:paraId="3424B309">
            <w:pPr>
              <w:pStyle w:val="6"/>
              <w:spacing w:before="150" w:line="207" w:lineRule="auto"/>
              <w:ind w:left="120"/>
            </w:pPr>
            <w:r>
              <w:rPr>
                <w:spacing w:val="-6"/>
              </w:rPr>
              <w:t>新九片区（h  ㎡）</w:t>
            </w:r>
          </w:p>
        </w:tc>
      </w:tr>
      <w:tr w14:paraId="3B43D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2115" w:type="dxa"/>
            <w:gridSpan w:val="2"/>
            <w:vAlign w:val="top"/>
          </w:tcPr>
          <w:p w14:paraId="2BD178D6">
            <w:pPr>
              <w:pStyle w:val="6"/>
              <w:spacing w:before="147" w:line="206" w:lineRule="auto"/>
              <w:ind w:left="347"/>
            </w:pPr>
            <w:r>
              <w:rPr>
                <w:spacing w:val="-4"/>
              </w:rPr>
              <w:t>中远期建设用地</w:t>
            </w:r>
          </w:p>
        </w:tc>
        <w:tc>
          <w:tcPr>
            <w:tcW w:w="1446" w:type="dxa"/>
            <w:vAlign w:val="top"/>
          </w:tcPr>
          <w:p w14:paraId="10B336BD">
            <w:pPr>
              <w:pStyle w:val="6"/>
              <w:spacing w:before="147" w:line="232" w:lineRule="auto"/>
              <w:ind w:left="348"/>
            </w:pPr>
            <w:r>
              <w:rPr>
                <w:spacing w:val="-1"/>
              </w:rPr>
              <w:t>2079.07</w:t>
            </w:r>
          </w:p>
        </w:tc>
        <w:tc>
          <w:tcPr>
            <w:tcW w:w="1866" w:type="dxa"/>
            <w:vAlign w:val="top"/>
          </w:tcPr>
          <w:p w14:paraId="420FF4DE">
            <w:pPr>
              <w:pStyle w:val="6"/>
              <w:spacing w:before="147" w:line="232" w:lineRule="auto"/>
              <w:ind w:left="640"/>
            </w:pPr>
            <w:r>
              <w:rPr>
                <w:spacing w:val="-5"/>
              </w:rPr>
              <w:t>1041.1</w:t>
            </w:r>
          </w:p>
        </w:tc>
        <w:tc>
          <w:tcPr>
            <w:tcW w:w="1871" w:type="dxa"/>
            <w:vAlign w:val="top"/>
          </w:tcPr>
          <w:p w14:paraId="6F06EE72">
            <w:pPr>
              <w:pStyle w:val="6"/>
              <w:spacing w:before="147" w:line="232" w:lineRule="auto"/>
              <w:ind w:left="584"/>
            </w:pPr>
            <w:r>
              <w:rPr>
                <w:spacing w:val="-4"/>
              </w:rPr>
              <w:t>1037.97</w:t>
            </w:r>
          </w:p>
        </w:tc>
      </w:tr>
      <w:tr w14:paraId="7A667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640" w:type="dxa"/>
            <w:vAlign w:val="top"/>
          </w:tcPr>
          <w:p w14:paraId="6BD355DB">
            <w:pPr>
              <w:pStyle w:val="6"/>
              <w:spacing w:before="150" w:line="207" w:lineRule="auto"/>
              <w:ind w:left="117"/>
            </w:pPr>
            <w:r>
              <w:rPr>
                <w:spacing w:val="-2"/>
              </w:rPr>
              <w:t>其中</w:t>
            </w:r>
          </w:p>
        </w:tc>
        <w:tc>
          <w:tcPr>
            <w:tcW w:w="1475" w:type="dxa"/>
            <w:vAlign w:val="top"/>
          </w:tcPr>
          <w:p w14:paraId="19644841">
            <w:pPr>
              <w:pStyle w:val="6"/>
              <w:spacing w:before="151" w:line="206" w:lineRule="auto"/>
              <w:ind w:left="118"/>
            </w:pPr>
            <w:r>
              <w:rPr>
                <w:spacing w:val="-2"/>
              </w:rPr>
              <w:t>工业用地规模</w:t>
            </w:r>
          </w:p>
        </w:tc>
        <w:tc>
          <w:tcPr>
            <w:tcW w:w="1446" w:type="dxa"/>
            <w:vAlign w:val="top"/>
          </w:tcPr>
          <w:p w14:paraId="3A06EB60">
            <w:pPr>
              <w:pStyle w:val="6"/>
              <w:spacing w:before="151" w:line="232" w:lineRule="auto"/>
              <w:ind w:left="372"/>
            </w:pPr>
            <w:r>
              <w:rPr>
                <w:spacing w:val="-4"/>
              </w:rPr>
              <w:t>1545.77</w:t>
            </w:r>
          </w:p>
        </w:tc>
        <w:tc>
          <w:tcPr>
            <w:tcW w:w="1866" w:type="dxa"/>
            <w:vAlign w:val="top"/>
          </w:tcPr>
          <w:p w14:paraId="5BB9FA91">
            <w:pPr>
              <w:pStyle w:val="6"/>
              <w:spacing w:before="151" w:line="232" w:lineRule="auto"/>
              <w:ind w:left="625"/>
            </w:pPr>
            <w:r>
              <w:rPr>
                <w:spacing w:val="-3"/>
              </w:rPr>
              <w:t>784.93</w:t>
            </w:r>
          </w:p>
        </w:tc>
        <w:tc>
          <w:tcPr>
            <w:tcW w:w="1871" w:type="dxa"/>
            <w:vAlign w:val="top"/>
          </w:tcPr>
          <w:p w14:paraId="3276E8FD">
            <w:pPr>
              <w:pStyle w:val="6"/>
              <w:spacing w:before="151" w:line="232" w:lineRule="auto"/>
              <w:ind w:left="627"/>
            </w:pPr>
            <w:r>
              <w:rPr>
                <w:spacing w:val="-3"/>
              </w:rPr>
              <w:t>760.84</w:t>
            </w:r>
          </w:p>
        </w:tc>
      </w:tr>
    </w:tbl>
    <w:p w14:paraId="29F21FD2">
      <w:pPr>
        <w:rPr>
          <w:rFonts w:ascii="Arial"/>
          <w:sz w:val="21"/>
        </w:rPr>
      </w:pPr>
    </w:p>
    <w:p w14:paraId="3902D422">
      <w:pPr>
        <w:rPr>
          <w:rFonts w:ascii="Arial" w:hAnsi="Arial" w:eastAsia="Arial" w:cs="Arial"/>
          <w:sz w:val="21"/>
          <w:szCs w:val="21"/>
        </w:rPr>
        <w:sectPr>
          <w:type w:val="continuous"/>
          <w:pgSz w:w="23811" w:h="16839"/>
          <w:pgMar w:top="1274" w:right="1373" w:bottom="1613" w:left="1327" w:header="838" w:footer="1386" w:gutter="0"/>
          <w:cols w:equalWidth="0" w:num="2">
            <w:col w:w="10911" w:space="100"/>
            <w:col w:w="10100"/>
          </w:cols>
        </w:sectPr>
      </w:pPr>
    </w:p>
    <w:p w14:paraId="3F912CCB">
      <w:pPr>
        <w:spacing w:line="22" w:lineRule="exact"/>
      </w:pPr>
    </w:p>
    <w:p w14:paraId="41F43B07">
      <w:pPr>
        <w:spacing w:line="22" w:lineRule="exact"/>
        <w:sectPr>
          <w:headerReference r:id="rId42" w:type="default"/>
          <w:footerReference r:id="rId43" w:type="default"/>
          <w:pgSz w:w="23811" w:h="16839"/>
          <w:pgMar w:top="1274" w:right="1409" w:bottom="1613" w:left="1411" w:header="838" w:footer="1386" w:gutter="0"/>
          <w:cols w:equalWidth="0" w:num="1">
            <w:col w:w="20990"/>
          </w:cols>
        </w:sectPr>
      </w:pPr>
    </w:p>
    <w:p w14:paraId="3E0FB175">
      <w:pPr>
        <w:spacing w:line="275" w:lineRule="auto"/>
        <w:rPr>
          <w:rFonts w:ascii="Arial"/>
          <w:sz w:val="21"/>
        </w:rPr>
      </w:pPr>
    </w:p>
    <w:p w14:paraId="544E4451">
      <w:pPr>
        <w:spacing w:line="275" w:lineRule="auto"/>
        <w:rPr>
          <w:rFonts w:ascii="Arial"/>
          <w:sz w:val="21"/>
        </w:rPr>
      </w:pPr>
    </w:p>
    <w:p w14:paraId="1997A457">
      <w:pPr>
        <w:spacing w:line="276" w:lineRule="auto"/>
        <w:rPr>
          <w:rFonts w:ascii="Arial"/>
          <w:sz w:val="21"/>
        </w:rPr>
      </w:pPr>
    </w:p>
    <w:p w14:paraId="17EE9513">
      <w:pPr>
        <w:spacing w:before="101" w:line="224" w:lineRule="auto"/>
        <w:ind w:left="3262"/>
        <w:outlineLvl w:val="0"/>
        <w:rPr>
          <w:rFonts w:ascii="黑体" w:hAnsi="黑体" w:eastAsia="黑体" w:cs="黑体"/>
          <w:sz w:val="31"/>
          <w:szCs w:val="31"/>
        </w:rPr>
      </w:pPr>
      <w:bookmarkStart w:id="14" w:name="bookmark15"/>
      <w:bookmarkEnd w:id="14"/>
      <w:r>
        <w:rPr>
          <w:rFonts w:ascii="黑体" w:hAnsi="黑体" w:eastAsia="黑体" w:cs="黑体"/>
          <w:spacing w:val="7"/>
          <w:sz w:val="31"/>
          <w:szCs w:val="31"/>
        </w:rPr>
        <w:t>第十五章</w:t>
      </w:r>
      <w:r>
        <w:rPr>
          <w:rFonts w:ascii="黑体" w:hAnsi="黑体" w:eastAsia="黑体" w:cs="黑体"/>
          <w:spacing w:val="53"/>
          <w:sz w:val="31"/>
          <w:szCs w:val="31"/>
        </w:rPr>
        <w:t xml:space="preserve">  </w:t>
      </w:r>
      <w:r>
        <w:rPr>
          <w:rFonts w:ascii="黑体" w:hAnsi="黑体" w:eastAsia="黑体" w:cs="黑体"/>
          <w:spacing w:val="7"/>
          <w:sz w:val="31"/>
          <w:szCs w:val="31"/>
        </w:rPr>
        <w:t>规划实施措施</w:t>
      </w:r>
    </w:p>
    <w:p w14:paraId="7A2E0186">
      <w:pPr>
        <w:spacing w:line="267" w:lineRule="auto"/>
        <w:rPr>
          <w:rFonts w:ascii="Arial"/>
          <w:sz w:val="21"/>
        </w:rPr>
      </w:pPr>
    </w:p>
    <w:p w14:paraId="525BB7C6">
      <w:pPr>
        <w:spacing w:line="267" w:lineRule="auto"/>
        <w:rPr>
          <w:rFonts w:ascii="Arial"/>
          <w:sz w:val="21"/>
        </w:rPr>
      </w:pPr>
    </w:p>
    <w:p w14:paraId="7A42EFCA">
      <w:pPr>
        <w:spacing w:before="91" w:line="219" w:lineRule="auto"/>
        <w:ind w:left="250"/>
        <w:rPr>
          <w:rFonts w:ascii="黑体" w:hAnsi="黑体" w:eastAsia="黑体" w:cs="黑体"/>
          <w:sz w:val="28"/>
          <w:szCs w:val="28"/>
        </w:rPr>
      </w:pPr>
      <w:r>
        <w:rPr>
          <w:rFonts w:ascii="黑体" w:hAnsi="黑体" w:eastAsia="黑体" w:cs="黑体"/>
          <w:spacing w:val="-2"/>
          <w:sz w:val="28"/>
          <w:szCs w:val="28"/>
        </w:rPr>
        <w:t>第四十七条</w:t>
      </w:r>
      <w:r>
        <w:rPr>
          <w:rFonts w:ascii="黑体" w:hAnsi="黑体" w:eastAsia="黑体" w:cs="黑体"/>
          <w:spacing w:val="28"/>
          <w:sz w:val="28"/>
          <w:szCs w:val="28"/>
        </w:rPr>
        <w:t xml:space="preserve">   </w:t>
      </w:r>
      <w:r>
        <w:rPr>
          <w:rFonts w:ascii="黑体" w:hAnsi="黑体" w:eastAsia="黑体" w:cs="黑体"/>
          <w:spacing w:val="-2"/>
          <w:sz w:val="28"/>
          <w:szCs w:val="28"/>
        </w:rPr>
        <w:t>提高总规的法律地位</w:t>
      </w:r>
    </w:p>
    <w:p w14:paraId="577B11FA">
      <w:pPr>
        <w:spacing w:line="307" w:lineRule="auto"/>
        <w:rPr>
          <w:rFonts w:ascii="Arial"/>
          <w:sz w:val="21"/>
        </w:rPr>
      </w:pPr>
    </w:p>
    <w:p w14:paraId="0BB12815">
      <w:pPr>
        <w:pStyle w:val="2"/>
        <w:spacing w:before="78" w:line="378" w:lineRule="auto"/>
        <w:ind w:left="39" w:right="684" w:firstLine="461"/>
      </w:pPr>
      <w:r>
        <w:rPr>
          <w:spacing w:val="1"/>
        </w:rPr>
        <w:t>盐边钒钛产业开发区总体规划是指导盐边钒钛产业开发区发展建设的战略性、纲领性</w:t>
      </w:r>
      <w:r>
        <w:t>文件，规划一经批准，即</w:t>
      </w:r>
      <w:r>
        <w:rPr>
          <w:rFonts w:hint="eastAsia"/>
          <w:lang w:eastAsia="zh-CN"/>
        </w:rPr>
        <w:t>具有</w:t>
      </w:r>
      <w:r>
        <w:t>法定效力，产业开发区的所有</w:t>
      </w:r>
      <w:r>
        <w:rPr>
          <w:spacing w:val="-1"/>
        </w:rPr>
        <w:t>建设活动必须符合本规划。</w:t>
      </w:r>
    </w:p>
    <w:p w14:paraId="381BA132">
      <w:pPr>
        <w:spacing w:before="187" w:line="219" w:lineRule="auto"/>
        <w:ind w:left="250"/>
        <w:rPr>
          <w:rFonts w:ascii="黑体" w:hAnsi="黑体" w:eastAsia="黑体" w:cs="黑体"/>
          <w:sz w:val="28"/>
          <w:szCs w:val="28"/>
        </w:rPr>
      </w:pPr>
      <w:r>
        <w:rPr>
          <w:rFonts w:ascii="黑体" w:hAnsi="黑体" w:eastAsia="黑体" w:cs="黑体"/>
          <w:spacing w:val="-2"/>
          <w:sz w:val="28"/>
          <w:szCs w:val="28"/>
        </w:rPr>
        <w:t>第四十八条</w:t>
      </w:r>
      <w:r>
        <w:rPr>
          <w:rFonts w:ascii="黑体" w:hAnsi="黑体" w:eastAsia="黑体" w:cs="黑体"/>
          <w:spacing w:val="27"/>
          <w:sz w:val="28"/>
          <w:szCs w:val="28"/>
        </w:rPr>
        <w:t xml:space="preserve">   </w:t>
      </w:r>
      <w:r>
        <w:rPr>
          <w:rFonts w:ascii="黑体" w:hAnsi="黑体" w:eastAsia="黑体" w:cs="黑体"/>
          <w:spacing w:val="-2"/>
          <w:sz w:val="28"/>
          <w:szCs w:val="28"/>
        </w:rPr>
        <w:t>加强规划管理</w:t>
      </w:r>
    </w:p>
    <w:p w14:paraId="484E9295">
      <w:pPr>
        <w:spacing w:line="309" w:lineRule="auto"/>
        <w:rPr>
          <w:rFonts w:ascii="Arial"/>
          <w:sz w:val="21"/>
        </w:rPr>
      </w:pPr>
    </w:p>
    <w:p w14:paraId="6AD6DD88">
      <w:pPr>
        <w:pStyle w:val="2"/>
        <w:spacing w:before="78" w:line="377" w:lineRule="auto"/>
        <w:ind w:left="37" w:right="683" w:firstLine="461"/>
        <w:jc w:val="both"/>
      </w:pPr>
      <w:r>
        <w:rPr>
          <w:spacing w:val="-8"/>
        </w:rPr>
        <w:t>根据《中华人民共和国城乡规划法》和《中华人民共和国土地管理法》</w:t>
      </w:r>
      <w:r>
        <w:rPr>
          <w:rFonts w:hint="eastAsia"/>
          <w:spacing w:val="-8"/>
          <w:lang w:eastAsia="zh-CN"/>
        </w:rPr>
        <w:t>及其他有关</w:t>
      </w:r>
      <w:r>
        <w:rPr>
          <w:spacing w:val="-8"/>
        </w:rPr>
        <w:t>法规规定，</w:t>
      </w:r>
      <w:r>
        <w:rPr>
          <w:spacing w:val="-5"/>
        </w:rPr>
        <w:t>对规划区内使用土地进行建设的一切活动实行集中、统一的管理。严格查处违反规划的建设</w:t>
      </w:r>
      <w:r>
        <w:rPr>
          <w:spacing w:val="-6"/>
        </w:rPr>
        <w:t>活动，</w:t>
      </w:r>
      <w:r>
        <w:rPr>
          <w:spacing w:val="-2"/>
        </w:rPr>
        <w:t>使各项建设活动按照批准的总体规划协调、健康、有序地进行。</w:t>
      </w:r>
    </w:p>
    <w:p w14:paraId="4565D95F">
      <w:pPr>
        <w:spacing w:before="187" w:line="219" w:lineRule="auto"/>
        <w:ind w:left="250"/>
        <w:rPr>
          <w:rFonts w:ascii="黑体" w:hAnsi="黑体" w:eastAsia="黑体" w:cs="黑体"/>
          <w:sz w:val="28"/>
          <w:szCs w:val="28"/>
        </w:rPr>
      </w:pPr>
      <w:r>
        <w:rPr>
          <w:rFonts w:ascii="黑体" w:hAnsi="黑体" w:eastAsia="黑体" w:cs="黑体"/>
          <w:spacing w:val="-2"/>
          <w:sz w:val="28"/>
          <w:szCs w:val="28"/>
        </w:rPr>
        <w:t>第四十九条</w:t>
      </w:r>
      <w:r>
        <w:rPr>
          <w:rFonts w:ascii="黑体" w:hAnsi="黑体" w:eastAsia="黑体" w:cs="黑体"/>
          <w:spacing w:val="26"/>
          <w:sz w:val="28"/>
          <w:szCs w:val="28"/>
        </w:rPr>
        <w:t xml:space="preserve">   </w:t>
      </w:r>
      <w:r>
        <w:rPr>
          <w:rFonts w:ascii="黑体" w:hAnsi="黑体" w:eastAsia="黑体" w:cs="黑体"/>
          <w:spacing w:val="-2"/>
          <w:sz w:val="28"/>
          <w:szCs w:val="28"/>
        </w:rPr>
        <w:t>规划修改</w:t>
      </w:r>
    </w:p>
    <w:p w14:paraId="3DB3B451">
      <w:pPr>
        <w:spacing w:line="308" w:lineRule="auto"/>
        <w:rPr>
          <w:rFonts w:ascii="Arial"/>
          <w:sz w:val="21"/>
        </w:rPr>
      </w:pPr>
    </w:p>
    <w:p w14:paraId="59AF4F88">
      <w:pPr>
        <w:pStyle w:val="2"/>
        <w:spacing w:before="79" w:line="220" w:lineRule="auto"/>
        <w:ind w:left="500"/>
      </w:pPr>
      <w:r>
        <w:rPr>
          <w:spacing w:val="-3"/>
        </w:rPr>
        <w:t>经批准的</w:t>
      </w:r>
      <w:r>
        <w:rPr>
          <w:rFonts w:hint="eastAsia"/>
          <w:spacing w:val="-3"/>
          <w:lang w:eastAsia="zh-CN"/>
        </w:rPr>
        <w:t>城市总体规划</w:t>
      </w:r>
      <w:r>
        <w:rPr>
          <w:spacing w:val="-3"/>
        </w:rPr>
        <w:t>，在以下条件下可以对规划进行修改：</w:t>
      </w:r>
    </w:p>
    <w:p w14:paraId="189A3B0E">
      <w:pPr>
        <w:pStyle w:val="2"/>
        <w:spacing w:before="203" w:line="219" w:lineRule="auto"/>
        <w:ind w:left="516"/>
      </w:pPr>
      <w:r>
        <w:rPr>
          <w:spacing w:val="-3"/>
        </w:rPr>
        <w:t>1.上级人民政府制定的城乡规划发生变更，提出修改规划要求的；</w:t>
      </w:r>
    </w:p>
    <w:p w14:paraId="6B4190DD">
      <w:pPr>
        <w:pStyle w:val="2"/>
        <w:spacing w:before="205" w:line="220" w:lineRule="auto"/>
        <w:ind w:left="501"/>
      </w:pPr>
      <w:r>
        <w:rPr>
          <w:spacing w:val="-4"/>
        </w:rPr>
        <w:t>2.行政区划调整确需修改规划的；</w:t>
      </w:r>
    </w:p>
    <w:p w14:paraId="1CDEEC18">
      <w:pPr>
        <w:pStyle w:val="2"/>
        <w:spacing w:before="201" w:line="220" w:lineRule="auto"/>
        <w:ind w:left="503"/>
      </w:pPr>
      <w:r>
        <w:rPr>
          <w:spacing w:val="-3"/>
        </w:rPr>
        <w:t>3.因国务院批准重大建设工程确需修改规划的；</w:t>
      </w:r>
    </w:p>
    <w:p w14:paraId="3283D75B">
      <w:pPr>
        <w:pStyle w:val="2"/>
        <w:spacing w:before="205" w:line="218" w:lineRule="auto"/>
        <w:ind w:left="498"/>
      </w:pPr>
      <w:r>
        <w:rPr>
          <w:spacing w:val="-5"/>
        </w:rPr>
        <w:t>4.经评估确需修改规划的；</w:t>
      </w:r>
    </w:p>
    <w:p w14:paraId="7D6B804D">
      <w:pPr>
        <w:pStyle w:val="2"/>
        <w:spacing w:before="205" w:line="219" w:lineRule="auto"/>
        <w:ind w:left="503"/>
      </w:pPr>
      <w:r>
        <w:rPr>
          <w:spacing w:val="-1"/>
        </w:rPr>
        <w:t>5.城乡规划的审批机关认为应当修改规划的其他情形；</w:t>
      </w:r>
    </w:p>
    <w:p w14:paraId="7B540921">
      <w:pPr>
        <w:pStyle w:val="2"/>
        <w:spacing w:before="205" w:line="219" w:lineRule="auto"/>
        <w:ind w:left="500"/>
      </w:pPr>
      <w:r>
        <w:rPr>
          <w:spacing w:val="-2"/>
        </w:rPr>
        <w:t>6.具体操作流程按照《中华人民共和国城乡规划法》第四章执行。</w:t>
      </w:r>
    </w:p>
    <w:p w14:paraId="7FBD8DC3">
      <w:pPr>
        <w:spacing w:line="301" w:lineRule="auto"/>
        <w:rPr>
          <w:rFonts w:ascii="Arial"/>
          <w:sz w:val="21"/>
        </w:rPr>
      </w:pPr>
    </w:p>
    <w:p w14:paraId="7C219E77">
      <w:pPr>
        <w:spacing w:before="92" w:line="219" w:lineRule="auto"/>
        <w:ind w:left="390"/>
        <w:rPr>
          <w:rFonts w:ascii="黑体" w:hAnsi="黑体" w:eastAsia="黑体" w:cs="黑体"/>
          <w:sz w:val="28"/>
          <w:szCs w:val="28"/>
        </w:rPr>
      </w:pPr>
      <w:r>
        <w:rPr>
          <w:rFonts w:ascii="黑体" w:hAnsi="黑体" w:eastAsia="黑体" w:cs="黑体"/>
          <w:spacing w:val="-2"/>
          <w:sz w:val="28"/>
          <w:szCs w:val="28"/>
        </w:rPr>
        <w:t>第五十条</w:t>
      </w:r>
      <w:r>
        <w:rPr>
          <w:rFonts w:ascii="黑体" w:hAnsi="黑体" w:eastAsia="黑体" w:cs="黑体"/>
          <w:spacing w:val="78"/>
          <w:sz w:val="28"/>
          <w:szCs w:val="28"/>
        </w:rPr>
        <w:t xml:space="preserve"> </w:t>
      </w:r>
      <w:r>
        <w:rPr>
          <w:rFonts w:ascii="黑体" w:hAnsi="黑体" w:eastAsia="黑体" w:cs="黑体"/>
          <w:spacing w:val="-2"/>
          <w:sz w:val="28"/>
          <w:szCs w:val="28"/>
        </w:rPr>
        <w:t>规划公示</w:t>
      </w:r>
    </w:p>
    <w:p w14:paraId="3779645C">
      <w:pPr>
        <w:spacing w:line="308" w:lineRule="auto"/>
        <w:rPr>
          <w:rFonts w:ascii="Arial"/>
          <w:sz w:val="21"/>
        </w:rPr>
      </w:pPr>
    </w:p>
    <w:p w14:paraId="5A4BF06F">
      <w:pPr>
        <w:pStyle w:val="2"/>
        <w:spacing w:before="78" w:line="219" w:lineRule="auto"/>
        <w:ind w:left="501"/>
      </w:pPr>
      <w:r>
        <w:rPr>
          <w:spacing w:val="-7"/>
        </w:rPr>
        <w:t>总体规划经批准后，规划管理部门应当公布，相关部门及单位要依法行政</w:t>
      </w:r>
      <w:r>
        <w:rPr>
          <w:spacing w:val="-8"/>
        </w:rPr>
        <w:t>，并积极宣传规划。</w:t>
      </w:r>
    </w:p>
    <w:p w14:paraId="246C84E8">
      <w:pPr>
        <w:spacing w:line="303" w:lineRule="auto"/>
        <w:rPr>
          <w:rFonts w:ascii="Arial"/>
          <w:sz w:val="21"/>
        </w:rPr>
      </w:pPr>
    </w:p>
    <w:p w14:paraId="53CDC9FC">
      <w:pPr>
        <w:spacing w:before="92" w:line="219" w:lineRule="auto"/>
        <w:ind w:left="250"/>
        <w:rPr>
          <w:rFonts w:ascii="黑体" w:hAnsi="黑体" w:eastAsia="黑体" w:cs="黑体"/>
          <w:sz w:val="28"/>
          <w:szCs w:val="28"/>
        </w:rPr>
      </w:pPr>
      <w:r>
        <w:rPr>
          <w:rFonts w:ascii="黑体" w:hAnsi="黑体" w:eastAsia="黑体" w:cs="黑体"/>
          <w:spacing w:val="-2"/>
          <w:sz w:val="28"/>
          <w:szCs w:val="28"/>
        </w:rPr>
        <w:t>第五十一条</w:t>
      </w:r>
      <w:r>
        <w:rPr>
          <w:rFonts w:ascii="黑体" w:hAnsi="黑体" w:eastAsia="黑体" w:cs="黑体"/>
          <w:spacing w:val="27"/>
          <w:sz w:val="28"/>
          <w:szCs w:val="28"/>
        </w:rPr>
        <w:t xml:space="preserve">   </w:t>
      </w:r>
      <w:r>
        <w:rPr>
          <w:rFonts w:ascii="黑体" w:hAnsi="黑体" w:eastAsia="黑体" w:cs="黑体"/>
          <w:spacing w:val="-2"/>
          <w:sz w:val="28"/>
          <w:szCs w:val="28"/>
        </w:rPr>
        <w:t>健全实施机制</w:t>
      </w:r>
    </w:p>
    <w:p w14:paraId="030F495C">
      <w:pPr>
        <w:spacing w:line="308" w:lineRule="auto"/>
        <w:rPr>
          <w:rFonts w:ascii="Arial"/>
          <w:sz w:val="21"/>
        </w:rPr>
      </w:pPr>
    </w:p>
    <w:p w14:paraId="0AD16675">
      <w:pPr>
        <w:pStyle w:val="2"/>
        <w:spacing w:before="78" w:line="281" w:lineRule="auto"/>
        <w:ind w:left="42" w:right="749" w:firstLine="473"/>
      </w:pPr>
      <w:r>
        <w:rPr>
          <w:spacing w:val="-1"/>
        </w:rPr>
        <w:t>1.科学</w:t>
      </w:r>
      <w:r>
        <w:rPr>
          <w:rFonts w:hint="eastAsia"/>
          <w:spacing w:val="-1"/>
          <w:lang w:eastAsia="zh-CN"/>
        </w:rPr>
        <w:t>地</w:t>
      </w:r>
      <w:r>
        <w:rPr>
          <w:spacing w:val="-1"/>
        </w:rPr>
        <w:t>实施总体规划。一是应加强后续规划的编制；二是要坚持综合开发、配套建设</w:t>
      </w:r>
      <w:r>
        <w:rPr>
          <w:spacing w:val="-2"/>
        </w:rPr>
        <w:t>的原</w:t>
      </w:r>
      <w:r>
        <w:rPr>
          <w:spacing w:val="-1"/>
        </w:rPr>
        <w:t>则；三是要坚持新区开发的同时，加强与现状已建区域的规划协调管理；四</w:t>
      </w:r>
      <w:r>
        <w:rPr>
          <w:spacing w:val="-2"/>
        </w:rPr>
        <w:t>是政府应积极探索行</w:t>
      </w:r>
    </w:p>
    <w:p w14:paraId="4A112AC6">
      <w:pPr>
        <w:spacing w:line="14" w:lineRule="auto"/>
        <w:rPr>
          <w:rFonts w:ascii="Arial"/>
          <w:sz w:val="2"/>
        </w:rPr>
      </w:pPr>
      <w:r>
        <w:rPr>
          <w:rFonts w:ascii="Arial" w:hAnsi="Arial" w:eastAsia="Arial" w:cs="Arial"/>
          <w:sz w:val="2"/>
          <w:szCs w:val="2"/>
        </w:rPr>
        <w:br w:type="column"/>
      </w:r>
    </w:p>
    <w:p w14:paraId="4A75A9CC">
      <w:pPr>
        <w:pStyle w:val="2"/>
        <w:spacing w:before="62" w:line="219" w:lineRule="auto"/>
      </w:pPr>
      <w:r>
        <w:rPr>
          <w:spacing w:val="-1"/>
        </w:rPr>
        <w:t>政、政策、经济、税收、土地、户籍等杠杆的</w:t>
      </w:r>
      <w:r>
        <w:rPr>
          <w:spacing w:val="-2"/>
        </w:rPr>
        <w:t>运用，保证规划的实施。</w:t>
      </w:r>
    </w:p>
    <w:p w14:paraId="7A2C3C43">
      <w:pPr>
        <w:pStyle w:val="2"/>
        <w:spacing w:before="204" w:line="376" w:lineRule="auto"/>
        <w:ind w:right="27" w:firstLine="465"/>
      </w:pPr>
      <w:r>
        <w:rPr>
          <w:spacing w:val="-1"/>
        </w:rPr>
        <w:t>2.加强规划宣传，增强园区总体规划公开透明的力度和公信力，提高市民遵守和执行总体规</w:t>
      </w:r>
      <w:r>
        <w:rPr>
          <w:spacing w:val="-4"/>
        </w:rPr>
        <w:t>划及有关法规的自觉性。</w:t>
      </w:r>
    </w:p>
    <w:p w14:paraId="3ED0E6A2">
      <w:pPr>
        <w:pStyle w:val="2"/>
        <w:spacing w:before="1" w:line="376" w:lineRule="auto"/>
        <w:ind w:right="43" w:firstLine="466"/>
      </w:pPr>
      <w:r>
        <w:rPr>
          <w:spacing w:val="-1"/>
        </w:rPr>
        <w:t>3.建立总体规划实施评价监控机制。进行规划效能评价，对规划进行校核，确保</w:t>
      </w:r>
      <w:r>
        <w:rPr>
          <w:spacing w:val="-2"/>
        </w:rPr>
        <w:t>规划实施动</w:t>
      </w:r>
      <w:r>
        <w:rPr>
          <w:spacing w:val="-9"/>
        </w:rPr>
        <w:t>态调控。</w:t>
      </w:r>
    </w:p>
    <w:p w14:paraId="0A5A63AF">
      <w:pPr>
        <w:pStyle w:val="2"/>
        <w:spacing w:line="378" w:lineRule="auto"/>
        <w:ind w:right="26" w:firstLine="461"/>
      </w:pPr>
      <w:r>
        <w:rPr>
          <w:spacing w:val="-1"/>
        </w:rPr>
        <w:t>4.加强城市规划、发展改革、土地管理、建设管理等部门的规划管理联动机制和城市发展调</w:t>
      </w:r>
      <w:r>
        <w:rPr>
          <w:spacing w:val="-4"/>
        </w:rPr>
        <w:t>控体系，促进规划实施。</w:t>
      </w:r>
    </w:p>
    <w:p w14:paraId="14C8296C">
      <w:pPr>
        <w:spacing w:line="378" w:lineRule="auto"/>
        <w:sectPr>
          <w:type w:val="continuous"/>
          <w:pgSz w:w="23811" w:h="16839"/>
          <w:pgMar w:top="1274" w:right="1409" w:bottom="1613" w:left="1411" w:header="838" w:footer="1386" w:gutter="0"/>
          <w:cols w:equalWidth="0" w:num="2">
            <w:col w:w="10825" w:space="100"/>
            <w:col w:w="10066"/>
          </w:cols>
        </w:sectPr>
      </w:pPr>
    </w:p>
    <w:p w14:paraId="4263540D">
      <w:pPr>
        <w:spacing w:line="283" w:lineRule="auto"/>
        <w:rPr>
          <w:rFonts w:ascii="Arial"/>
          <w:sz w:val="21"/>
        </w:rPr>
      </w:pPr>
    </w:p>
    <w:p w14:paraId="1E84B8DB">
      <w:pPr>
        <w:spacing w:line="283" w:lineRule="auto"/>
        <w:rPr>
          <w:rFonts w:ascii="Arial"/>
          <w:sz w:val="21"/>
        </w:rPr>
      </w:pPr>
    </w:p>
    <w:p w14:paraId="449193AA">
      <w:pPr>
        <w:spacing w:line="283" w:lineRule="auto"/>
        <w:rPr>
          <w:rFonts w:ascii="Arial"/>
          <w:sz w:val="21"/>
        </w:rPr>
      </w:pPr>
    </w:p>
    <w:p w14:paraId="6CF6746F">
      <w:pPr>
        <w:spacing w:before="100" w:line="224" w:lineRule="auto"/>
        <w:ind w:left="3903"/>
        <w:outlineLvl w:val="0"/>
        <w:rPr>
          <w:rFonts w:ascii="黑体" w:hAnsi="黑体" w:eastAsia="黑体" w:cs="黑体"/>
          <w:sz w:val="31"/>
          <w:szCs w:val="31"/>
        </w:rPr>
      </w:pPr>
      <w:bookmarkStart w:id="15" w:name="bookmark16"/>
      <w:bookmarkEnd w:id="15"/>
      <w:r>
        <w:rPr>
          <w:rFonts w:ascii="黑体" w:hAnsi="黑体" w:eastAsia="黑体" w:cs="黑体"/>
          <w:spacing w:val="3"/>
          <w:sz w:val="31"/>
          <w:szCs w:val="31"/>
        </w:rPr>
        <w:t>第十六章</w:t>
      </w:r>
      <w:r>
        <w:rPr>
          <w:rFonts w:ascii="黑体" w:hAnsi="黑体" w:eastAsia="黑体" w:cs="黑体"/>
          <w:spacing w:val="61"/>
          <w:sz w:val="31"/>
          <w:szCs w:val="31"/>
        </w:rPr>
        <w:t xml:space="preserve">  </w:t>
      </w:r>
      <w:r>
        <w:rPr>
          <w:rFonts w:ascii="黑体" w:hAnsi="黑体" w:eastAsia="黑体" w:cs="黑体"/>
          <w:spacing w:val="3"/>
          <w:sz w:val="31"/>
          <w:szCs w:val="31"/>
        </w:rPr>
        <w:t>附则</w:t>
      </w:r>
    </w:p>
    <w:p w14:paraId="3C9FC0C1">
      <w:pPr>
        <w:spacing w:line="266" w:lineRule="auto"/>
        <w:rPr>
          <w:rFonts w:ascii="Arial"/>
          <w:sz w:val="21"/>
        </w:rPr>
      </w:pPr>
    </w:p>
    <w:p w14:paraId="3AE80A7B">
      <w:pPr>
        <w:spacing w:line="267" w:lineRule="auto"/>
        <w:rPr>
          <w:rFonts w:ascii="Arial"/>
          <w:sz w:val="21"/>
        </w:rPr>
      </w:pPr>
    </w:p>
    <w:p w14:paraId="1F399CE2">
      <w:pPr>
        <w:spacing w:before="91" w:line="219" w:lineRule="auto"/>
        <w:ind w:left="250"/>
        <w:rPr>
          <w:rFonts w:ascii="黑体" w:hAnsi="黑体" w:eastAsia="黑体" w:cs="黑体"/>
          <w:sz w:val="28"/>
          <w:szCs w:val="28"/>
        </w:rPr>
      </w:pPr>
      <w:r>
        <w:rPr>
          <w:rFonts w:ascii="黑体" w:hAnsi="黑体" w:eastAsia="黑体" w:cs="黑体"/>
          <w:spacing w:val="-2"/>
          <w:sz w:val="28"/>
          <w:szCs w:val="28"/>
        </w:rPr>
        <w:t>第五十二条</w:t>
      </w:r>
      <w:r>
        <w:rPr>
          <w:rFonts w:ascii="黑体" w:hAnsi="黑体" w:eastAsia="黑体" w:cs="黑体"/>
          <w:spacing w:val="26"/>
          <w:sz w:val="28"/>
          <w:szCs w:val="28"/>
        </w:rPr>
        <w:t xml:space="preserve">   </w:t>
      </w:r>
      <w:r>
        <w:rPr>
          <w:rFonts w:ascii="黑体" w:hAnsi="黑体" w:eastAsia="黑体" w:cs="黑体"/>
          <w:spacing w:val="-2"/>
          <w:sz w:val="28"/>
          <w:szCs w:val="28"/>
        </w:rPr>
        <w:t>规划生效</w:t>
      </w:r>
    </w:p>
    <w:p w14:paraId="14BFE2DD">
      <w:pPr>
        <w:spacing w:line="307" w:lineRule="auto"/>
        <w:rPr>
          <w:rFonts w:ascii="Arial"/>
          <w:sz w:val="21"/>
        </w:rPr>
      </w:pPr>
    </w:p>
    <w:p w14:paraId="5F3155B5">
      <w:pPr>
        <w:pStyle w:val="2"/>
        <w:spacing w:before="78" w:line="219" w:lineRule="auto"/>
        <w:ind w:left="519"/>
      </w:pPr>
      <w:r>
        <w:rPr>
          <w:spacing w:val="-3"/>
        </w:rPr>
        <w:t>本规划自盐边县人民政府批准之日起生效。</w:t>
      </w:r>
    </w:p>
    <w:p w14:paraId="6F633E6F">
      <w:pPr>
        <w:spacing w:line="303" w:lineRule="auto"/>
        <w:rPr>
          <w:rFonts w:ascii="Arial"/>
          <w:sz w:val="21"/>
        </w:rPr>
      </w:pPr>
    </w:p>
    <w:p w14:paraId="0BCB3FAD">
      <w:pPr>
        <w:spacing w:before="91" w:line="219" w:lineRule="auto"/>
        <w:ind w:left="250"/>
        <w:rPr>
          <w:rFonts w:ascii="黑体" w:hAnsi="黑体" w:eastAsia="黑体" w:cs="黑体"/>
          <w:sz w:val="28"/>
          <w:szCs w:val="28"/>
        </w:rPr>
      </w:pPr>
      <w:r>
        <w:rPr>
          <w:rFonts w:ascii="黑体" w:hAnsi="黑体" w:eastAsia="黑体" w:cs="黑体"/>
          <w:spacing w:val="-3"/>
          <w:sz w:val="28"/>
          <w:szCs w:val="28"/>
        </w:rPr>
        <w:t>第五十三条</w:t>
      </w:r>
      <w:r>
        <w:rPr>
          <w:rFonts w:ascii="黑体" w:hAnsi="黑体" w:eastAsia="黑体" w:cs="黑体"/>
          <w:spacing w:val="29"/>
          <w:sz w:val="28"/>
          <w:szCs w:val="28"/>
        </w:rPr>
        <w:t xml:space="preserve">   </w:t>
      </w:r>
      <w:r>
        <w:rPr>
          <w:rFonts w:ascii="黑体" w:hAnsi="黑体" w:eastAsia="黑体" w:cs="黑体"/>
          <w:spacing w:val="-3"/>
          <w:sz w:val="28"/>
          <w:szCs w:val="28"/>
        </w:rPr>
        <w:t>实施管理</w:t>
      </w:r>
    </w:p>
    <w:p w14:paraId="32F8127E">
      <w:pPr>
        <w:spacing w:line="308" w:lineRule="auto"/>
        <w:rPr>
          <w:rFonts w:ascii="Arial"/>
          <w:sz w:val="21"/>
        </w:rPr>
      </w:pPr>
    </w:p>
    <w:p w14:paraId="03C8BFFA">
      <w:pPr>
        <w:pStyle w:val="2"/>
        <w:spacing w:before="78" w:line="379" w:lineRule="auto"/>
        <w:ind w:left="57" w:right="10916" w:firstLine="461"/>
      </w:pPr>
      <w:r>
        <w:rPr>
          <w:spacing w:val="-1"/>
        </w:rPr>
        <w:t>本规划由盐边县人民政府负责组织实施，盐边县规划行政主管部门依法按照</w:t>
      </w:r>
      <w:r>
        <w:rPr>
          <w:spacing w:val="-2"/>
        </w:rPr>
        <w:t>本规划实施具体</w:t>
      </w:r>
      <w:r>
        <w:rPr>
          <w:spacing w:val="-9"/>
        </w:rPr>
        <w:t>的规划管理。</w:t>
      </w:r>
    </w:p>
    <w:sectPr>
      <w:footerReference r:id="rId44" w:type="default"/>
      <w:pgSz w:w="23811" w:h="16839"/>
      <w:pgMar w:top="1274" w:right="1409" w:bottom="1613" w:left="1411" w:header="838" w:footer="13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4A007">
    <w:pPr>
      <w:spacing w:line="237" w:lineRule="auto"/>
      <w:ind w:left="8326"/>
      <w:rPr>
        <w:rFonts w:ascii="Calibri" w:hAnsi="Calibri" w:eastAsia="Calibri" w:cs="Calibri"/>
        <w:sz w:val="18"/>
        <w:szCs w:val="18"/>
      </w:rPr>
    </w:pPr>
    <w:r>
      <w:rPr>
        <w:rFonts w:ascii="Calibri" w:hAnsi="Calibri" w:eastAsia="Calibri" w:cs="Calibri"/>
        <w:sz w:val="18"/>
        <w:szCs w:val="18"/>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3760F">
    <w:pPr>
      <w:spacing w:line="236" w:lineRule="auto"/>
      <w:ind w:left="1035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8"/>
        <w:sz w:val="18"/>
        <w:szCs w:val="18"/>
      </w:rPr>
      <w:t xml:space="preserve"> </w:t>
    </w:r>
    <w:r>
      <w:rPr>
        <w:rFonts w:ascii="Calibri" w:hAnsi="Calibri" w:eastAsia="Calibri" w:cs="Calibri"/>
        <w:spacing w:val="-5"/>
        <w:sz w:val="18"/>
        <w:szCs w:val="18"/>
      </w:rPr>
      <w:t>8</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3E679">
    <w:pPr>
      <w:spacing w:line="236" w:lineRule="auto"/>
      <w:ind w:left="1035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8"/>
        <w:sz w:val="18"/>
        <w:szCs w:val="18"/>
      </w:rPr>
      <w:t xml:space="preserve"> </w:t>
    </w:r>
    <w:r>
      <w:rPr>
        <w:rFonts w:ascii="Calibri" w:hAnsi="Calibri" w:eastAsia="Calibri" w:cs="Calibri"/>
        <w:spacing w:val="-5"/>
        <w:sz w:val="18"/>
        <w:szCs w:val="18"/>
      </w:rPr>
      <w:t>9</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6EC0">
    <w:pPr>
      <w:spacing w:line="236"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10</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FE68E">
    <w:pPr>
      <w:spacing w:line="238"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11</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3C84C">
    <w:pPr>
      <w:spacing w:line="238"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12</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5F6E">
    <w:pPr>
      <w:spacing w:line="236"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A7E3">
    <w:pPr>
      <w:spacing w:line="237"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14</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6F0E">
    <w:pPr>
      <w:spacing w:line="236"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15</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519B9">
    <w:pPr>
      <w:spacing w:line="236"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16</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304B">
    <w:pPr>
      <w:spacing w:line="237"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17</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74CF9">
    <w:pPr>
      <w:spacing w:line="237" w:lineRule="auto"/>
      <w:ind w:left="10420"/>
      <w:rPr>
        <w:rFonts w:ascii="Calibri" w:hAnsi="Calibri" w:eastAsia="Calibri" w:cs="Calibri"/>
        <w:sz w:val="18"/>
        <w:szCs w:val="18"/>
      </w:rPr>
    </w:pPr>
    <w:r>
      <w:rPr>
        <w:rFonts w:ascii="Calibri" w:hAnsi="Calibri" w:eastAsia="Calibri" w:cs="Calibri"/>
        <w:spacing w:val="-4"/>
        <w:sz w:val="18"/>
        <w:szCs w:val="18"/>
      </w:rPr>
      <w:t>II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D197C">
    <w:pPr>
      <w:spacing w:line="236" w:lineRule="auto"/>
      <w:ind w:left="10396"/>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18</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24475">
    <w:pPr>
      <w:spacing w:line="236" w:lineRule="auto"/>
      <w:ind w:left="1031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7"/>
        <w:sz w:val="18"/>
        <w:szCs w:val="18"/>
      </w:rPr>
      <w:t xml:space="preserve"> </w:t>
    </w:r>
    <w:r>
      <w:rPr>
        <w:rFonts w:ascii="Calibri" w:hAnsi="Calibri" w:eastAsia="Calibri" w:cs="Calibri"/>
        <w:spacing w:val="-6"/>
        <w:sz w:val="18"/>
        <w:szCs w:val="18"/>
      </w:rPr>
      <w:t>19</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74418">
    <w:pPr>
      <w:spacing w:line="236" w:lineRule="auto"/>
      <w:ind w:left="10312"/>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3"/>
        <w:sz w:val="18"/>
        <w:szCs w:val="18"/>
      </w:rPr>
      <w:t xml:space="preserve"> </w:t>
    </w:r>
    <w:r>
      <w:rPr>
        <w:rFonts w:ascii="Calibri" w:hAnsi="Calibri" w:eastAsia="Calibri" w:cs="Calibri"/>
        <w:spacing w:val="-5"/>
        <w:sz w:val="18"/>
        <w:szCs w:val="18"/>
      </w:rPr>
      <w:t>20</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FC493">
    <w:pPr>
      <w:spacing w:line="238" w:lineRule="auto"/>
      <w:ind w:left="10358"/>
      <w:rPr>
        <w:rFonts w:ascii="Calibri" w:hAnsi="Calibri" w:eastAsia="Calibri" w:cs="Calibri"/>
        <w:sz w:val="18"/>
        <w:szCs w:val="18"/>
      </w:rPr>
    </w:pPr>
    <w:r>
      <w:rPr>
        <w:rFonts w:ascii="Calibri" w:hAnsi="Calibri" w:eastAsia="Calibri" w:cs="Calibri"/>
        <w:spacing w:val="-8"/>
        <w:sz w:val="18"/>
        <w:szCs w:val="18"/>
      </w:rPr>
      <w:t>-</w:t>
    </w:r>
    <w:r>
      <w:rPr>
        <w:rFonts w:ascii="Calibri" w:hAnsi="Calibri" w:eastAsia="Calibri" w:cs="Calibri"/>
        <w:spacing w:val="17"/>
        <w:sz w:val="18"/>
        <w:szCs w:val="18"/>
      </w:rPr>
      <w:t xml:space="preserve"> </w:t>
    </w:r>
    <w:r>
      <w:rPr>
        <w:rFonts w:ascii="Calibri" w:hAnsi="Calibri" w:eastAsia="Calibri" w:cs="Calibri"/>
        <w:spacing w:val="-8"/>
        <w:sz w:val="18"/>
        <w:szCs w:val="18"/>
      </w:rPr>
      <w:t>1</w:t>
    </w:r>
    <w:r>
      <w:rPr>
        <w:rFonts w:ascii="Calibri" w:hAnsi="Calibri" w:eastAsia="Calibri" w:cs="Calibri"/>
        <w:spacing w:val="6"/>
        <w:sz w:val="18"/>
        <w:szCs w:val="18"/>
      </w:rPr>
      <w:t xml:space="preserve"> </w:t>
    </w:r>
    <w:r>
      <w:rPr>
        <w:rFonts w:ascii="Calibri" w:hAnsi="Calibri" w:eastAsia="Calibri" w:cs="Calibri"/>
        <w:spacing w:val="-8"/>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14E0">
    <w:pPr>
      <w:spacing w:line="238" w:lineRule="auto"/>
      <w:ind w:left="10358"/>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1"/>
        <w:sz w:val="18"/>
        <w:szCs w:val="18"/>
      </w:rPr>
      <w:t xml:space="preserve"> </w:t>
    </w:r>
    <w:r>
      <w:rPr>
        <w:rFonts w:ascii="Calibri" w:hAnsi="Calibri" w:eastAsia="Calibri" w:cs="Calibri"/>
        <w:spacing w:val="-6"/>
        <w:sz w:val="18"/>
        <w:szCs w:val="18"/>
      </w:rPr>
      <w:t>2</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8DC55">
    <w:pPr>
      <w:spacing w:line="236" w:lineRule="auto"/>
      <w:ind w:left="10358"/>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1"/>
        <w:sz w:val="18"/>
        <w:szCs w:val="18"/>
      </w:rPr>
      <w:t xml:space="preserve"> </w:t>
    </w:r>
    <w:r>
      <w:rPr>
        <w:rFonts w:ascii="Calibri" w:hAnsi="Calibri" w:eastAsia="Calibri" w:cs="Calibri"/>
        <w:spacing w:val="-6"/>
        <w:sz w:val="18"/>
        <w:szCs w:val="18"/>
      </w:rPr>
      <w:t>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4D31">
    <w:pPr>
      <w:spacing w:line="237" w:lineRule="auto"/>
      <w:ind w:left="10358"/>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5"/>
        <w:sz w:val="18"/>
        <w:szCs w:val="18"/>
      </w:rPr>
      <w:t xml:space="preserve"> </w:t>
    </w:r>
    <w:r>
      <w:rPr>
        <w:rFonts w:ascii="Calibri" w:hAnsi="Calibri" w:eastAsia="Calibri" w:cs="Calibri"/>
        <w:spacing w:val="-4"/>
        <w:sz w:val="18"/>
        <w:szCs w:val="18"/>
      </w:rPr>
      <w:t>4</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0CAA4">
    <w:pPr>
      <w:spacing w:line="236" w:lineRule="auto"/>
      <w:ind w:left="1035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9"/>
        <w:sz w:val="18"/>
        <w:szCs w:val="18"/>
      </w:rPr>
      <w:t xml:space="preserve"> </w:t>
    </w:r>
    <w:r>
      <w:rPr>
        <w:rFonts w:ascii="Calibri" w:hAnsi="Calibri" w:eastAsia="Calibri" w:cs="Calibri"/>
        <w:spacing w:val="-5"/>
        <w:sz w:val="18"/>
        <w:szCs w:val="18"/>
      </w:rPr>
      <w:t>5</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E544">
    <w:pPr>
      <w:spacing w:line="236" w:lineRule="auto"/>
      <w:ind w:left="10358"/>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1"/>
        <w:sz w:val="18"/>
        <w:szCs w:val="18"/>
      </w:rPr>
      <w:t xml:space="preserve"> </w:t>
    </w:r>
    <w:r>
      <w:rPr>
        <w:rFonts w:ascii="Calibri" w:hAnsi="Calibri" w:eastAsia="Calibri" w:cs="Calibri"/>
        <w:spacing w:val="-6"/>
        <w:sz w:val="18"/>
        <w:szCs w:val="18"/>
      </w:rPr>
      <w:t>6</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EFC">
    <w:pPr>
      <w:spacing w:line="237" w:lineRule="auto"/>
      <w:ind w:left="1035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8"/>
        <w:sz w:val="18"/>
        <w:szCs w:val="18"/>
      </w:rPr>
      <w:t xml:space="preserve"> </w:t>
    </w:r>
    <w:r>
      <w:rPr>
        <w:rFonts w:ascii="Calibri" w:hAnsi="Calibri" w:eastAsia="Calibri" w:cs="Calibri"/>
        <w:spacing w:val="-5"/>
        <w:sz w:val="18"/>
        <w:szCs w:val="18"/>
      </w:rPr>
      <w:t>7</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CE75">
    <w:pPr>
      <w:pStyle w:val="2"/>
      <w:spacing w:before="38" w:line="239" w:lineRule="auto"/>
      <w:ind w:right="22"/>
      <w:jc w:val="right"/>
      <w:rPr>
        <w:sz w:val="18"/>
        <w:szCs w:val="18"/>
      </w:rPr>
    </w:pPr>
    <w:r>
      <w:pict>
        <v:shape id="_x0000_s2049" o:spid="_x0000_s2049" style="position:absolute;left:0pt;margin-left:70.55pt;margin-top:61.05pt;height:0.75pt;width:1049.5pt;mso-position-horizontal-relative:page;mso-position-vertical-relative:page;z-index:25165926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215A4">
    <w:pPr>
      <w:pStyle w:val="2"/>
      <w:spacing w:before="38" w:line="239" w:lineRule="auto"/>
      <w:ind w:left="16944"/>
      <w:rPr>
        <w:sz w:val="18"/>
        <w:szCs w:val="18"/>
      </w:rPr>
    </w:pPr>
    <w:r>
      <w:pict>
        <v:shape id="_x0000_s2056" o:spid="_x0000_s2056" style="position:absolute;left:0pt;margin-left:70.55pt;margin-top:61.05pt;height:0.75pt;width:1049.5pt;mso-position-horizontal-relative:page;mso-position-vertical-relative:page;z-index:251666432;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4E0ED">
    <w:pPr>
      <w:pStyle w:val="2"/>
      <w:spacing w:before="38" w:line="239" w:lineRule="auto"/>
      <w:ind w:left="16944"/>
      <w:rPr>
        <w:sz w:val="18"/>
        <w:szCs w:val="18"/>
      </w:rPr>
    </w:pPr>
    <w:r>
      <w:pict>
        <v:shape id="_x0000_s2057" o:spid="_x0000_s2057" style="position:absolute;left:0pt;margin-left:70.55pt;margin-top:61.05pt;height:0.75pt;width:1049.5pt;mso-position-horizontal-relative:page;mso-position-vertical-relative:page;z-index:251667456;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D436C">
    <w:pPr>
      <w:pStyle w:val="2"/>
      <w:spacing w:before="38" w:line="239" w:lineRule="auto"/>
      <w:ind w:left="16944"/>
      <w:rPr>
        <w:sz w:val="18"/>
        <w:szCs w:val="18"/>
      </w:rPr>
    </w:pPr>
    <w:r>
      <w:pict>
        <v:shape id="_x0000_s2058" o:spid="_x0000_s2058" style="position:absolute;left:0pt;margin-left:70.55pt;margin-top:61.05pt;height:0.75pt;width:1049.5pt;mso-position-horizontal-relative:page;mso-position-vertical-relative:page;z-index:251668480;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A7726">
    <w:pPr>
      <w:pStyle w:val="2"/>
      <w:spacing w:before="38" w:line="239" w:lineRule="auto"/>
      <w:ind w:left="16944"/>
      <w:rPr>
        <w:sz w:val="18"/>
        <w:szCs w:val="18"/>
      </w:rPr>
    </w:pPr>
    <w:r>
      <w:pict>
        <v:shape id="_x0000_s2059" o:spid="_x0000_s2059" style="position:absolute;left:0pt;margin-left:70.55pt;margin-top:61.05pt;height:0.75pt;width:1049.5pt;mso-position-horizontal-relative:page;mso-position-vertical-relative:page;z-index:25166950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E6F04">
    <w:pPr>
      <w:pStyle w:val="2"/>
      <w:spacing w:before="38" w:line="239" w:lineRule="auto"/>
      <w:ind w:left="16944"/>
      <w:rPr>
        <w:sz w:val="18"/>
        <w:szCs w:val="18"/>
      </w:rPr>
    </w:pPr>
    <w:r>
      <w:pict>
        <v:shape id="_x0000_s2060" o:spid="_x0000_s2060" style="position:absolute;left:0pt;margin-left:70.55pt;margin-top:61.05pt;height:0.75pt;width:1049.5pt;mso-position-horizontal-relative:page;mso-position-vertical-relative:page;z-index:251670528;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CE75">
    <w:pPr>
      <w:pStyle w:val="2"/>
      <w:spacing w:before="38" w:line="239" w:lineRule="auto"/>
      <w:ind w:right="22"/>
      <w:jc w:val="right"/>
      <w:rPr>
        <w:sz w:val="18"/>
        <w:szCs w:val="18"/>
      </w:rPr>
    </w:pPr>
    <w:r>
      <w:pict>
        <v:shape id="_x0000_s2049" o:spid="_x0000_s2049" style="position:absolute;left:0pt;margin-left:70.55pt;margin-top:61.05pt;height:0.75pt;width:1049.5pt;mso-position-horizontal-relative:page;mso-position-vertical-relative:page;z-index:25165926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652A9">
    <w:pPr>
      <w:pStyle w:val="2"/>
      <w:spacing w:before="38" w:line="239" w:lineRule="auto"/>
      <w:ind w:left="16944"/>
      <w:rPr>
        <w:sz w:val="18"/>
        <w:szCs w:val="18"/>
      </w:rPr>
    </w:pPr>
    <w:r>
      <w:pict>
        <v:shape id="_x0000_s2061" o:spid="_x0000_s2061" style="position:absolute;left:0pt;margin-left:70.55pt;margin-top:61.05pt;height:0.75pt;width:1049.5pt;mso-position-horizontal-relative:page;mso-position-vertical-relative:page;z-index:251671552;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72E64">
    <w:pPr>
      <w:pStyle w:val="2"/>
      <w:spacing w:before="38" w:line="239" w:lineRule="auto"/>
      <w:ind w:left="17028"/>
      <w:rPr>
        <w:sz w:val="18"/>
        <w:szCs w:val="18"/>
      </w:rPr>
    </w:pPr>
    <w:r>
      <w:pict>
        <v:shape id="_x0000_s2062" o:spid="_x0000_s2062" style="position:absolute;left:0pt;margin-left:70.55pt;margin-top:61.05pt;height:0.75pt;width:1049.5pt;mso-position-horizontal-relative:page;mso-position-vertical-relative:page;z-index:251672576;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CE75">
    <w:pPr>
      <w:pStyle w:val="2"/>
      <w:spacing w:before="38" w:line="239" w:lineRule="auto"/>
      <w:ind w:right="22"/>
      <w:jc w:val="right"/>
      <w:rPr>
        <w:sz w:val="18"/>
        <w:szCs w:val="18"/>
      </w:rPr>
    </w:pPr>
    <w:r>
      <w:pict>
        <v:shape id="_x0000_s2049" o:spid="_x0000_s2049" style="position:absolute;left:0pt;margin-left:70.55pt;margin-top:61.05pt;height:0.75pt;width:1049.5pt;mso-position-horizontal-relative:page;mso-position-vertical-relative:page;z-index:25165926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446E">
    <w:pPr>
      <w:pStyle w:val="2"/>
      <w:spacing w:before="38" w:line="239" w:lineRule="auto"/>
      <w:ind w:left="16944"/>
      <w:rPr>
        <w:sz w:val="18"/>
        <w:szCs w:val="18"/>
      </w:rPr>
    </w:pPr>
    <w:r>
      <w:pict>
        <v:shape id="_x0000_s2050" o:spid="_x0000_s2050" style="position:absolute;left:0pt;margin-left:70.55pt;margin-top:61.05pt;height:0.75pt;width:1049.5pt;mso-position-horizontal-relative:page;mso-position-vertical-relative:page;z-index:251660288;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0D857">
    <w:pPr>
      <w:pStyle w:val="2"/>
      <w:spacing w:before="38" w:line="239" w:lineRule="auto"/>
      <w:ind w:left="16944"/>
      <w:rPr>
        <w:sz w:val="18"/>
        <w:szCs w:val="18"/>
      </w:rPr>
    </w:pPr>
    <w:r>
      <w:pict>
        <v:shape id="_x0000_s2051" o:spid="_x0000_s2051" style="position:absolute;left:0pt;margin-left:70.55pt;margin-top:61.05pt;height:0.75pt;width:1049.5pt;mso-position-horizontal-relative:page;mso-position-vertical-relative:page;z-index:251661312;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75FAC">
    <w:pPr>
      <w:pStyle w:val="2"/>
      <w:spacing w:before="38" w:line="239" w:lineRule="auto"/>
      <w:ind w:left="16944"/>
      <w:rPr>
        <w:sz w:val="18"/>
        <w:szCs w:val="18"/>
      </w:rPr>
    </w:pPr>
    <w:r>
      <w:pict>
        <v:shape id="_x0000_s2052" o:spid="_x0000_s2052" style="position:absolute;left:0pt;margin-left:70.55pt;margin-top:61.05pt;height:0.75pt;width:1049.5pt;mso-position-horizontal-relative:page;mso-position-vertical-relative:page;z-index:251662336;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CE75">
    <w:pPr>
      <w:pStyle w:val="2"/>
      <w:spacing w:before="38" w:line="239" w:lineRule="auto"/>
      <w:ind w:right="22"/>
      <w:jc w:val="right"/>
      <w:rPr>
        <w:sz w:val="18"/>
        <w:szCs w:val="18"/>
      </w:rPr>
    </w:pPr>
    <w:r>
      <w:pict>
        <v:shape id="_x0000_s2049" o:spid="_x0000_s2049" style="position:absolute;left:0pt;margin-left:70.55pt;margin-top:61.05pt;height:0.75pt;width:1049.5pt;mso-position-horizontal-relative:page;mso-position-vertical-relative:page;z-index:25165926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26670">
    <w:pPr>
      <w:pStyle w:val="2"/>
      <w:spacing w:before="38" w:line="239" w:lineRule="auto"/>
      <w:ind w:left="16944"/>
      <w:rPr>
        <w:sz w:val="18"/>
        <w:szCs w:val="18"/>
      </w:rPr>
    </w:pPr>
    <w:r>
      <w:pict>
        <v:shape id="_x0000_s2053" o:spid="_x0000_s2053" style="position:absolute;left:0pt;margin-left:70.55pt;margin-top:61.05pt;height:0.75pt;width:1049.5pt;mso-position-horizontal-relative:page;mso-position-vertical-relative:page;z-index:251663360;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CE75">
    <w:pPr>
      <w:pStyle w:val="2"/>
      <w:spacing w:before="38" w:line="239" w:lineRule="auto"/>
      <w:ind w:right="22"/>
      <w:jc w:val="right"/>
      <w:rPr>
        <w:sz w:val="18"/>
        <w:szCs w:val="18"/>
      </w:rPr>
    </w:pPr>
    <w:r>
      <w:pict>
        <v:shape id="_x0000_s2049" o:spid="_x0000_s2049" style="position:absolute;left:0pt;margin-left:70.55pt;margin-top:61.05pt;height:0.75pt;width:1049.5pt;mso-position-horizontal-relative:page;mso-position-vertical-relative:page;z-index:25165926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97F3">
    <w:pPr>
      <w:pStyle w:val="2"/>
      <w:spacing w:before="38" w:line="239" w:lineRule="auto"/>
      <w:ind w:left="16944"/>
      <w:rPr>
        <w:sz w:val="18"/>
        <w:szCs w:val="18"/>
      </w:rPr>
    </w:pPr>
    <w:r>
      <w:pict>
        <v:shape id="_x0000_s2054" o:spid="_x0000_s2054" style="position:absolute;left:0pt;margin-left:70.55pt;margin-top:61.05pt;height:0.75pt;width:1049.5pt;mso-position-horizontal-relative:page;mso-position-vertical-relative:page;z-index:251664384;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E498F">
    <w:pPr>
      <w:pStyle w:val="2"/>
      <w:spacing w:before="38" w:line="239" w:lineRule="auto"/>
      <w:ind w:left="16944"/>
      <w:rPr>
        <w:sz w:val="18"/>
        <w:szCs w:val="18"/>
      </w:rPr>
    </w:pPr>
    <w:r>
      <w:pict>
        <v:shape id="_x0000_s2055" o:spid="_x0000_s2055" style="position:absolute;left:0pt;margin-left:70.55pt;margin-top:61.05pt;height:0.75pt;width:1049.5pt;mso-position-horizontal-relative:page;mso-position-vertical-relative:page;z-index:251665408;mso-width-relative:page;mso-height-relative:page;" fillcolor="#000000" filled="t" stroked="f" coordsize="20990,15" o:allowincell="f" path="m0,14l20990,14,20990,0,0,0,0,14xe">
          <v:fill on="t" focussize="0,0"/>
          <v:stroke on="f"/>
          <v:imagedata o:title=""/>
          <o:lock v:ext="edit"/>
        </v:shape>
      </w:pict>
    </w:r>
    <w:r>
      <w:rPr>
        <w:sz w:val="18"/>
        <w:szCs w:val="18"/>
      </w:rPr>
      <w:t>盐边钒钛产业开发区总体规划（</w:t>
    </w:r>
    <w:r>
      <w:rPr>
        <w:rFonts w:ascii="Calibri" w:hAnsi="Calibri" w:eastAsia="Calibri" w:cs="Calibri"/>
        <w:sz w:val="18"/>
        <w:szCs w:val="18"/>
      </w:rPr>
      <w:t>2019-2035</w:t>
    </w:r>
    <w:r>
      <w:rPr>
        <w:sz w:val="18"/>
        <w:szCs w:val="18"/>
      </w:rPr>
      <w:t xml:space="preserve">） </w:t>
    </w:r>
    <w:r>
      <w:rPr>
        <w:spacing w:val="-1"/>
        <w:sz w:val="18"/>
        <w:szCs w:val="18"/>
      </w:rPr>
      <w:t xml:space="preserve"> 文本</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541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华文细黑" w:hAnsi="华文细黑" w:eastAsia="华文细黑" w:cs="华文细黑"/>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customXml" Target="../customXml/item1.xml"/><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footer" Target="footer17.xml"/><Relationship Id="rId35" Type="http://schemas.openxmlformats.org/officeDocument/2006/relationships/header" Target="header15.xml"/><Relationship Id="rId34" Type="http://schemas.openxmlformats.org/officeDocument/2006/relationships/footer" Target="footer16.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header" Target="header13.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1026"/>
  </customShpExts>
</s:customData>
</file>

<file path=customXml/item2.xml><?xml version="1.0" encoding="utf-8"?>
<contractReview xmlns="http://schemas.wps.cn/vas-ai-hub/contract-review">
  <reviewItems>
    <reviewItem>
      <errorID>141394df-aa6b-4af1-8053-e0a6eff3723b</errorID>
      <errorWord>，</errorWord>
      <group>L1_Grammar</group>
      <groupName>语法问题</groupName>
      <ability>L2_Missing</ability>
      <abilityName>成分残缺</abilityName>
      <candidateList>
        <item>的战略部署，</item>
      </candidateList>
      <explain>句子中可能存在主谓宾、修饰语或者必要的词语残缺。</explain>
      <paraID>1FE4836D</paraID>
      <start>35</start>
      <end>41</end>
      <status>modified</status>
      <modifiedWord>的战略部署，</modifiedWord>
      <trackRevisions>false</trackRevisions>
    </reviewItem>
    <reviewItem>
      <errorID>38396016-5720-496e-a532-143d1c7c06c9</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1FE4836D</paraID>
      <start>216</start>
      <end>222</end>
      <status>modified</status>
      <modifiedWord>县委、县政府</modifiedWord>
      <trackRevisions>false</trackRevisions>
    </reviewItem>
    <reviewItem>
      <errorID>14bef8d2-e945-45c4-bdd0-a0631c560dd6</errorID>
      <errorWord>和</errorWord>
      <group>L1_Word</group>
      <groupName>字词问题</groupName>
      <ability>L2_Typo</ability>
      <abilityName>字词错误</abilityName>
      <candidateList>
        <item>和以</item>
      </candidateList>
      <explain/>
      <paraID>1FE4836D</paraID>
      <start>251</start>
      <end>253</end>
      <status>modified</status>
      <modifiedWord>和以</modifiedWord>
      <trackRevisions>false</trackRevisions>
    </reviewItem>
    <reviewItem>
      <errorID>e8566d78-2c2f-49e2-aa00-5507d06e8ff5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274D7C90</paraID>
      <start>15</start>
      <end>17</end>
      <status>modified</status>
      <modifiedWord>”“</modifiedWord>
      <trackRevisions>false</trackRevisions>
    </reviewItem>
    <reviewItem>
      <errorID>56300d22-bf5e-4847-b3c5-c9c41e68e23b</errorID>
      <errorWord>;</errorWord>
      <group>L1_Format</group>
      <groupName>格式问题</groupName>
      <ability>L2_HalfPunc_CN</ability>
      <abilityName>全半角问题</abilityName>
      <candidateList>
        <item>；</item>
      </candidateList>
      <explain>文本全半角错误。</explain>
      <paraID>3406FB1C</paraID>
      <start>26</start>
      <end>27</end>
      <status>modified</status>
      <modifiedWord>；</modifiedWord>
      <trackRevisions>false</trackRevisions>
    </reviewItem>
    <reviewItem>
      <errorID>c7a86200-2eeb-4dee-ba1b-0d3aaea0526a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65C92F84</paraID>
      <start>83</start>
      <end>85</end>
      <status>modified</status>
      <modifiedWord>”“</modifiedWord>
      <trackRevisions>false</trackRevisions>
    </reviewItem>
    <reviewItem>
      <errorID>3393a471-232e-4cdf-bf06-29c151974505</errorID>
      <errorWord>规模为</errorWord>
      <group>L1_Word</group>
      <groupName>字词问题</groupName>
      <ability>L2_Typo</ability>
      <abilityName>字词错误</abilityName>
      <candidateList>
        <item>规模</item>
      </candidateList>
      <explain/>
      <paraID> 6CBDD70</paraID>
      <start>98</start>
      <end>100</end>
      <status>modified</status>
      <modifiedWord>规模</modifiedWord>
      <trackRevisions>false</trackRevisions>
    </reviewItem>
    <reviewItem>
      <errorID>35626369-9555-4df2-80f6-5d104322e7e5</errorID>
      <errorWord>生产性服务产业</errorWord>
      <group>L1_Political</group>
      <groupName>政治性问题</groupName>
      <ability>L2_Keyword</ability>
      <abilityName>固定表述</abilityName>
      <candidateList>
        <item>生产性服务业</item>
      </candidateList>
      <explain>词汇“生产性服务业”在特定场景下为固定表述形式，请确认此处的“生产性服务产业”是否存在不当。</explain>
      <paraID>232DFD01</paraID>
      <start>61</start>
      <end>67</end>
      <status>modified</status>
      <modifiedWord>生产性服务业</modifiedWord>
      <trackRevisions>false</trackRevisions>
    </reviewItem>
    <reviewItem>
      <errorID>bb16bb58-18da-4706-a48b-5857d6875838</errorID>
      <errorWord>生产性服务产业</errorWord>
      <group>L1_Political</group>
      <groupName>政治性问题</groupName>
      <ability>L2_Keyword</ability>
      <abilityName>固定表述</abilityName>
      <candidateList>
        <item>生产性服务业</item>
      </candidateList>
      <explain>词汇“生产性服务业”在特定场景下为固定表述形式，请确认此处的“生产性服务产业”是否存在不当。</explain>
      <paraID> CC68117</paraID>
      <start>2</start>
      <end>8</end>
      <status>modified</status>
      <modifiedWord>生产性服务业</modifiedWord>
      <trackRevisions>false</trackRevisions>
    </reviewItem>
    <reviewItem>
      <errorID>89f44e65-a7a3-49ae-b3d1-c0e3aa34f113</errorID>
      <errorWord>(</errorWord>
      <group>L1_Format</group>
      <groupName>格式问题</groupName>
      <ability>L2_HalfPunc_CN</ability>
      <abilityName>全半角问题</abilityName>
      <candidateList>
        <item>（</item>
      </candidateList>
      <explain>文本全半角错误。</explain>
      <paraID>741F30C4</paraID>
      <start>3</start>
      <end>4</end>
      <status>modified</status>
      <modifiedWord>（</modifiedWord>
      <trackRevisions>false</trackRevisions>
    </reviewItem>
    <reviewItem>
      <errorID>97478280-d358-432a-bcff-f4d5945ecd40</errorID>
      <errorWord>)</errorWord>
      <group>L1_Format</group>
      <groupName>格式问题</groupName>
      <ability>L2_HalfPunc_CN</ability>
      <abilityName>全半角问题</abilityName>
      <candidateList>
        <item>）</item>
      </candidateList>
      <explain>文本全半角错误。</explain>
      <paraID>741F30C4</paraID>
      <start>6</start>
      <end>7</end>
      <status>modified</status>
      <modifiedWord>）</modifiedWord>
      <trackRevisions>false</trackRevisions>
    </reviewItem>
    <reviewItem>
      <errorID>1c594745-8ad4-4c00-8847-b7b9837e4b10</errorID>
      <errorWord>(</errorWord>
      <group>L1_Format</group>
      <groupName>格式问题</groupName>
      <ability>L2_HalfPunc_CN</ability>
      <abilityName>全半角问题</abilityName>
      <candidateList>
        <item>（</item>
      </candidateList>
      <explain>文本全半角错误。</explain>
      <paraID>6816161C</paraID>
      <start>3</start>
      <end>4</end>
      <status>modified</status>
      <modifiedWord>（</modifiedWord>
      <trackRevisions>false</trackRevisions>
    </reviewItem>
    <reviewItem>
      <errorID>30e6d566-c72d-4663-802b-b54795f6bf8b</errorID>
      <errorWord>)</errorWord>
      <group>L1_Format</group>
      <groupName>格式问题</groupName>
      <ability>L2_HalfPunc_CN</ability>
      <abilityName>全半角问题</abilityName>
      <candidateList>
        <item>）</item>
      </candidateList>
      <explain>文本全半角错误。</explain>
      <paraID>6816161C</paraID>
      <start>6</start>
      <end>7</end>
      <status>modified</status>
      <modifiedWord>）</modifiedWord>
      <trackRevisions>false</trackRevisions>
    </reviewItem>
    <reviewItem>
      <errorID>59560b5c-01af-42c5-b8dd-0ff1e754c5c7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1C6E4B5F</paraID>
      <start>0</start>
      <end>2</end>
      <status>modified</status>
      <modifiedWord>1）</modifiedWord>
      <trackRevisions>false</trackRevisions>
    </reviewItem>
    <reviewItem>
      <errorID>67664665-4ad6-4259-918a-6eacac1f1796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1DA37C13</paraID>
      <start>0</start>
      <end>2</end>
      <status>modified</status>
      <modifiedWord>2）</modifiedWord>
      <trackRevisions>false</trackRevisions>
    </reviewItem>
    <reviewItem>
      <errorID>705388b3-ea25-4c91-87bb-f55aff4e9f8b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44C88E44</paraID>
      <start>0</start>
      <end>2</end>
      <status>modified</status>
      <modifiedWord>3）</modifiedWord>
      <trackRevisions>false</trackRevisions>
    </reviewItem>
    <reviewItem>
      <errorID>e39f6a66-1ec0-4530-9fd0-81003fecf370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3071006F</paraID>
      <start>0</start>
      <end>2</end>
      <status>modified</status>
      <modifiedWord>4）</modifiedWord>
      <trackRevisions>false</trackRevisions>
    </reviewItem>
    <reviewItem>
      <errorID>847e5624-e662-477d-95ef-7118358bd04d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6DBC8B48</paraID>
      <start>0</start>
      <end>2</end>
      <status>modified</status>
      <modifiedWord>1）</modifiedWord>
      <trackRevisions>false</trackRevisions>
    </reviewItem>
    <reviewItem>
      <errorID>c334d8d7-5486-4754-a654-6f8fcdfa0564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15343FF3</paraID>
      <start>0</start>
      <end>2</end>
      <status>modified</status>
      <modifiedWord>2）</modifiedWord>
      <trackRevisions>false</trackRevisions>
    </reviewItem>
    <reviewItem>
      <errorID>387fcdd4-0f16-4a4c-b744-20662287ac9d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2222F0FC</paraID>
      <start>0</start>
      <end>2</end>
      <status>modified</status>
      <modifiedWord>3）</modifiedWord>
      <trackRevisions>false</trackRevisions>
    </reviewItem>
    <reviewItem>
      <errorID>f5078527-9d51-4849-b716-428b8e21d616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4411AFAE</paraID>
      <start>0</start>
      <end>2</end>
      <status>modified</status>
      <modifiedWord>4）</modifiedWord>
      <trackRevisions>false</trackRevisions>
    </reviewItem>
    <reviewItem>
      <errorID>d4ae1cdb-e5fc-4085-bc64-3a914d7568c8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D199FDC</paraID>
      <start>0</start>
      <end>2</end>
      <status>modified</status>
      <modifiedWord>1）</modifiedWord>
      <trackRevisions>false</trackRevisions>
    </reviewItem>
    <reviewItem>
      <errorID>771e3296-53db-409c-aa55-6641dad26e95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1485DD09</paraID>
      <start>0</start>
      <end>2</end>
      <status>modified</status>
      <modifiedWord>2）</modifiedWord>
      <trackRevisions>false</trackRevisions>
    </reviewItem>
    <reviewItem>
      <errorID>a20fc59f-4047-43e1-9895-4d56a5f8864d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242A5656</paraID>
      <start>0</start>
      <end>2</end>
      <status>modified</status>
      <modifiedWord>3）</modifiedWord>
      <trackRevisions>false</trackRevisions>
    </reviewItem>
    <reviewItem>
      <errorID>81d31672-8244-47b2-8e18-3bf070bc92fa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2AFEA55D</paraID>
      <start>0</start>
      <end>2</end>
      <status>modified</status>
      <modifiedWord>4）</modifiedWord>
      <trackRevisions>false</trackRevisions>
    </reviewItem>
    <reviewItem>
      <errorID>da15d1f4-35bd-47a5-8c05-d42b56e2eb73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497460C0</paraID>
      <start>0</start>
      <end>2</end>
      <status>modified</status>
      <modifiedWord>1）</modifiedWord>
      <trackRevisions>false</trackRevisions>
    </reviewItem>
    <reviewItem>
      <errorID>68b7e8bb-c9b9-4343-9ccd-c2fd7244b594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48A91E8D</paraID>
      <start>0</start>
      <end>2</end>
      <status>modified</status>
      <modifiedWord>2）</modifiedWord>
      <trackRevisions>false</trackRevisions>
    </reviewItem>
    <reviewItem>
      <errorID>3ecbc340-3748-4b65-8c21-227c34b15265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32142007</paraID>
      <start>0</start>
      <end>2</end>
      <status>modified</status>
      <modifiedWord>3）</modifiedWord>
      <trackRevisions>false</trackRevisions>
    </reviewItem>
    <reviewItem>
      <errorID>5e033cef-412d-494d-99ae-d668edc358e8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5ED3462B</paraID>
      <start>1</start>
      <end>3</end>
      <status>modified</status>
      <modifiedWord>4）</modifiedWord>
      <trackRevisions>false</trackRevisions>
    </reviewItem>
    <reviewItem>
      <errorID>46f0606f-cc63-4460-b107-f58a8c57314f</errorID>
      <errorWord>(</errorWord>
      <group>L1_Format</group>
      <groupName>格式问题</groupName>
      <ability>L2_HalfPunc_CN</ability>
      <abilityName>全半角问题</abilityName>
      <candidateList>
        <item>（</item>
      </candidateList>
      <explain>文本全半角错误。</explain>
      <paraID>380755E4</paraID>
      <start>4</start>
      <end>5</end>
      <status>modified</status>
      <modifiedWord>（</modifiedWord>
      <trackRevisions>false</trackRevisions>
    </reviewItem>
    <reviewItem>
      <errorID>d7b576c3-6ccc-456f-afb4-aa25a5a43b87</errorID>
      <errorWord>)</errorWord>
      <group>L1_Format</group>
      <groupName>格式问题</groupName>
      <ability>L2_HalfPunc_CN</ability>
      <abilityName>全半角问题</abilityName>
      <candidateList>
        <item>）</item>
      </candidateList>
      <explain>文本全半角错误。</explain>
      <paraID>380755E4</paraID>
      <start>8</start>
      <end>9</end>
      <status>modified</status>
      <modifiedWord>）</modifiedWord>
      <trackRevisions>false</trackRevisions>
    </reviewItem>
    <reviewItem>
      <errorID>8c327c25-adae-4971-bbf2-c77282633910</errorID>
      <errorWord>(</errorWord>
      <group>L1_Format</group>
      <groupName>格式问题</groupName>
      <ability>L2_HalfPunc_CN</ability>
      <abilityName>全半角问题</abilityName>
      <candidateList>
        <item>（</item>
      </candidateList>
      <explain>文本全半角错误。</explain>
      <paraID>2436C254</paraID>
      <start>7</start>
      <end>8</end>
      <status>modified</status>
      <modifiedWord>（</modifiedWord>
      <trackRevisions>false</trackRevisions>
    </reviewItem>
    <reviewItem>
      <errorID>ddc5a098-1e47-4a5c-903d-4e5ac16d2287</errorID>
      <errorWord>)</errorWord>
      <group>L1_Format</group>
      <groupName>格式问题</groupName>
      <ability>L2_HalfPunc_CN</ability>
      <abilityName>全半角问题</abilityName>
      <candidateList>
        <item>）</item>
      </candidateList>
      <explain>文本全半角错误。</explain>
      <paraID>2436C254</paraID>
      <start>9</start>
      <end>10</end>
      <status>modified</status>
      <modifiedWord>）</modifiedWord>
      <trackRevisions>false</trackRevisions>
    </reviewItem>
    <reviewItem>
      <errorID>94ba2009-0730-4611-b623-cd38de5bb76e</errorID>
      <errorWord>(</errorWord>
      <group>L1_Format</group>
      <groupName>格式问题</groupName>
      <ability>L2_HalfPunc_CN</ability>
      <abilityName>全半角问题</abilityName>
      <candidateList>
        <item>（</item>
      </candidateList>
      <explain>文本全半角错误。</explain>
      <paraID>2D316753</paraID>
      <start>9</start>
      <end>10</end>
      <status>modified</status>
      <modifiedWord>（</modifiedWord>
      <trackRevisions>false</trackRevisions>
    </reviewItem>
    <reviewItem>
      <errorID>f9736760-3afa-4456-aea1-0450aa5e6c56</errorID>
      <errorWord>)</errorWord>
      <group>L1_Format</group>
      <groupName>格式问题</groupName>
      <ability>L2_HalfPunc_CN</ability>
      <abilityName>全半角问题</abilityName>
      <candidateList>
        <item>）</item>
      </candidateList>
      <explain>文本全半角错误。</explain>
      <paraID>2D316753</paraID>
      <start>11</start>
      <end>12</end>
      <status>modified</status>
      <modifiedWord>）</modifiedWord>
      <trackRevisions>false</trackRevisions>
    </reviewItem>
    <reviewItem>
      <errorID>45fb451f-22e9-45de-bf44-9179057db26c</errorID>
      <errorWord>做为</errorWord>
      <group>L1_Word</group>
      <groupName>字词问题</groupName>
      <ability>L2_Typo</ability>
      <abilityName>字词错误</abilityName>
      <candidateList>
        <item>作为</item>
      </candidateList>
      <explain/>
      <paraID>64883A3B</paraID>
      <start>4</start>
      <end>6</end>
      <status>modified</status>
      <modifiedWord>作为</modifiedWord>
      <trackRevisions>false</trackRevisions>
    </reviewItem>
    <reviewItem>
      <errorID>04f5d6f2-171d-49e0-9f3d-c1cde0c8db69</errorID>
      <errorWord>服</errorWord>
      <group>L1_Word</group>
      <groupName>字词问题</groupName>
      <ability>L2_Typo</ability>
      <abilityName>字词错误</abilityName>
      <candidateList>
        <item>服务</item>
      </candidateList>
      <explain/>
      <paraID>64883A3B</paraID>
      <start>8</start>
      <end>10</end>
      <status>modified</status>
      <modifiedWord>服务</modifiedWord>
      <trackRevisions>false</trackRevisions>
    </reviewItem>
    <reviewItem>
      <errorID>0f41bf39-06a8-4ef0-bbeb-0371e2c6d6ad</errorID>
      <errorWord>平</errorWord>
      <group>L1_Word</group>
      <groupName>字词问题</groupName>
      <ability>L2_Typo</ability>
      <abilityName>字词错误</abilityName>
      <candidateList>
        <item>平方</item>
      </candidateList>
      <explain/>
      <paraID>6485245C</paraID>
      <start>0</start>
      <end>2</end>
      <status>modified</status>
      <modifiedWord>平方</modifiedWord>
      <trackRevisions>false</trackRevisions>
    </reviewItem>
    <reviewItem>
      <errorID>a3464a3e-7e72-4bfd-b4fb-6aa0ae3a48c9</errorID>
      <errorWord>污水厂</errorWord>
      <group>L1_Word</group>
      <groupName>字词问题</groupName>
      <ability>L2_Typo</ability>
      <abilityName>字词错误</abilityName>
      <candidateList>
        <item>污水处理厂</item>
      </candidateList>
      <explain/>
      <paraID> E8A524F</paraID>
      <start>0</start>
      <end>5</end>
      <status>modified</status>
      <modifiedWord>污水处理厂</modifiedWord>
      <trackRevisions>false</trackRevisions>
    </reviewItem>
    <reviewItem>
      <errorID>6e6592fe-21fc-4742-884f-0f33e33eec5c</errorID>
      <errorWord>形成以</errorWord>
      <group>L1_Word</group>
      <groupName>字词问题</groupName>
      <ability>L2_Typo</ability>
      <abilityName>字词错误</abilityName>
      <candidateList>
        <item>形成</item>
      </candidateList>
      <explain/>
      <paraID>34586B70</paraID>
      <start>9</start>
      <end>11</end>
      <status>modified</status>
      <modifiedWord>形成</modifiedWord>
      <trackRevisions>false</trackRevisions>
    </reviewItem>
    <reviewItem>
      <errorID>868cac29-0752-46c7-836d-7b19195475d5</errorID>
      <errorWord>主要工业原料近中期基本以管道运输为主</errorWord>
      <group>L1_Grammar</group>
      <groupName>语法问题</groupName>
      <ability>L2_Grammar</ability>
      <abilityName>语法错误</abilityName>
      <candidateList>
        <item>工业原料近中期基本以管道运输为主</item>
      </candidateList>
      <explain>该表达中的“主要工业原料近中期基本以管道运输为主”存在语义重复。</explain>
      <paraID>1B49E594</paraID>
      <start>9</start>
      <end>25</end>
      <status>modified</status>
      <modifiedWord>工业原料近中期基本以管道运输为主</modifiedWord>
      <trackRevisions>false</trackRevisions>
    </reviewItem>
    <reviewItem>
      <errorID>0dde593f-b3ee-484c-9500-30826ba6bd91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6A95F1A4</paraID>
      <start>0</start>
      <end>2</end>
      <status>modified</status>
      <modifiedWord>1）</modifiedWord>
      <trackRevisions>false</trackRevisions>
    </reviewItem>
    <reviewItem>
      <errorID>97c2ccb4-1376-422a-8c02-3e2ce7e29b29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1A058D9B</paraID>
      <start>0</start>
      <end>2</end>
      <status>modified</status>
      <modifiedWord>2）</modifiedWord>
      <trackRevisions>false</trackRevisions>
    </reviewItem>
    <reviewItem>
      <errorID>c0e7e555-2be2-40e4-be6c-acf3d16a4bd7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D41C956</paraID>
      <start>0</start>
      <end>2</end>
      <status>modified</status>
      <modifiedWord>3）</modifiedWord>
      <trackRevisions>false</trackRevisions>
    </reviewItem>
    <reviewItem>
      <errorID>f1b04482-d578-446b-a56e-32917b086341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32D6E9F8</paraID>
      <start>0</start>
      <end>2</end>
      <status>modified</status>
      <modifiedWord>4）</modifiedWord>
      <trackRevisions>false</trackRevisions>
    </reviewItem>
    <reviewItem>
      <errorID>77f90054-0f9a-466e-a2f2-5ebf3ef9f00c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372265BA</paraID>
      <start>0</start>
      <end>2</end>
      <status>modified</status>
      <modifiedWord>5）</modifiedWord>
      <trackRevisions>false</trackRevisions>
    </reviewItem>
    <reviewItem>
      <errorID>23cb3b9e-6eea-44f4-a0ab-6673dde85431</errorID>
      <errorWord>;</errorWord>
      <group>L1_Format</group>
      <groupName>格式问题</groupName>
      <ability>L2_HalfPunc_CN</ability>
      <abilityName>全半角问题</abilityName>
      <candidateList>
        <item>；</item>
      </candidateList>
      <explain>文本全半角错误。</explain>
      <paraID>3458F050</paraID>
      <start>51</start>
      <end>52</end>
      <status>modified</status>
      <modifiedWord>；</modifiedWord>
      <trackRevisions>false</trackRevisions>
    </reviewItem>
    <reviewItem>
      <errorID>ee7735fc-d04d-4849-8761-1fb52f6781f7</errorID>
      <errorWord>;</errorWord>
      <group>L1_Format</group>
      <groupName>格式问题</groupName>
      <ability>L2_HalfPunc_CN</ability>
      <abilityName>全半角问题</abilityName>
      <candidateList>
        <item>；</item>
      </candidateList>
      <explain>文本全半角错误。</explain>
      <paraID> EDD4638</paraID>
      <start>49</start>
      <end>50</end>
      <status>modified</status>
      <modifiedWord>；</modifiedWord>
      <trackRevisions>false</trackRevisions>
    </reviewItem>
    <reviewItem>
      <errorID>7af00cd6-5cc2-4a3e-a567-c9b8d38a3717</errorID>
      <errorWord>;</errorWord>
      <group>L1_Format</group>
      <groupName>格式问题</groupName>
      <ability>L2_HalfPunc_CN</ability>
      <abilityName>全半角问题</abilityName>
      <candidateList>
        <item>；</item>
      </candidateList>
      <explain>文本全半角错误。</explain>
      <paraID>568AA3FD</paraID>
      <start>35</start>
      <end>36</end>
      <status>modified</status>
      <modifiedWord>；</modifiedWord>
      <trackRevisions>false</trackRevisions>
    </reviewItem>
    <reviewItem>
      <errorID>9540a7c6-1998-4719-8ae8-8ebb925673ed</errorID>
      <errorWord>;</errorWord>
      <group>L1_Format</group>
      <groupName>格式问题</groupName>
      <ability>L2_HalfPunc_CN</ability>
      <abilityName>全半角问题</abilityName>
      <candidateList>
        <item>；</item>
      </candidateList>
      <explain>文本全半角错误。</explain>
      <paraID> AE17297</paraID>
      <start>26</start>
      <end>27</end>
      <status>modified</status>
      <modifiedWord>；</modifiedWord>
      <trackRevisions>false</trackRevisions>
    </reviewItem>
    <reviewItem>
      <errorID>7b22fccf-333d-4ef3-a2fa-6a91b9dc34ca</errorID>
      <errorWord>矿区生态修复</errorWord>
      <group>L1_Political</group>
      <groupName>政治性问题</groupName>
      <ability>L2_Keyword</ability>
      <abilityName>固定表述</abilityName>
      <candidateList>
        <item>矿山生态修复</item>
      </candidateList>
      <explain>词汇“矿山生态修复”在特定场景下为固定表述形式，请确认此处的“矿区生态修复”是否存在不当。</explain>
      <paraID>1289F05B</paraID>
      <start>2</start>
      <end>8</end>
      <status>modified</status>
      <modifiedWord>矿山生态修复</modifiedWord>
      <trackRevisions>false</trackRevisions>
    </reviewItem>
    <reviewItem>
      <errorID>426a07d7-9d20-453a-bd1c-47a89750db96</errorID>
      <errorWord>,</errorWord>
      <group>L1_Format</group>
      <groupName>格式问题</groupName>
      <ability>L2_HalfPunc_CN</ability>
      <abilityName>全半角问题</abilityName>
      <candidateList>
        <item>，</item>
      </candidateList>
      <explain>文本全半角错误。</explain>
      <paraID>1E217141</paraID>
      <start>14</start>
      <end>15</end>
      <status>modified</status>
      <modifiedWord>，</modifiedWord>
      <trackRevisions>false</trackRevisions>
    </reviewItem>
    <reviewItem>
      <errorID>e2b31e59-4ae0-42ae-a3e3-c2540f974180</errorID>
      <errorWord>,</errorWord>
      <group>L1_Format</group>
      <groupName>格式问题</groupName>
      <ability>L2_HalfPunc_CN</ability>
      <abilityName>全半角问题</abilityName>
      <candidateList>
        <item>，</item>
      </candidateList>
      <explain>文本全半角错误。</explain>
      <paraID>1E217141</paraID>
      <start>20</start>
      <end>21</end>
      <status>modified</status>
      <modifiedWord>，</modifiedWord>
      <trackRevisions>false</trackRevisions>
    </reviewItem>
    <reviewItem>
      <errorID>d3936eb3-d6ea-4ec1-b751-1fee83933ee3</errorID>
      <errorWord>,</errorWord>
      <group>L1_Format</group>
      <groupName>格式问题</groupName>
      <ability>L2_HalfPunc_CN</ability>
      <abilityName>全半角问题</abilityName>
      <candidateList>
        <item>，</item>
      </candidateList>
      <explain>文本全半角错误。</explain>
      <paraID>12959BF6</paraID>
      <start>103</start>
      <end>104</end>
      <status>modified</status>
      <modifiedWord>，</modifiedWord>
      <trackRevisions>false</trackRevisions>
    </reviewItem>
    <reviewItem>
      <errorID>e3e82052-eb0a-4f86-b2c8-6eac6b013faa</errorID>
      <errorWord>水份</errorWord>
      <group>L1_Word</group>
      <groupName>字词问题</groupName>
      <ability>L2_Typo</ability>
      <abilityName>字词错误</abilityName>
      <candidateList>
        <item>水分</item>
      </candidateList>
      <explain/>
      <paraID>12959BF6</paraID>
      <start>152</start>
      <end>154</end>
      <status>modified</status>
      <modifiedWord>水分</modifiedWord>
      <trackRevisions>false</trackRevisions>
    </reviewItem>
    <reviewItem>
      <errorID>d7d80253-88ff-4ead-8425-3965f260a722</errorID>
      <errorWord>其它生产</errorWord>
      <group>L1_Word</group>
      <groupName>字词问题</groupName>
      <ability>L2_Alias</ability>
      <abilityName>也作/曾用词</abilityName>
      <candidateList>
        <item>其他生产</item>
      </candidateList>
      <explain>词汇[其它生产]为不规范表述或旧称，其规范书面表述为[其他生产]。</explain>
      <paraID>2EAF4D89</paraID>
      <start>83</start>
      <end>87</end>
      <status>modified</status>
      <modifiedWord>其他生产</modifiedWord>
      <trackRevisions>false</trackRevisions>
    </reviewItem>
    <reviewItem>
      <errorID>07c307e4-d1df-4d52-89c3-9c5a60e7d675</errorID>
      <errorWord>污水厂</errorWord>
      <group>L1_Word</group>
      <groupName>字词问题</groupName>
      <ability>L2_Typo</ability>
      <abilityName>字词错误</abilityName>
      <candidateList>
        <item>污水处理厂</item>
      </candidateList>
      <explain/>
      <paraID>137887B3</paraID>
      <start>44</start>
      <end>49</end>
      <status>modified</status>
      <modifiedWord>污水处理厂</modifiedWord>
      <trackRevisions>false</trackRevisions>
    </reviewItem>
    <reviewItem>
      <errorID>b740592d-258e-442b-958e-e62dbc5c5584</errorID>
      <errorWord>、及</errorWord>
      <group>L1_Word</group>
      <groupName>字词问题</groupName>
      <ability>L2_Typo</ability>
      <abilityName>字词错误</abilityName>
      <candidateList>
        <item>及</item>
      </candidateList>
      <explain/>
      <paraID>2DFD93E1</paraID>
      <start>18</start>
      <end>19</end>
      <status>modified</status>
      <modifiedWord>及</modifiedWord>
      <trackRevisions>false</trackRevisions>
    </reviewItem>
    <reviewItem>
      <errorID>79d87b42-fbac-4297-8ad1-30a0be36aa80</errorID>
      <errorWord>,</errorWord>
      <group>L1_Format</group>
      <groupName>格式问题</groupName>
      <ability>L2_HalfPunc_CN</ability>
      <abilityName>全半角问题</abilityName>
      <candidateList>
        <item>，</item>
      </candidateList>
      <explain>文本全半角错误。</explain>
      <paraID>44A82D9F</paraID>
      <start>86</start>
      <end>87</end>
      <status>modified</status>
      <modifiedWord>，</modifiedWord>
      <trackRevisions>false</trackRevisions>
    </reviewItem>
    <reviewItem>
      <errorID>d3b7829e-53f4-475a-a1be-6d98bf9590f3</errorID>
      <errorWord>-</errorWord>
      <group>L1_Format</group>
      <groupName>格式问题</groupName>
      <ability>L2_HalfPunc_CN</ability>
      <abilityName>全半角问题</abilityName>
      <candidateList>
        <item>－</item>
      </candidateList>
      <explain>文本全半角错误。</explain>
      <paraID> A20AC2F</paraID>
      <start>12</start>
      <end>13</end>
      <status>modified</status>
      <modifiedWord>－</modifiedWord>
      <trackRevisions>false</trackRevisions>
    </reviewItem>
    <reviewItem>
      <errorID>842a8db1-e295-4656-89d4-9d7bbd5febf2</errorID>
      <errorWord>，</errorWord>
      <group>L1_Word</group>
      <groupName>字词问题</groupName>
      <ability>L2_Typo</ability>
      <abilityName>字词错误</abilityName>
      <candidateList>
        <item>，在</item>
      </candidateList>
      <explain/>
      <paraID> 4D1001E</paraID>
      <start>54</start>
      <end>56</end>
      <status>modified</status>
      <modifiedWord>，在</modifiedWord>
      <trackRevisions>false</trackRevisions>
    </reviewItem>
    <reviewItem>
      <errorID>7b2a61c8-1561-494c-b20b-959f34cd0921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7411F72D</paraID>
      <start>0</start>
      <end>2</end>
      <status>modified</status>
      <modifiedWord>1）</modifiedWord>
      <trackRevisions>false</trackRevisions>
    </reviewItem>
    <reviewItem>
      <errorID>928ed1cc-885c-4be6-860f-e1fa1d9e7d7d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1FDFCDF8</paraID>
      <start>0</start>
      <end>2</end>
      <status>modified</status>
      <modifiedWord>2）</modifiedWord>
      <trackRevisions>false</trackRevisions>
    </reviewItem>
    <reviewItem>
      <errorID>738e0bfa-f798-41a7-a7a6-4ebea5bffbb8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39BE1849</paraID>
      <start>0</start>
      <end>2</end>
      <status>modified</status>
      <modifiedWord>3）</modifiedWord>
      <trackRevisions>false</trackRevisions>
    </reviewItem>
    <reviewItem>
      <errorID>4751459c-b622-4ba3-8a6f-10076730b6e5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7C412500</paraID>
      <start>0</start>
      <end>2</end>
      <status>modified</status>
      <modifiedWord>4）</modifiedWord>
      <trackRevisions>false</trackRevisions>
    </reviewItem>
    <reviewItem>
      <errorID>cb9b59bd-cd31-473e-9fbc-cbdecfc0233c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549B8E45</paraID>
      <start>0</start>
      <end>2</end>
      <status>modified</status>
      <modifiedWord>5）</modifiedWord>
      <trackRevisions>false</trackRevisions>
    </reviewItem>
    <reviewItem>
      <errorID>93eaf9c2-20d0-4bbe-b52a-0affd94bee15</errorID>
      <errorWord>(</errorWord>
      <group>L1_Format</group>
      <groupName>格式问题</groupName>
      <ability>L2_HalfPunc_CN</ability>
      <abilityName>全半角问题</abilityName>
      <candidateList>
        <item>（</item>
      </candidateList>
      <explain>文本全半角错误。</explain>
      <paraID>549B8E45</paraID>
      <start>37</start>
      <end>38</end>
      <status>modified</status>
      <modifiedWord>（</modifiedWord>
      <trackRevisions>false</trackRevisions>
    </reviewItem>
    <reviewItem>
      <errorID>e49fbc2e-ef8d-4836-81ea-1b0e4e13b85c</errorID>
      <errorWord>)</errorWord>
      <group>L1_Format</group>
      <groupName>格式问题</groupName>
      <ability>L2_HalfPunc_CN</ability>
      <abilityName>全半角问题</abilityName>
      <candidateList>
        <item>）</item>
      </candidateList>
      <explain>文本全半角错误。</explain>
      <paraID>549B8E45</paraID>
      <start>51</start>
      <end>52</end>
      <status>modified</status>
      <modifiedWord>）</modifiedWord>
      <trackRevisions>false</trackRevisions>
    </reviewItem>
    <reviewItem>
      <errorID>b997e264-a878-4d4b-abf8-5062122cc87d</errorID>
      <errorWord>的中</errorWord>
      <group>L1_Word</group>
      <groupName>字词问题</groupName>
      <ability>L2_Typo</ability>
      <abilityName>字词错误</abilityName>
      <candidateList>
        <item>的</item>
      </candidateList>
      <explain/>
      <paraID>549B8E45</paraID>
      <start>52</start>
      <end>53</end>
      <status>modified</status>
      <modifiedWord>的</modifiedWord>
      <trackRevisions>false</trackRevisions>
    </reviewItem>
    <reviewItem>
      <errorID>8df4b723-ebb3-4e6a-b186-d887a4b0f9c7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41281DE8</paraID>
      <start>0</start>
      <end>2</end>
      <status>modified</status>
      <modifiedWord>1）</modifiedWord>
      <trackRevisions>false</trackRevisions>
    </reviewItem>
    <reviewItem>
      <errorID>9b411e27-6c48-4672-a8b7-7d6c967e03c2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4029CA4D</paraID>
      <start>0</start>
      <end>2</end>
      <status>modified</status>
      <modifiedWord>2）</modifiedWord>
      <trackRevisions>false</trackRevisions>
    </reviewItem>
    <reviewItem>
      <errorID>31f13f52-e638-4b31-a82c-a227b2856e18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1161E606</paraID>
      <start>0</start>
      <end>2</end>
      <status>modified</status>
      <modifiedWord>3）</modifiedWord>
      <trackRevisions>false</trackRevisions>
    </reviewItem>
    <reviewItem>
      <errorID>061a2973-8a28-45b3-b9a9-97926086380e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3392BC8C</paraID>
      <start>0</start>
      <end>2</end>
      <status>modified</status>
      <modifiedWord>4）</modifiedWord>
      <trackRevisions>false</trackRevisions>
    </reviewItem>
    <reviewItem>
      <errorID>d582d55e-0764-4575-ac15-2fbd52150645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7B025CD6</paraID>
      <start>0</start>
      <end>2</end>
      <status>modified</status>
      <modifiedWord>1）</modifiedWord>
      <trackRevisions>false</trackRevisions>
    </reviewItem>
    <reviewItem>
      <errorID>d968dc54-e367-4f9e-9531-14aa09d11c0a</errorID>
      <errorWord>(</errorWord>
      <group>L1_Format</group>
      <groupName>格式问题</groupName>
      <ability>L2_HalfPunc_CN</ability>
      <abilityName>全半角问题</abilityName>
      <candidateList>
        <item>（</item>
      </candidateList>
      <explain>文本全半角错误。</explain>
      <paraID>7B025CD6</paraID>
      <start>53</start>
      <end>54</end>
      <status>modified</status>
      <modifiedWord>（</modifiedWord>
      <trackRevisions>false</trackRevisions>
    </reviewItem>
    <reviewItem>
      <errorID>1d112e13-ad1e-475f-9f0e-172852c8f162</errorID>
      <errorWord>)</errorWord>
      <group>L1_Format</group>
      <groupName>格式问题</groupName>
      <ability>L2_HalfPunc_CN</ability>
      <abilityName>全半角问题</abilityName>
      <candidateList>
        <item>）</item>
      </candidateList>
      <explain>文本全半角错误。</explain>
      <paraID>7B025CD6</paraID>
      <start>66</start>
      <end>67</end>
      <status>modified</status>
      <modifiedWord>）</modifiedWord>
      <trackRevisions>false</trackRevisions>
    </reviewItem>
    <reviewItem>
      <errorID>9da577f1-af67-425f-ba3e-cc0c50ff072a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78C3B9D8</paraID>
      <start>0</start>
      <end>2</end>
      <status>modified</status>
      <modifiedWord>2）</modifiedWord>
      <trackRevisions>false</trackRevisions>
    </reviewItem>
    <reviewItem>
      <errorID>1ec86dbb-10e1-41b1-9a7a-f7ad8180fabb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4CD75C02</paraID>
      <start>0</start>
      <end>2</end>
      <status>modified</status>
      <modifiedWord>3）</modifiedWord>
      <trackRevisions>false</trackRevisions>
    </reviewItem>
    <reviewItem>
      <errorID>99c5699d-cf4b-439b-ba7d-622c591073d1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5DC29FDC</paraID>
      <start>0</start>
      <end>2</end>
      <status>modified</status>
      <modifiedWord>4）</modifiedWord>
      <trackRevisions>false</trackRevisions>
    </reviewItem>
    <reviewItem>
      <errorID>40383803-384a-4f28-9cda-407606ed6f09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A496B9C</paraID>
      <start>0</start>
      <end>2</end>
      <status>modified</status>
      <modifiedWord>1）</modifiedWord>
      <trackRevisions>false</trackRevisions>
    </reviewItem>
    <reviewItem>
      <errorID>1c4f19d6-fad5-40aa-b711-0a1aa8df7073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3591E3EB</paraID>
      <start>0</start>
      <end>2</end>
      <status>modified</status>
      <modifiedWord>2）</modifiedWord>
      <trackRevisions>false</trackRevisions>
    </reviewItem>
    <reviewItem>
      <errorID>942136b5-fb84-4899-a197-763f1fe5f347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325CC8D3</paraID>
      <start>0</start>
      <end>2</end>
      <status>modified</status>
      <modifiedWord>3）</modifiedWord>
      <trackRevisions>false</trackRevisions>
    </reviewItem>
    <reviewItem>
      <errorID>bc249e6e-6bf9-474d-b257-7f803f1908b9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360BDE20</paraID>
      <start>0</start>
      <end>2</end>
      <status>modified</status>
      <modifiedWord>1）</modifiedWord>
      <trackRevisions>false</trackRevisions>
    </reviewItem>
    <reviewItem>
      <errorID>de305d57-541e-487d-ac68-5ee6b70fddba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516B95B1</paraID>
      <start>0</start>
      <end>2</end>
      <status>modified</status>
      <modifiedWord>2）</modifiedWord>
      <trackRevisions>false</trackRevisions>
    </reviewItem>
    <reviewItem>
      <errorID>7e222827-1aa7-4cfe-85b7-332f6a45d1ff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494EF8DB</paraID>
      <start>0</start>
      <end>2</end>
      <status>modified</status>
      <modifiedWord>1）</modifiedWord>
      <trackRevisions>false</trackRevisions>
    </reviewItem>
    <reviewItem>
      <errorID>c3463ad9-767f-4e75-99aa-b69341cdea2b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22560AB1</paraID>
      <start>0</start>
      <end>2</end>
      <status>modified</status>
      <modifiedWord>2）</modifiedWord>
      <trackRevisions>false</trackRevisions>
    </reviewItem>
    <reviewItem>
      <errorID>62c955da-b847-44e0-9b7f-089797f4c932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257CAE03</paraID>
      <start>0</start>
      <end>2</end>
      <status>modified</status>
      <modifiedWord>1）</modifiedWord>
      <trackRevisions>false</trackRevisions>
    </reviewItem>
    <reviewItem>
      <errorID>06e38bf0-a027-45af-ab59-3381786a458a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18E5B09F</paraID>
      <start>0</start>
      <end>2</end>
      <status>modified</status>
      <modifiedWord>2）</modifiedWord>
      <trackRevisions>false</trackRevisions>
    </reviewItem>
    <reviewItem>
      <errorID>8a046599-a417-478c-8146-42b393482c88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2028B425</paraID>
      <start>0</start>
      <end>2</end>
      <status>modified</status>
      <modifiedWord>3）</modifiedWord>
      <trackRevisions>false</trackRevisions>
    </reviewItem>
    <reviewItem>
      <errorID>22b74d9b-e3c8-44c3-bed2-8069fa675b5c</errorID>
      <errorWord>噪音</errorWord>
      <group>L1_Word</group>
      <groupName>字词问题</groupName>
      <ability>L2_Alias</ability>
      <abilityName>也作/曾用词</abilityName>
      <candidateList>
        <item>噪声</item>
      </candidateList>
      <explain>词汇[噪音]为不规范表述或旧称，其规范书面表述为[噪声]。</explain>
      <paraID>2028B425</paraID>
      <start>3</start>
      <end>5</end>
      <status>modified</status>
      <modifiedWord>噪声</modifiedWord>
      <trackRevisions>false</trackRevisions>
    </reviewItem>
    <reviewItem>
      <errorID>7e78a632-ba09-4757-a24e-183fbb2f69dd</errorID>
      <errorWord>)</errorWord>
      <group>L1_Format</group>
      <groupName>格式问题</groupName>
      <ability>L2_HalfPunc_CN</ability>
      <abilityName>全半角问题</abilityName>
      <candidateList>
        <item>）</item>
      </candidateList>
      <explain>文本全半角错误。</explain>
      <paraID>5D3ACC17</paraID>
      <start>33</start>
      <end>34</end>
      <status>modified</status>
      <modifiedWord>）</modifiedWord>
      <trackRevisions>false</trackRevisions>
    </reviewItem>
    <reviewItem>
      <errorID>49b387d9-ae7e-418a-b17f-e892a7ab19c2</errorID>
      <errorWord>)</errorWord>
      <group>L1_Format</group>
      <groupName>格式问题</groupName>
      <ability>L2_HalfPunc_CN</ability>
      <abilityName>全半角问题</abilityName>
      <candidateList>
        <item>）</item>
      </candidateList>
      <explain>文本全半角错误。</explain>
      <paraID>5D3ACC17</paraID>
      <start>45</start>
      <end>46</end>
      <status>modified</status>
      <modifiedWord>）</modifiedWord>
      <trackRevisions>false</trackRevisions>
    </reviewItem>
    <reviewItem>
      <errorID>4491fe66-26cb-4cb7-9e4f-950d595b4569</errorID>
      <errorWord>)</errorWord>
      <group>L1_Format</group>
      <groupName>格式问题</groupName>
      <ability>L2_HalfPunc_CN</ability>
      <abilityName>全半角问题</abilityName>
      <candidateList>
        <item>）</item>
      </candidateList>
      <explain>文本全半角错误。</explain>
      <paraID>5D3ACC17</paraID>
      <start>76</start>
      <end>77</end>
      <status>modified</status>
      <modifiedWord>）</modifiedWord>
      <trackRevisions>false</trackRevisions>
    </reviewItem>
    <reviewItem>
      <errorID>41697bac-9f64-45ed-95a5-ccadf2e398db</errorID>
      <errorWord>)</errorWord>
      <group>L1_Format</group>
      <groupName>格式问题</groupName>
      <ability>L2_HalfPunc_CN</ability>
      <abilityName>全半角问题</abilityName>
      <candidateList>
        <item>）</item>
      </candidateList>
      <explain>文本全半角错误。</explain>
      <paraID>5D3ACC17</paraID>
      <start>87</start>
      <end>88</end>
      <status>modified</status>
      <modifiedWord>）</modifiedWord>
      <trackRevisions>false</trackRevisions>
    </reviewItem>
    <reviewItem>
      <errorID>da82c2ee-1498-4cd6-a222-e65784712377</errorID>
      <errorWord>)</errorWord>
      <group>L1_Format</group>
      <groupName>格式问题</groupName>
      <ability>L2_HalfPunc_CN</ability>
      <abilityName>全半角问题</abilityName>
      <candidateList>
        <item>）</item>
      </candidateList>
      <explain>文本全半角错误。</explain>
      <paraID>5D3ACC17</paraID>
      <start>122</start>
      <end>123</end>
      <status>modified</status>
      <modifiedWord>）</modifiedWord>
      <trackRevisions>false</trackRevisions>
    </reviewItem>
    <reviewItem>
      <errorID>a4debb97-a579-4ae9-af32-39f16045aad5</errorID>
      <errorWord>)</errorWord>
      <group>L1_Format</group>
      <groupName>格式问题</groupName>
      <ability>L2_HalfPunc_CN</ability>
      <abilityName>全半角问题</abilityName>
      <candidateList>
        <item>）</item>
      </candidateList>
      <explain>文本全半角错误。</explain>
      <paraID>5D3ACC17</paraID>
      <start>133</start>
      <end>134</end>
      <status>modified</status>
      <modifiedWord>）</modifiedWord>
      <trackRevisions>false</trackRevisions>
    </reviewItem>
    <reviewItem>
      <errorID>3cf858a4-a0bd-4584-aa71-eb1f00164168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53026CA2</paraID>
      <start>0</start>
      <end>2</end>
      <status>modified</status>
      <modifiedWord>1）</modifiedWord>
      <trackRevisions>false</trackRevisions>
    </reviewItem>
    <reviewItem>
      <errorID>2d70d62f-b12e-4b1c-955c-f99e6be3fe1b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747F4746</paraID>
      <start>0</start>
      <end>2</end>
      <status>modified</status>
      <modifiedWord>2）</modifiedWord>
      <trackRevisions>false</trackRevisions>
    </reviewItem>
    <reviewItem>
      <errorID>058b3843-cf66-45b4-850d-9a672aef202f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60BBFF3A</paraID>
      <start>0</start>
      <end>2</end>
      <status>modified</status>
      <modifiedWord>3）</modifiedWord>
      <trackRevisions>false</trackRevisions>
    </reviewItem>
    <reviewItem>
      <errorID>734feb0b-6661-4ec3-b8bc-f2a77d152e79</errorID>
      <errorWord>的</errorWord>
      <group>L1_Word</group>
      <groupName>字词问题</groupName>
      <ability>L2_DDD</ability>
      <abilityName>的地得用法</abilityName>
      <candidateList>
        <item>地</item>
      </candidateList>
      <explain/>
      <paraID>60BBFF3A</paraID>
      <start>34</start>
      <end>35</end>
      <status>modified</status>
      <modifiedWord>地</modifiedWord>
      <trackRevisions>false</trackRevisions>
    </reviewItem>
    <reviewItem>
      <errorID>96a08b65-e6a9-4232-9115-52f6103e98df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1FAC72C4</paraID>
      <start>0</start>
      <end>2</end>
      <status>modified</status>
      <modifiedWord>4）</modifiedWord>
      <trackRevisions>false</trackRevisions>
    </reviewItem>
    <reviewItem>
      <errorID>c75bb0d6-b3e1-444a-9d4a-c16f7f6744a1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769EA33E</paraID>
      <start>0</start>
      <end>2</end>
      <status>modified</status>
      <modifiedWord>5）</modifiedWord>
      <trackRevisions>false</trackRevisions>
    </reviewItem>
    <reviewItem>
      <errorID>c6b27b1a-a753-4b0e-94b4-77a66d8a49de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5F6F159B</paraID>
      <start>0</start>
      <end>2</end>
      <status>modified</status>
      <modifiedWord>6）</modifiedWord>
      <trackRevisions>false</trackRevisions>
    </reviewItem>
    <reviewItem>
      <errorID>e9711e7b-2f4e-423e-b16d-86216944e98d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507E8006</paraID>
      <start>0</start>
      <end>2</end>
      <status>modified</status>
      <modifiedWord>1）</modifiedWord>
      <trackRevisions>false</trackRevisions>
    </reviewItem>
    <reviewItem>
      <errorID>daad3701-cedb-43e6-9beb-69495e099bd6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743DD49E</paraID>
      <start>0</start>
      <end>2</end>
      <status>modified</status>
      <modifiedWord>2）</modifiedWord>
      <trackRevisions>false</trackRevisions>
    </reviewItem>
    <reviewItem>
      <errorID>a3b9151a-c07e-415f-8f77-8cd206d6f9f4</errorID>
      <errorWord>的</errorWord>
      <group>L1_Word</group>
      <groupName>字词问题</groupName>
      <ability>L2_DDD</ability>
      <abilityName>的地得用法</abilityName>
      <candidateList>
        <item>地</item>
      </candidateList>
      <explain/>
      <paraID>30CB113A</paraID>
      <start>9</start>
      <end>10</end>
      <status>modified</status>
      <modifiedWord>地</modifiedWord>
      <trackRevisions>false</trackRevisions>
    </reviewItem>
    <reviewItem>
      <errorID>dad85b88-30f2-4e73-89f4-22c37e0bdf8c</errorID>
      <errorWord>；</errorWord>
      <group>L1_Word</group>
      <groupName>字词问题</groupName>
      <ability>L2_Typo</ability>
      <abilityName>字词错误</abilityName>
      <candidateList>
        <item>；在</item>
      </candidateList>
      <explain/>
      <paraID>2F8A91BE</paraID>
      <start>39</start>
      <end>41</end>
      <status>modified</status>
      <modifiedWord>；在</modifiedWord>
      <trackRevisions>false</trackRevisions>
    </reviewItem>
    <reviewItem>
      <errorID>10e67245-ca77-4612-98ce-6ba9a92a9036</errorID>
      <errorWord>(</errorWord>
      <group>L1_Format</group>
      <groupName>格式问题</groupName>
      <ability>L2_HalfPunc_CN</ability>
      <abilityName>全半角问题</abilityName>
      <candidateList>
        <item>（</item>
      </candidateList>
      <explain>文本全半角错误。</explain>
      <paraID>77CD5A99</paraID>
      <start>103</start>
      <end>104</end>
      <status>modified</status>
      <modifiedWord>（</modifiedWord>
      <trackRevisions>false</trackRevisions>
    </reviewItem>
    <reviewItem>
      <errorID>f921dac2-0550-45f7-a5a3-c689e032ec87</errorID>
      <errorWord>)</errorWord>
      <group>L1_Format</group>
      <groupName>格式问题</groupName>
      <ability>L2_HalfPunc_CN</ability>
      <abilityName>全半角问题</abilityName>
      <candidateList>
        <item>）</item>
      </candidateList>
      <explain>文本全半角错误。</explain>
      <paraID>77CD5A99</paraID>
      <start>105</start>
      <end>106</end>
      <status>modified</status>
      <modifiedWord>）</modifiedWord>
      <trackRevisions>false</trackRevisions>
    </reviewItem>
    <reviewItem>
      <errorID>ca1be8c5-bf03-446d-893f-8b10b279b708</errorID>
      <errorWord>冶理</errorWord>
      <group>L1_Word</group>
      <groupName>字词问题</groupName>
      <ability>L2_Typo</ability>
      <abilityName>字词错误</abilityName>
      <candidateList>
        <item>治理</item>
      </candidateList>
      <explain/>
      <paraID>15F6FBF9</paraID>
      <start>12</start>
      <end>14</end>
      <status>modified</status>
      <modifiedWord>治理</modifiedWord>
      <trackRevisions>false</trackRevisions>
    </reviewItem>
    <reviewItem>
      <errorID>7fe0b21b-3a72-4ddb-bb4d-04d7e1c264df</errorID>
      <errorWord>具</errorWord>
      <group>L1_Word</group>
      <groupName>字词问题</groupName>
      <ability>L2_Typo</ability>
      <abilityName>字词错误</abilityName>
      <candidateList>
        <item>具有</item>
      </candidateList>
      <explain/>
      <paraID> BB12815</paraID>
      <start>48</start>
      <end>50</end>
      <status>modified</status>
      <modifiedWord>具有</modifiedWord>
      <trackRevisions>false</trackRevisions>
    </reviewItem>
    <reviewItem>
      <errorID>e1a9065b-292a-4c5d-b3ac-4d78047d2295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6AD6DD88</paraID>
      <start>31</start>
      <end>36</end>
      <status>modified</status>
      <modifiedWord>及其他有关</modifiedWord>
      <trackRevisions>false</trackRevisions>
    </reviewItem>
    <reviewItem>
      <errorID>f1b92e78-d9e7-4b52-9ea1-b3ab5923ec32</errorID>
      <errorWord>城镇总体规划</errorWord>
      <group>L1_Knowledge</group>
      <groupName>知识性问题</groupName>
      <ability>L2_Term</ability>
      <abilityName>专业术语</abilityName>
      <candidateList>
        <item>城市总体规划</item>
      </candidateList>
      <explain/>
      <paraID>59AF4F88</paraID>
      <start>4</start>
      <end>10</end>
      <status>modified</status>
      <modifiedWord>城市总体规划</modifiedWord>
      <trackRevisions>false</trackRevisions>
    </reviewItem>
    <reviewItem>
      <errorID>84370ece-3b26-4e6a-b1f2-be8e1c7990ba</errorID>
      <errorWord>的</errorWord>
      <group>L1_Word</group>
      <groupName>字词问题</groupName>
      <ability>L2_DDD</ability>
      <abilityName>的地得用法</abilityName>
      <candidateList>
        <item>地</item>
      </candidateList>
      <explain/>
      <paraID> AD16675</paraID>
      <start>4</start>
      <end>5</end>
      <status>modified</status>
      <modifiedWord>地</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6990b6-50a8-4464-b239-bbd6cc1937a4}">
  <ds:schemaRefs/>
</ds:datastoreItem>
</file>

<file path=docProps/app.xml><?xml version="1.0" encoding="utf-8"?>
<Properties xmlns="http://schemas.openxmlformats.org/officeDocument/2006/extended-properties" xmlns:vt="http://schemas.openxmlformats.org/officeDocument/2006/docPropsVTypes">
  <Pages>23</Pages>
  <Words>12</Words>
  <Characters>12</Characters>
  <TotalTime>6</TotalTime>
  <ScaleCrop>false</ScaleCrop>
  <LinksUpToDate>false</LinksUpToDate>
  <CharactersWithSpaces>21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2021-03-13T09:34:00Z</dcterms:created>
  <dc:creator>china</dc:creator>
  <cp:lastModifiedBy>万宏谟</cp:lastModifiedBy>
  <dcterms:modified xsi:type="dcterms:W3CDTF">2026-07-28T03:48:26Z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2026-07-28T11:42:07Z</vt:filetime>
  </property>
  <property fmtid="{D5CDD505-2E9C-101B-9397-08002B2CF9AE}" pid="4" name="KSOTemplateDocerSaveRecord">
    <vt:lpwstr>eyJoZGlkIjoiNzExODUxM2IxZDQ4ZDg0MGUxYWE1ZTc5MGMwZGJhYmEiLCJ1c2VySWQiOiI2MjQxMjM5NzMifQ==</vt:lpwstr>
  </property>
  <property fmtid="{D5CDD505-2E9C-101B-9397-08002B2CF9AE}" pid="5" name="KSOProductBuildVer">
    <vt:lpwstr>2052-12.1.0.26895</vt:lpwstr>
  </property>
  <property fmtid="{D5CDD505-2E9C-101B-9397-08002B2CF9AE}" pid="6" name="ICV">
    <vt:lpwstr>087828F66E76459F9DFEABB36DEB740B_12</vt:lpwstr>
  </property>
</Properties>
</file>