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33" w:line="786" w:lineRule="exact"/>
        <w:ind w:firstLine="158"/>
      </w:pPr>
    </w:p>
    <w:p>
      <w:pPr>
        <w:spacing w:line="435" w:lineRule="auto"/>
        <w:rPr>
          <w:rFonts w:ascii="Arial"/>
          <w:sz w:val="21"/>
        </w:rPr>
      </w:pPr>
    </w:p>
    <w:p>
      <w:pPr>
        <w:spacing w:line="111" w:lineRule="exact"/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184" w:line="202" w:lineRule="auto"/>
        <w:ind w:left="1495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Times New Roman" w:hAnsi="Times New Roman" w:eastAsia="Times New Roman" w:cs="Times New Roman"/>
          <w:spacing w:val="-1"/>
          <w:sz w:val="43"/>
          <w:szCs w:val="43"/>
        </w:rPr>
        <w:t xml:space="preserve">2026 </w:t>
      </w:r>
      <w:r>
        <w:rPr>
          <w:rFonts w:ascii="Microsoft YaHei" w:hAnsi="Microsoft YaHei" w:eastAsia="Microsoft YaHei" w:cs="Microsoft YaHei"/>
          <w:spacing w:val="-1"/>
          <w:sz w:val="43"/>
          <w:szCs w:val="43"/>
        </w:rPr>
        <w:t>年</w:t>
      </w:r>
      <w:r>
        <w:rPr>
          <w:rFonts w:ascii="Microsoft YaHei" w:hAnsi="Microsoft YaHei" w:eastAsia="Microsoft YaHei" w:cs="Microsoft YaHei"/>
          <w:spacing w:val="45"/>
          <w:sz w:val="43"/>
          <w:szCs w:val="4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43"/>
          <w:szCs w:val="43"/>
        </w:rPr>
        <w:t>1</w:t>
      </w:r>
      <w:r>
        <w:rPr>
          <w:rFonts w:ascii="Times New Roman" w:hAnsi="Times New Roman" w:eastAsia="Times New Roman" w:cs="Times New Roman"/>
          <w:spacing w:val="30"/>
          <w:sz w:val="43"/>
          <w:szCs w:val="43"/>
        </w:rPr>
        <w:t xml:space="preserve"> </w:t>
      </w:r>
      <w:r>
        <w:rPr>
          <w:rFonts w:ascii="Microsoft YaHei" w:hAnsi="Microsoft YaHei" w:eastAsia="Microsoft YaHei" w:cs="Microsoft YaHei"/>
          <w:spacing w:val="-1"/>
          <w:sz w:val="43"/>
          <w:szCs w:val="43"/>
        </w:rPr>
        <w:t>月全省地表水</w:t>
      </w:r>
      <w:r>
        <w:rPr>
          <w:rFonts w:ascii="Microsoft YaHei" w:hAnsi="Microsoft YaHei" w:eastAsia="Microsoft YaHei" w:cs="Microsoft YaHei"/>
          <w:spacing w:val="-62"/>
          <w:sz w:val="43"/>
          <w:szCs w:val="43"/>
        </w:rPr>
        <w:t xml:space="preserve"> </w:t>
      </w:r>
      <w:r>
        <w:rPr>
          <w:rFonts w:ascii="Microsoft YaHei" w:hAnsi="Microsoft YaHei" w:eastAsia="Microsoft YaHei" w:cs="Microsoft YaHei"/>
          <w:spacing w:val="-1"/>
          <w:sz w:val="43"/>
          <w:szCs w:val="43"/>
        </w:rPr>
        <w:t>、环境空气</w:t>
      </w:r>
    </w:p>
    <w:p>
      <w:pPr>
        <w:spacing w:before="2" w:line="185" w:lineRule="auto"/>
        <w:ind w:left="3523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pacing w:val="9"/>
          <w:sz w:val="43"/>
          <w:szCs w:val="43"/>
        </w:rPr>
        <w:t>质量状况简报</w:t>
      </w:r>
    </w:p>
    <w:p>
      <w:pPr>
        <w:spacing w:line="316" w:lineRule="auto"/>
        <w:rPr>
          <w:rFonts w:ascii="Arial"/>
          <w:sz w:val="21"/>
        </w:rPr>
      </w:pPr>
    </w:p>
    <w:p>
      <w:pPr>
        <w:spacing w:line="316" w:lineRule="auto"/>
        <w:rPr>
          <w:rFonts w:ascii="Arial"/>
          <w:sz w:val="21"/>
        </w:rPr>
      </w:pPr>
    </w:p>
    <w:p>
      <w:pPr>
        <w:spacing w:before="101" w:line="214" w:lineRule="auto"/>
        <w:ind w:left="1078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8"/>
          <w:sz w:val="31"/>
          <w:szCs w:val="31"/>
        </w:rPr>
        <w:t>一、地表水环境质量状况</w:t>
      </w:r>
    </w:p>
    <w:p>
      <w:pPr>
        <w:spacing w:before="236" w:line="222" w:lineRule="auto"/>
        <w:ind w:left="907"/>
        <w:outlineLvl w:val="0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b/>
          <w:bCs/>
          <w:spacing w:val="3"/>
          <w:sz w:val="31"/>
          <w:szCs w:val="31"/>
        </w:rPr>
        <w:t>（</w:t>
      </w:r>
      <w:r>
        <w:rPr>
          <w:rFonts w:ascii="KaiTi" w:hAnsi="KaiTi" w:eastAsia="KaiTi" w:cs="KaiTi"/>
          <w:spacing w:val="-68"/>
          <w:sz w:val="31"/>
          <w:szCs w:val="31"/>
        </w:rPr>
        <w:t xml:space="preserve"> </w:t>
      </w:r>
      <w:r>
        <w:rPr>
          <w:rFonts w:ascii="KaiTi" w:hAnsi="KaiTi" w:eastAsia="KaiTi" w:cs="KaiTi"/>
          <w:b/>
          <w:bCs/>
          <w:spacing w:val="3"/>
          <w:sz w:val="31"/>
          <w:szCs w:val="31"/>
        </w:rPr>
        <w:t>一）全省地表水国、省考断面优良率情况</w:t>
      </w:r>
    </w:p>
    <w:p>
      <w:pPr>
        <w:pStyle w:val="2"/>
        <w:spacing w:before="231" w:line="357" w:lineRule="auto"/>
        <w:ind w:left="435" w:right="400" w:firstLine="502"/>
      </w:pPr>
      <w:r>
        <w:rPr>
          <w:spacing w:val="-2"/>
        </w:rPr>
        <w:t>“十五五”期间，全省共设有国考断面</w:t>
      </w:r>
      <w:r>
        <w:rPr>
          <w:spacing w:val="-26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151 </w:t>
      </w:r>
      <w:r>
        <w:rPr>
          <w:spacing w:val="-2"/>
        </w:rPr>
        <w:t>个、省考断面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120</w:t>
      </w:r>
      <w:r>
        <w:rPr>
          <w:spacing w:val="2"/>
        </w:rPr>
        <w:t>个。本月实际监测的</w:t>
      </w:r>
      <w:r>
        <w:rPr>
          <w:spacing w:val="-24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 xml:space="preserve">150 </w:t>
      </w:r>
      <w:r>
        <w:rPr>
          <w:spacing w:val="2"/>
        </w:rPr>
        <w:t>个国考断面中</w:t>
      </w:r>
      <w:r>
        <w:rPr>
          <w:rFonts w:ascii="Times New Roman" w:hAnsi="Times New Roman" w:eastAsia="Times New Roman" w:cs="Times New Roman"/>
          <w:spacing w:val="2"/>
          <w:position w:val="10"/>
          <w:sz w:val="21"/>
          <w:szCs w:val="21"/>
        </w:rPr>
        <w:t>1</w:t>
      </w:r>
      <w:r>
        <w:rPr>
          <w:spacing w:val="2"/>
        </w:rPr>
        <w:t>，</w:t>
      </w:r>
      <w:r>
        <w:rPr>
          <w:rFonts w:ascii="Times New Roman" w:hAnsi="Times New Roman" w:eastAsia="Times New Roman" w:cs="Times New Roman"/>
          <w:spacing w:val="2"/>
        </w:rPr>
        <w:t xml:space="preserve">144 </w:t>
      </w:r>
      <w:r>
        <w:rPr>
          <w:spacing w:val="2"/>
        </w:rPr>
        <w:t>个断面达到Ⅲ类及</w:t>
      </w:r>
      <w:r>
        <w:rPr>
          <w:spacing w:val="-5"/>
        </w:rPr>
        <w:t>以上，水质优良率</w:t>
      </w:r>
      <w:r>
        <w:rPr>
          <w:spacing w:val="-24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96%</w:t>
      </w:r>
      <w:r>
        <w:rPr>
          <w:spacing w:val="-5"/>
        </w:rPr>
        <w:t>。其中， Ⅰ</w:t>
      </w:r>
      <w:r>
        <w:rPr>
          <w:spacing w:val="-124"/>
        </w:rPr>
        <w:t xml:space="preserve"> </w:t>
      </w:r>
      <w:r>
        <w:rPr>
          <w:spacing w:val="-5"/>
        </w:rPr>
        <w:t>类断面</w:t>
      </w:r>
      <w:r>
        <w:rPr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32</w:t>
      </w:r>
      <w:r>
        <w:rPr>
          <w:rFonts w:ascii="Times New Roman" w:hAnsi="Times New Roman" w:eastAsia="Times New Roman" w:cs="Times New Roman"/>
          <w:spacing w:val="37"/>
        </w:rPr>
        <w:t xml:space="preserve"> </w:t>
      </w:r>
      <w:r>
        <w:rPr>
          <w:spacing w:val="-5"/>
        </w:rPr>
        <w:t>个，</w:t>
      </w:r>
      <w:r>
        <w:rPr>
          <w:spacing w:val="-79"/>
        </w:rPr>
        <w:t xml:space="preserve"> </w:t>
      </w:r>
      <w:r>
        <w:rPr>
          <w:spacing w:val="-5"/>
        </w:rPr>
        <w:t>占</w:t>
      </w:r>
      <w:r>
        <w:rPr>
          <w:spacing w:val="-92"/>
        </w:rPr>
        <w:t xml:space="preserve"> </w:t>
      </w:r>
      <w:r>
        <w:rPr>
          <w:spacing w:val="-5"/>
        </w:rPr>
        <w:t>比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21.3%</w:t>
      </w:r>
      <w:r>
        <w:rPr>
          <w:spacing w:val="-5"/>
        </w:rPr>
        <w:t>；</w:t>
      </w:r>
      <w:r>
        <w:t xml:space="preserve"> </w:t>
      </w:r>
      <w:r>
        <w:rPr>
          <w:spacing w:val="-4"/>
        </w:rPr>
        <w:t>Ⅱ类断面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74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rPr>
          <w:spacing w:val="-4"/>
        </w:rPr>
        <w:t>个，</w:t>
      </w:r>
      <w:r>
        <w:rPr>
          <w:spacing w:val="-82"/>
        </w:rPr>
        <w:t xml:space="preserve"> </w:t>
      </w:r>
      <w:r>
        <w:rPr>
          <w:spacing w:val="-4"/>
        </w:rPr>
        <w:t>占</w:t>
      </w:r>
      <w:r>
        <w:rPr>
          <w:spacing w:val="-92"/>
        </w:rPr>
        <w:t xml:space="preserve"> </w:t>
      </w:r>
      <w:r>
        <w:rPr>
          <w:spacing w:val="-4"/>
        </w:rPr>
        <w:t>比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49.3%</w:t>
      </w:r>
      <w:r>
        <w:rPr>
          <w:spacing w:val="-4"/>
        </w:rPr>
        <w:t>；</w:t>
      </w:r>
      <w:r>
        <w:rPr>
          <w:spacing w:val="-97"/>
        </w:rPr>
        <w:t xml:space="preserve"> </w:t>
      </w:r>
      <w:r>
        <w:rPr>
          <w:spacing w:val="-4"/>
        </w:rPr>
        <w:t>Ⅲ类断面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38 </w:t>
      </w:r>
      <w:r>
        <w:rPr>
          <w:spacing w:val="-4"/>
        </w:rPr>
        <w:t>个，</w:t>
      </w:r>
      <w:r>
        <w:rPr>
          <w:spacing w:val="-81"/>
        </w:rPr>
        <w:t xml:space="preserve"> </w:t>
      </w:r>
      <w:r>
        <w:rPr>
          <w:spacing w:val="-4"/>
        </w:rPr>
        <w:t>占比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25.3%</w:t>
      </w:r>
      <w:r>
        <w:rPr>
          <w:spacing w:val="-5"/>
        </w:rPr>
        <w:t>；</w:t>
      </w:r>
      <w:r>
        <w:rPr>
          <w:spacing w:val="-99"/>
        </w:rPr>
        <w:t xml:space="preserve"> </w:t>
      </w:r>
      <w:r>
        <w:rPr>
          <w:spacing w:val="-5"/>
        </w:rPr>
        <w:t>Ⅳ</w:t>
      </w:r>
      <w:r>
        <w:rPr>
          <w:spacing w:val="-3"/>
        </w:rPr>
        <w:t>类断面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4 </w:t>
      </w:r>
      <w:r>
        <w:rPr>
          <w:spacing w:val="-3"/>
        </w:rPr>
        <w:t>个，</w:t>
      </w:r>
      <w:r>
        <w:rPr>
          <w:spacing w:val="-79"/>
        </w:rPr>
        <w:t xml:space="preserve"> </w:t>
      </w:r>
      <w:r>
        <w:rPr>
          <w:spacing w:val="-3"/>
        </w:rPr>
        <w:t>占比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2.7%</w:t>
      </w:r>
      <w:r>
        <w:rPr>
          <w:spacing w:val="-3"/>
        </w:rPr>
        <w:t>；</w:t>
      </w:r>
      <w:r>
        <w:rPr>
          <w:spacing w:val="-86"/>
        </w:rPr>
        <w:t xml:space="preserve"> </w:t>
      </w:r>
      <w:r>
        <w:rPr>
          <w:spacing w:val="-3"/>
        </w:rPr>
        <w:t>Ⅴ类断面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2 </w:t>
      </w:r>
      <w:r>
        <w:rPr>
          <w:spacing w:val="-3"/>
        </w:rPr>
        <w:t>个，</w:t>
      </w:r>
      <w:r>
        <w:rPr>
          <w:spacing w:val="-81"/>
        </w:rPr>
        <w:t xml:space="preserve"> </w:t>
      </w:r>
      <w:r>
        <w:rPr>
          <w:spacing w:val="-3"/>
        </w:rPr>
        <w:t>占</w:t>
      </w:r>
      <w:r>
        <w:rPr>
          <w:spacing w:val="-93"/>
        </w:rPr>
        <w:t xml:space="preserve"> </w:t>
      </w:r>
      <w:r>
        <w:rPr>
          <w:spacing w:val="-3"/>
        </w:rPr>
        <w:t>比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1.3%</w:t>
      </w:r>
      <w:r>
        <w:rPr>
          <w:spacing w:val="-3"/>
        </w:rPr>
        <w:t>。本月实际</w:t>
      </w:r>
      <w:r>
        <w:rPr>
          <w:spacing w:val="2"/>
        </w:rPr>
        <w:t>监测的</w:t>
      </w:r>
      <w:r>
        <w:rPr>
          <w:spacing w:val="-24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 xml:space="preserve">110 </w:t>
      </w:r>
      <w:r>
        <w:rPr>
          <w:spacing w:val="2"/>
        </w:rPr>
        <w:t>个省考断面中</w:t>
      </w:r>
      <w:r>
        <w:rPr>
          <w:rFonts w:ascii="Times New Roman" w:hAnsi="Times New Roman" w:eastAsia="Times New Roman" w:cs="Times New Roman"/>
          <w:spacing w:val="2"/>
          <w:position w:val="10"/>
          <w:sz w:val="21"/>
          <w:szCs w:val="21"/>
        </w:rPr>
        <w:t>2</w:t>
      </w:r>
      <w:r>
        <w:rPr>
          <w:spacing w:val="2"/>
        </w:rPr>
        <w:t>，</w:t>
      </w:r>
      <w:r>
        <w:rPr>
          <w:rFonts w:ascii="Times New Roman" w:hAnsi="Times New Roman" w:eastAsia="Times New Roman" w:cs="Times New Roman"/>
          <w:spacing w:val="2"/>
        </w:rPr>
        <w:t xml:space="preserve">110 </w:t>
      </w:r>
      <w:r>
        <w:rPr>
          <w:spacing w:val="2"/>
        </w:rPr>
        <w:t>个断面达到Ⅲ类及以上，水质优</w:t>
      </w:r>
      <w:r>
        <w:rPr>
          <w:spacing w:val="-6"/>
        </w:rPr>
        <w:t xml:space="preserve">良率 </w:t>
      </w:r>
      <w:r>
        <w:rPr>
          <w:rFonts w:ascii="Times New Roman" w:hAnsi="Times New Roman" w:eastAsia="Times New Roman" w:cs="Times New Roman"/>
          <w:spacing w:val="-6"/>
        </w:rPr>
        <w:t>100%</w:t>
      </w:r>
      <w:r>
        <w:rPr>
          <w:spacing w:val="-6"/>
        </w:rPr>
        <w:t>。其中， Ⅰ</w:t>
      </w:r>
      <w:r>
        <w:rPr>
          <w:spacing w:val="-126"/>
        </w:rPr>
        <w:t xml:space="preserve"> </w:t>
      </w:r>
      <w:r>
        <w:rPr>
          <w:spacing w:val="-6"/>
        </w:rPr>
        <w:t>类断面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28</w:t>
      </w:r>
      <w:r>
        <w:rPr>
          <w:rFonts w:ascii="Times New Roman" w:hAnsi="Times New Roman" w:eastAsia="Times New Roman" w:cs="Times New Roman"/>
          <w:spacing w:val="49"/>
          <w:w w:val="101"/>
        </w:rPr>
        <w:t xml:space="preserve"> </w:t>
      </w:r>
      <w:r>
        <w:rPr>
          <w:spacing w:val="-6"/>
        </w:rPr>
        <w:t>个，</w:t>
      </w:r>
      <w:r>
        <w:rPr>
          <w:spacing w:val="-77"/>
        </w:rPr>
        <w:t xml:space="preserve"> </w:t>
      </w:r>
      <w:r>
        <w:rPr>
          <w:spacing w:val="-6"/>
        </w:rPr>
        <w:t>占比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25</w:t>
      </w:r>
      <w:r>
        <w:rPr>
          <w:rFonts w:ascii="Times New Roman" w:hAnsi="Times New Roman" w:eastAsia="Times New Roman" w:cs="Times New Roman"/>
          <w:spacing w:val="-7"/>
        </w:rPr>
        <w:t>.5%</w:t>
      </w:r>
      <w:r>
        <w:rPr>
          <w:spacing w:val="-7"/>
        </w:rPr>
        <w:t>；</w:t>
      </w:r>
      <w:r>
        <w:rPr>
          <w:spacing w:val="-55"/>
        </w:rPr>
        <w:t xml:space="preserve"> </w:t>
      </w:r>
      <w:r>
        <w:rPr>
          <w:spacing w:val="-7"/>
        </w:rPr>
        <w:t>Ⅱ类断面</w:t>
      </w:r>
      <w:r>
        <w:rPr>
          <w:spacing w:val="-30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60</w:t>
      </w:r>
      <w:r>
        <w:rPr>
          <w:spacing w:val="-6"/>
        </w:rPr>
        <w:t>个，</w:t>
      </w:r>
      <w:r>
        <w:rPr>
          <w:spacing w:val="-68"/>
        </w:rPr>
        <w:t xml:space="preserve"> </w:t>
      </w:r>
      <w:r>
        <w:rPr>
          <w:spacing w:val="-6"/>
        </w:rPr>
        <w:t>占</w:t>
      </w:r>
      <w:r>
        <w:rPr>
          <w:spacing w:val="-93"/>
        </w:rPr>
        <w:t xml:space="preserve"> </w:t>
      </w:r>
      <w:r>
        <w:rPr>
          <w:spacing w:val="-6"/>
        </w:rPr>
        <w:t>比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54.5%</w:t>
      </w:r>
      <w:r>
        <w:rPr>
          <w:spacing w:val="-6"/>
        </w:rPr>
        <w:t>；</w:t>
      </w:r>
      <w:r>
        <w:rPr>
          <w:spacing w:val="-92"/>
        </w:rPr>
        <w:t xml:space="preserve"> </w:t>
      </w:r>
      <w:r>
        <w:rPr>
          <w:spacing w:val="-6"/>
        </w:rPr>
        <w:t>Ⅲ类断面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22 </w:t>
      </w:r>
      <w:r>
        <w:rPr>
          <w:spacing w:val="-6"/>
        </w:rPr>
        <w:t>个，</w:t>
      </w:r>
      <w:r>
        <w:rPr>
          <w:spacing w:val="-76"/>
        </w:rPr>
        <w:t xml:space="preserve"> </w:t>
      </w:r>
      <w:r>
        <w:rPr>
          <w:spacing w:val="-6"/>
        </w:rPr>
        <w:t>占比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20%</w:t>
      </w:r>
      <w:r>
        <w:rPr>
          <w:spacing w:val="-6"/>
        </w:rPr>
        <w:t>。</w:t>
      </w:r>
    </w:p>
    <w:p>
      <w:pPr>
        <w:spacing w:before="1" w:line="217" w:lineRule="auto"/>
        <w:ind w:left="907"/>
        <w:outlineLvl w:val="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KaiTi" w:hAnsi="KaiTi" w:eastAsia="KaiTi" w:cs="KaiTi"/>
          <w:b/>
          <w:bCs/>
          <w:spacing w:val="3"/>
          <w:sz w:val="31"/>
          <w:szCs w:val="31"/>
        </w:rPr>
        <w:t>（</w:t>
      </w:r>
      <w:r>
        <w:rPr>
          <w:rFonts w:ascii="KaiTi" w:hAnsi="KaiTi" w:eastAsia="KaiTi" w:cs="KaiTi"/>
          <w:spacing w:val="-87"/>
          <w:sz w:val="31"/>
          <w:szCs w:val="31"/>
        </w:rPr>
        <w:t xml:space="preserve"> </w:t>
      </w:r>
      <w:r>
        <w:rPr>
          <w:rFonts w:ascii="KaiTi" w:hAnsi="KaiTi" w:eastAsia="KaiTi" w:cs="KaiTi"/>
          <w:b/>
          <w:bCs/>
          <w:spacing w:val="3"/>
          <w:sz w:val="31"/>
          <w:szCs w:val="31"/>
        </w:rPr>
        <w:t>二）主要河流、重点湖库水质状况</w:t>
      </w:r>
      <w:r>
        <w:rPr>
          <w:rFonts w:ascii="Times New Roman" w:hAnsi="Times New Roman" w:eastAsia="Times New Roman" w:cs="Times New Roman"/>
          <w:spacing w:val="3"/>
          <w:position w:val="11"/>
          <w:sz w:val="21"/>
          <w:szCs w:val="21"/>
        </w:rPr>
        <w:t>3</w:t>
      </w:r>
    </w:p>
    <w:p>
      <w:pPr>
        <w:pStyle w:val="2"/>
        <w:spacing w:before="233" w:line="358" w:lineRule="auto"/>
        <w:ind w:left="436" w:right="304" w:firstLine="638"/>
        <w:jc w:val="both"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1328420</wp:posOffset>
            </wp:positionV>
            <wp:extent cx="1828800" cy="889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8862" cy="9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按照实际监测的</w:t>
      </w:r>
      <w:r>
        <w:rPr>
          <w:rFonts w:ascii="Times New Roman" w:hAnsi="Times New Roman" w:eastAsia="Times New Roman" w:cs="Times New Roman"/>
        </w:rPr>
        <w:t xml:space="preserve">260 </w:t>
      </w:r>
      <w:r>
        <w:t>个国、省考断面统计，雅砻江</w:t>
      </w:r>
      <w:r>
        <w:rPr>
          <w:spacing w:val="-1"/>
        </w:rPr>
        <w:t>、安宁河、</w:t>
      </w:r>
      <w:r>
        <w:rPr>
          <w:spacing w:val="9"/>
        </w:rPr>
        <w:t>赤水河、岷江、大渡河、青衣江、涪江、琼江、渠江、黄河</w:t>
      </w:r>
      <w:r>
        <w:rPr>
          <w:spacing w:val="49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10</w:t>
      </w:r>
      <w:r>
        <w:rPr>
          <w:spacing w:val="6"/>
        </w:rPr>
        <w:t xml:space="preserve">条流域国、省考断面水质优良率均为 </w:t>
      </w:r>
      <w:r>
        <w:rPr>
          <w:rFonts w:ascii="Times New Roman" w:hAnsi="Times New Roman" w:eastAsia="Times New Roman" w:cs="Times New Roman"/>
          <w:spacing w:val="6"/>
        </w:rPr>
        <w:t>100%</w:t>
      </w:r>
      <w:r>
        <w:rPr>
          <w:spacing w:val="6"/>
        </w:rPr>
        <w:t>。长江（金沙</w:t>
      </w:r>
      <w:r>
        <w:rPr>
          <w:spacing w:val="5"/>
        </w:rPr>
        <w:t>江）、</w:t>
      </w:r>
    </w:p>
    <w:p>
      <w:pPr>
        <w:pStyle w:val="2"/>
        <w:spacing w:before="197" w:line="225" w:lineRule="auto"/>
        <w:ind w:left="434"/>
        <w:rPr>
          <w:sz w:val="17"/>
          <w:szCs w:val="17"/>
        </w:rPr>
      </w:pPr>
      <w:r>
        <w:rPr>
          <w:rFonts w:ascii="Times New Roman" w:hAnsi="Times New Roman" w:eastAsia="Times New Roman" w:cs="Times New Roman"/>
          <w:spacing w:val="7"/>
          <w:position w:val="5"/>
          <w:sz w:val="11"/>
          <w:szCs w:val="11"/>
        </w:rPr>
        <w:t xml:space="preserve">1   </w:t>
      </w:r>
      <w:r>
        <w:rPr>
          <w:spacing w:val="7"/>
          <w:sz w:val="17"/>
          <w:szCs w:val="17"/>
        </w:rPr>
        <w:t>备注：</w:t>
      </w:r>
      <w:r>
        <w:rPr>
          <w:spacing w:val="-50"/>
          <w:sz w:val="17"/>
          <w:szCs w:val="17"/>
        </w:rPr>
        <w:t xml:space="preserve"> </w:t>
      </w:r>
      <w:r>
        <w:rPr>
          <w:spacing w:val="7"/>
          <w:sz w:val="17"/>
          <w:szCs w:val="17"/>
        </w:rPr>
        <w:t>阿坝州黑河若尔盖断面国家本月未开展采样监测。</w:t>
      </w:r>
    </w:p>
    <w:p>
      <w:pPr>
        <w:pStyle w:val="2"/>
        <w:spacing w:before="26" w:line="225" w:lineRule="auto"/>
        <w:ind w:left="422"/>
        <w:rPr>
          <w:sz w:val="17"/>
          <w:szCs w:val="17"/>
        </w:rPr>
      </w:pPr>
      <w:r>
        <w:rPr>
          <w:rFonts w:ascii="Times New Roman" w:hAnsi="Times New Roman" w:eastAsia="Times New Roman" w:cs="Times New Roman"/>
          <w:spacing w:val="6"/>
          <w:position w:val="5"/>
          <w:sz w:val="11"/>
          <w:szCs w:val="11"/>
        </w:rPr>
        <w:t xml:space="preserve">2   </w:t>
      </w:r>
      <w:r>
        <w:rPr>
          <w:spacing w:val="6"/>
          <w:sz w:val="17"/>
          <w:szCs w:val="17"/>
        </w:rPr>
        <w:t>备注：</w:t>
      </w:r>
      <w:r>
        <w:rPr>
          <w:spacing w:val="-39"/>
          <w:sz w:val="17"/>
          <w:szCs w:val="17"/>
        </w:rPr>
        <w:t xml:space="preserve"> </w:t>
      </w:r>
      <w:r>
        <w:rPr>
          <w:spacing w:val="6"/>
          <w:sz w:val="17"/>
          <w:szCs w:val="17"/>
        </w:rPr>
        <w:t>因省级监测方案暂未下发，</w:t>
      </w:r>
      <w:r>
        <w:rPr>
          <w:spacing w:val="-44"/>
          <w:sz w:val="17"/>
          <w:szCs w:val="17"/>
        </w:rPr>
        <w:t xml:space="preserve"> </w:t>
      </w:r>
      <w:r>
        <w:rPr>
          <w:spacing w:val="6"/>
          <w:sz w:val="17"/>
          <w:szCs w:val="17"/>
        </w:rPr>
        <w:t>“十五五”</w:t>
      </w:r>
      <w:r>
        <w:rPr>
          <w:spacing w:val="-61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17"/>
          <w:szCs w:val="17"/>
        </w:rPr>
        <w:t xml:space="preserve">10 </w:t>
      </w:r>
      <w:r>
        <w:rPr>
          <w:spacing w:val="6"/>
          <w:sz w:val="17"/>
          <w:szCs w:val="17"/>
        </w:rPr>
        <w:t>个新增省考断面未开展采样监测。</w:t>
      </w:r>
    </w:p>
    <w:p>
      <w:pPr>
        <w:pStyle w:val="2"/>
        <w:spacing w:before="27"/>
        <w:ind w:left="438" w:right="401" w:hanging="13"/>
        <w:rPr>
          <w:sz w:val="17"/>
          <w:szCs w:val="17"/>
        </w:rPr>
      </w:pPr>
      <w:r>
        <w:rPr>
          <w:rFonts w:ascii="Times New Roman" w:hAnsi="Times New Roman" w:eastAsia="Times New Roman" w:cs="Times New Roman"/>
          <w:spacing w:val="7"/>
          <w:position w:val="5"/>
          <w:sz w:val="11"/>
          <w:szCs w:val="11"/>
        </w:rPr>
        <w:t xml:space="preserve">3   </w:t>
      </w:r>
      <w:r>
        <w:rPr>
          <w:spacing w:val="7"/>
          <w:sz w:val="17"/>
          <w:szCs w:val="17"/>
        </w:rPr>
        <w:t>备注：湖库营养状态依据水体中叶绿素</w:t>
      </w:r>
      <w:r>
        <w:rPr>
          <w:spacing w:val="-27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17"/>
          <w:szCs w:val="17"/>
        </w:rPr>
        <w:t>a</w:t>
      </w:r>
      <w:r>
        <w:rPr>
          <w:rFonts w:ascii="Times New Roman" w:hAnsi="Times New Roman" w:eastAsia="Times New Roman" w:cs="Times New Roman"/>
          <w:spacing w:val="-24"/>
          <w:sz w:val="17"/>
          <w:szCs w:val="17"/>
        </w:rPr>
        <w:t xml:space="preserve"> </w:t>
      </w:r>
      <w:r>
        <w:rPr>
          <w:spacing w:val="7"/>
          <w:sz w:val="17"/>
          <w:szCs w:val="17"/>
        </w:rPr>
        <w:t>、总磷、总氮、透明度、高锰酸盐指数</w:t>
      </w:r>
      <w:r>
        <w:rPr>
          <w:spacing w:val="-30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17"/>
          <w:szCs w:val="17"/>
        </w:rPr>
        <w:t xml:space="preserve">5 </w:t>
      </w:r>
      <w:r>
        <w:rPr>
          <w:spacing w:val="7"/>
          <w:sz w:val="17"/>
          <w:szCs w:val="17"/>
        </w:rPr>
        <w:t>项指标进行综合评价，分为贫营养、</w:t>
      </w:r>
      <w:r>
        <w:rPr>
          <w:spacing w:val="-42"/>
          <w:sz w:val="17"/>
          <w:szCs w:val="17"/>
        </w:rPr>
        <w:t xml:space="preserve"> </w:t>
      </w:r>
      <w:r>
        <w:rPr>
          <w:spacing w:val="7"/>
          <w:sz w:val="17"/>
          <w:szCs w:val="17"/>
        </w:rPr>
        <w:t>中营养、轻度富营养、</w:t>
      </w:r>
      <w:r>
        <w:rPr>
          <w:spacing w:val="-46"/>
          <w:sz w:val="17"/>
          <w:szCs w:val="17"/>
        </w:rPr>
        <w:t xml:space="preserve"> </w:t>
      </w:r>
      <w:r>
        <w:rPr>
          <w:spacing w:val="7"/>
          <w:sz w:val="17"/>
          <w:szCs w:val="17"/>
        </w:rPr>
        <w:t>中度富营养、重度富营养</w:t>
      </w:r>
      <w:r>
        <w:rPr>
          <w:spacing w:val="-30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17"/>
          <w:szCs w:val="17"/>
        </w:rPr>
        <w:t xml:space="preserve">5 </w:t>
      </w:r>
      <w:r>
        <w:rPr>
          <w:spacing w:val="7"/>
          <w:sz w:val="17"/>
          <w:szCs w:val="17"/>
        </w:rPr>
        <w:t>个等级，等级越低代表水华暴发风险越低。</w:t>
      </w:r>
    </w:p>
    <w:p>
      <w:pPr>
        <w:spacing w:before="39" w:line="111" w:lineRule="exact"/>
      </w:pPr>
    </w:p>
    <w:p>
      <w:pPr>
        <w:spacing w:line="111" w:lineRule="exact"/>
        <w:sectPr>
          <w:pgSz w:w="11906" w:h="16837"/>
          <w:pgMar w:top="1431" w:right="1071" w:bottom="0" w:left="1166" w:header="0" w:footer="0" w:gutter="0"/>
          <w:cols w:space="720" w:num="1"/>
        </w:sect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pStyle w:val="2"/>
        <w:spacing w:before="101" w:line="223" w:lineRule="auto"/>
        <w:ind w:left="33"/>
      </w:pPr>
      <w:r>
        <w:rPr>
          <w:spacing w:val="3"/>
        </w:rPr>
        <w:t>沱江、嘉陵江水质优良率分别为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97.7%</w:t>
      </w:r>
      <w:r>
        <w:rPr>
          <w:rFonts w:ascii="Times New Roman" w:hAnsi="Times New Roman" w:eastAsia="Times New Roman" w:cs="Times New Roman"/>
          <w:spacing w:val="-37"/>
        </w:rPr>
        <w:t xml:space="preserve"> </w:t>
      </w:r>
      <w:r>
        <w:rPr>
          <w:spacing w:val="3"/>
        </w:rPr>
        <w:t>、</w:t>
      </w:r>
      <w:r>
        <w:rPr>
          <w:rFonts w:ascii="Times New Roman" w:hAnsi="Times New Roman" w:eastAsia="Times New Roman" w:cs="Times New Roman"/>
          <w:spacing w:val="3"/>
        </w:rPr>
        <w:t>92.2%</w:t>
      </w:r>
      <w:r>
        <w:rPr>
          <w:rFonts w:ascii="Times New Roman" w:hAnsi="Times New Roman" w:eastAsia="Times New Roman" w:cs="Times New Roman"/>
          <w:spacing w:val="-37"/>
        </w:rPr>
        <w:t xml:space="preserve"> </w:t>
      </w:r>
      <w:r>
        <w:rPr>
          <w:spacing w:val="3"/>
        </w:rPr>
        <w:t>、</w:t>
      </w:r>
      <w:r>
        <w:rPr>
          <w:rFonts w:ascii="Times New Roman" w:hAnsi="Times New Roman" w:eastAsia="Times New Roman" w:cs="Times New Roman"/>
          <w:spacing w:val="3"/>
        </w:rPr>
        <w:t>95.8%</w:t>
      </w:r>
      <w:r>
        <w:rPr>
          <w:spacing w:val="3"/>
        </w:rPr>
        <w:t>。</w:t>
      </w:r>
    </w:p>
    <w:p>
      <w:pPr>
        <w:pStyle w:val="2"/>
        <w:spacing w:before="227" w:line="357" w:lineRule="auto"/>
        <w:ind w:left="27" w:right="90" w:firstLine="638"/>
        <w:jc w:val="both"/>
      </w:pPr>
      <w:r>
        <w:rPr>
          <w:spacing w:val="4"/>
        </w:rPr>
        <w:t>邛海、泸沽湖、紫坪铺水库、二滩水库、白龙湖、瀑布沟为</w:t>
      </w:r>
      <w:r>
        <w:rPr>
          <w:spacing w:val="5"/>
        </w:rPr>
        <w:t>贫营养，鲁班水库、三岔湖、双溪水库、升钟水库、沉抗水</w:t>
      </w:r>
      <w:r>
        <w:rPr>
          <w:spacing w:val="4"/>
        </w:rPr>
        <w:t>库为</w:t>
      </w:r>
      <w:r>
        <w:t>中营养。</w:t>
      </w:r>
    </w:p>
    <w:p>
      <w:pPr>
        <w:spacing w:line="223" w:lineRule="auto"/>
        <w:ind w:left="488"/>
        <w:outlineLvl w:val="0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b/>
          <w:bCs/>
          <w:spacing w:val="-2"/>
          <w:sz w:val="31"/>
          <w:szCs w:val="31"/>
        </w:rPr>
        <w:t>（</w:t>
      </w:r>
      <w:r>
        <w:rPr>
          <w:rFonts w:ascii="KaiTi" w:hAnsi="KaiTi" w:eastAsia="KaiTi" w:cs="KaiTi"/>
          <w:spacing w:val="-75"/>
          <w:sz w:val="31"/>
          <w:szCs w:val="31"/>
        </w:rPr>
        <w:t xml:space="preserve"> </w:t>
      </w:r>
      <w:r>
        <w:rPr>
          <w:rFonts w:ascii="KaiTi" w:hAnsi="KaiTi" w:eastAsia="KaiTi" w:cs="KaiTi"/>
          <w:b/>
          <w:bCs/>
          <w:spacing w:val="-2"/>
          <w:sz w:val="31"/>
          <w:szCs w:val="31"/>
        </w:rPr>
        <w:t>三）市（</w:t>
      </w:r>
      <w:r>
        <w:rPr>
          <w:rFonts w:ascii="KaiTi" w:hAnsi="KaiTi" w:eastAsia="KaiTi" w:cs="KaiTi"/>
          <w:spacing w:val="-63"/>
          <w:sz w:val="31"/>
          <w:szCs w:val="31"/>
        </w:rPr>
        <w:t xml:space="preserve"> </w:t>
      </w:r>
      <w:r>
        <w:rPr>
          <w:rFonts w:ascii="KaiTi" w:hAnsi="KaiTi" w:eastAsia="KaiTi" w:cs="KaiTi"/>
          <w:b/>
          <w:bCs/>
          <w:spacing w:val="-2"/>
          <w:sz w:val="31"/>
          <w:szCs w:val="31"/>
        </w:rPr>
        <w:t>州）水环境质量考核指标情况</w:t>
      </w:r>
    </w:p>
    <w:p>
      <w:pPr>
        <w:pStyle w:val="2"/>
        <w:spacing w:before="228" w:line="357" w:lineRule="auto"/>
        <w:ind w:right="5" w:firstLine="655"/>
      </w:pPr>
      <w:r>
        <w:rPr>
          <w:spacing w:val="7"/>
        </w:rPr>
        <w:t>按照实际监测的</w:t>
      </w:r>
      <w:r>
        <w:rPr>
          <w:rFonts w:ascii="Times New Roman" w:hAnsi="Times New Roman" w:eastAsia="Times New Roman" w:cs="Times New Roman"/>
          <w:spacing w:val="7"/>
        </w:rPr>
        <w:t xml:space="preserve">260 </w:t>
      </w:r>
      <w:r>
        <w:rPr>
          <w:spacing w:val="7"/>
        </w:rPr>
        <w:t>个国、省考断面统计，泸州、德阳、广</w:t>
      </w:r>
      <w:r>
        <w:rPr>
          <w:spacing w:val="-1"/>
        </w:rPr>
        <w:t>安、资阳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4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-1"/>
        </w:rPr>
        <w:t>市水质优良率分别为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91.7%</w:t>
      </w:r>
      <w:r>
        <w:rPr>
          <w:spacing w:val="-1"/>
        </w:rPr>
        <w:t>、</w:t>
      </w:r>
      <w:r>
        <w:rPr>
          <w:rFonts w:ascii="Times New Roman" w:hAnsi="Times New Roman" w:eastAsia="Times New Roman" w:cs="Times New Roman"/>
          <w:spacing w:val="-1"/>
        </w:rPr>
        <w:t>76.9%</w:t>
      </w:r>
      <w:r>
        <w:rPr>
          <w:rFonts w:ascii="Times New Roman" w:hAnsi="Times New Roman" w:eastAsia="Times New Roman" w:cs="Times New Roman"/>
          <w:spacing w:val="-37"/>
        </w:rPr>
        <w:t xml:space="preserve"> </w:t>
      </w:r>
      <w:r>
        <w:rPr>
          <w:spacing w:val="-1"/>
        </w:rPr>
        <w:t>、</w:t>
      </w:r>
      <w:r>
        <w:rPr>
          <w:rFonts w:ascii="Times New Roman" w:hAnsi="Times New Roman" w:eastAsia="Times New Roman" w:cs="Times New Roman"/>
          <w:spacing w:val="-1"/>
        </w:rPr>
        <w:t>88.9%</w:t>
      </w:r>
      <w:r>
        <w:rPr>
          <w:spacing w:val="-1"/>
        </w:rPr>
        <w:t>、</w:t>
      </w:r>
      <w:r>
        <w:rPr>
          <w:rFonts w:ascii="Times New Roman" w:hAnsi="Times New Roman" w:eastAsia="Times New Roman" w:cs="Times New Roman"/>
          <w:spacing w:val="-1"/>
        </w:rPr>
        <w:t>93.3%</w:t>
      </w:r>
      <w:r>
        <w:rPr>
          <w:spacing w:val="-1"/>
        </w:rPr>
        <w:t>，</w:t>
      </w:r>
      <w:r>
        <w:rPr>
          <w:spacing w:val="-2"/>
        </w:rPr>
        <w:t>未达优良断面分别为泸州市水笛滩 (</w:t>
      </w:r>
      <w:r>
        <w:rPr>
          <w:spacing w:val="-29"/>
        </w:rPr>
        <w:t xml:space="preserve"> </w:t>
      </w:r>
      <w:r>
        <w:rPr>
          <w:spacing w:val="-2"/>
        </w:rPr>
        <w:t>Ⅳ类</w:t>
      </w:r>
      <w:r>
        <w:rPr>
          <w:spacing w:val="-15"/>
        </w:rPr>
        <w:t>），</w:t>
      </w:r>
      <w:r>
        <w:rPr>
          <w:spacing w:val="-2"/>
        </w:rPr>
        <w:t>德阳市</w:t>
      </w:r>
      <w:r>
        <w:rPr>
          <w:spacing w:val="-3"/>
        </w:rPr>
        <w:t>白云村 (</w:t>
      </w:r>
      <w:r>
        <w:rPr>
          <w:spacing w:val="-30"/>
        </w:rPr>
        <w:t xml:space="preserve"> </w:t>
      </w:r>
      <w:r>
        <w:rPr>
          <w:spacing w:val="-3"/>
        </w:rPr>
        <w:t>Ⅳ</w:t>
      </w:r>
      <w:r>
        <w:rPr>
          <w:spacing w:val="-5"/>
        </w:rPr>
        <w:t>类</w:t>
      </w:r>
      <w:r>
        <w:rPr>
          <w:spacing w:val="-64"/>
        </w:rPr>
        <w:t xml:space="preserve"> </w:t>
      </w:r>
      <w:r>
        <w:rPr>
          <w:spacing w:val="-5"/>
        </w:rPr>
        <w:t>）、绵竹红豆村 (</w:t>
      </w:r>
      <w:r>
        <w:rPr>
          <w:spacing w:val="-30"/>
        </w:rPr>
        <w:t xml:space="preserve"> </w:t>
      </w:r>
      <w:r>
        <w:rPr>
          <w:spacing w:val="-5"/>
        </w:rPr>
        <w:t>Ⅳ类）、</w:t>
      </w:r>
      <w:r>
        <w:rPr>
          <w:rFonts w:ascii="Times New Roman" w:hAnsi="Times New Roman" w:eastAsia="Times New Roman" w:cs="Times New Roman"/>
          <w:spacing w:val="-5"/>
        </w:rPr>
        <w:t>201</w:t>
      </w:r>
      <w:r>
        <w:rPr>
          <w:rFonts w:ascii="Times New Roman" w:hAnsi="Times New Roman" w:eastAsia="Times New Roman" w:cs="Times New Roman"/>
          <w:spacing w:val="54"/>
        </w:rPr>
        <w:t xml:space="preserve"> </w:t>
      </w:r>
      <w:r>
        <w:rPr>
          <w:spacing w:val="-5"/>
        </w:rPr>
        <w:t xml:space="preserve">医院 </w:t>
      </w:r>
      <w:r>
        <w:rPr>
          <w:spacing w:val="-6"/>
        </w:rPr>
        <w:t>( Ⅳ类</w:t>
      </w:r>
      <w:r>
        <w:rPr>
          <w:spacing w:val="-11"/>
        </w:rPr>
        <w:t>），</w:t>
      </w:r>
      <w:r>
        <w:rPr>
          <w:spacing w:val="-6"/>
        </w:rPr>
        <w:t>广安市郭家坝</w:t>
      </w:r>
      <w:r>
        <w:t>( Ⅴ类</w:t>
      </w:r>
      <w:r>
        <w:rPr>
          <w:spacing w:val="4"/>
        </w:rPr>
        <w:t>），</w:t>
      </w:r>
      <w:r>
        <w:t>资阳市资安桥 ( Ⅴ类）。成都、眉山、乐山、</w:t>
      </w:r>
      <w:r>
        <w:rPr>
          <w:spacing w:val="-1"/>
        </w:rPr>
        <w:t>宜宾岷</w:t>
      </w:r>
      <w:r>
        <w:rPr>
          <w:spacing w:val="8"/>
        </w:rPr>
        <w:t>江</w:t>
      </w:r>
      <w:r>
        <w:rPr>
          <w:spacing w:val="-79"/>
        </w:rPr>
        <w:t xml:space="preserve"> </w:t>
      </w:r>
      <w:r>
        <w:rPr>
          <w:spacing w:val="8"/>
        </w:rPr>
        <w:t>干流</w:t>
      </w:r>
      <w:r>
        <w:rPr>
          <w:spacing w:val="-56"/>
        </w:rPr>
        <w:t xml:space="preserve"> </w:t>
      </w:r>
      <w:r>
        <w:rPr>
          <w:spacing w:val="8"/>
        </w:rPr>
        <w:t>出境</w:t>
      </w:r>
      <w:r>
        <w:rPr>
          <w:spacing w:val="-81"/>
        </w:rPr>
        <w:t xml:space="preserve"> </w:t>
      </w:r>
      <w:r>
        <w:rPr>
          <w:spacing w:val="8"/>
        </w:rPr>
        <w:t>断</w:t>
      </w:r>
      <w:r>
        <w:rPr>
          <w:spacing w:val="-86"/>
        </w:rPr>
        <w:t xml:space="preserve"> </w:t>
      </w:r>
      <w:r>
        <w:rPr>
          <w:spacing w:val="8"/>
        </w:rPr>
        <w:t>面</w:t>
      </w:r>
      <w:r>
        <w:rPr>
          <w:spacing w:val="-76"/>
        </w:rPr>
        <w:t xml:space="preserve"> </w:t>
      </w:r>
      <w:r>
        <w:rPr>
          <w:spacing w:val="8"/>
        </w:rPr>
        <w:t>总磷</w:t>
      </w:r>
      <w:r>
        <w:rPr>
          <w:spacing w:val="-81"/>
        </w:rPr>
        <w:t xml:space="preserve"> </w:t>
      </w:r>
      <w:r>
        <w:rPr>
          <w:spacing w:val="8"/>
        </w:rPr>
        <w:t>浓度分别为</w:t>
      </w:r>
      <w:r>
        <w:rPr>
          <w:spacing w:val="65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0.084</w:t>
      </w:r>
      <w:r>
        <w:rPr>
          <w:rFonts w:ascii="Times New Roman" w:hAnsi="Times New Roman" w:eastAsia="Times New Roman" w:cs="Times New Roman"/>
        </w:rPr>
        <w:t>mg</w:t>
      </w:r>
      <w:r>
        <w:rPr>
          <w:rFonts w:ascii="Times New Roman" w:hAnsi="Times New Roman" w:eastAsia="Times New Roman" w:cs="Times New Roman"/>
          <w:spacing w:val="8"/>
        </w:rPr>
        <w:t xml:space="preserve">/L </w:t>
      </w:r>
      <w:r>
        <w:rPr>
          <w:spacing w:val="8"/>
        </w:rPr>
        <w:t>、</w:t>
      </w:r>
      <w:r>
        <w:rPr>
          <w:spacing w:val="-84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0.061</w:t>
      </w:r>
      <w:r>
        <w:rPr>
          <w:rFonts w:ascii="Times New Roman" w:hAnsi="Times New Roman" w:eastAsia="Times New Roman" w:cs="Times New Roman"/>
        </w:rPr>
        <w:t>mg</w:t>
      </w:r>
      <w:r>
        <w:rPr>
          <w:rFonts w:ascii="Times New Roman" w:hAnsi="Times New Roman" w:eastAsia="Times New Roman" w:cs="Times New Roman"/>
          <w:spacing w:val="8"/>
        </w:rPr>
        <w:t xml:space="preserve">/L </w:t>
      </w:r>
      <w:r>
        <w:rPr>
          <w:spacing w:val="8"/>
        </w:rPr>
        <w:t>、</w:t>
      </w:r>
      <w:r>
        <w:t xml:space="preserve"> </w:t>
      </w:r>
      <w:r>
        <w:rPr>
          <w:rFonts w:ascii="Times New Roman" w:hAnsi="Times New Roman" w:eastAsia="Times New Roman" w:cs="Times New Roman"/>
          <w:spacing w:val="6"/>
        </w:rPr>
        <w:t>0.070</w:t>
      </w:r>
      <w:r>
        <w:rPr>
          <w:rFonts w:ascii="Times New Roman" w:hAnsi="Times New Roman" w:eastAsia="Times New Roman" w:cs="Times New Roman"/>
        </w:rPr>
        <w:t>mg</w:t>
      </w:r>
      <w:r>
        <w:rPr>
          <w:rFonts w:ascii="Times New Roman" w:hAnsi="Times New Roman" w:eastAsia="Times New Roman" w:cs="Times New Roman"/>
          <w:spacing w:val="6"/>
        </w:rPr>
        <w:t>/L</w:t>
      </w:r>
      <w:r>
        <w:rPr>
          <w:rFonts w:ascii="Times New Roman" w:hAnsi="Times New Roman" w:eastAsia="Times New Roman" w:cs="Times New Roman"/>
          <w:spacing w:val="-32"/>
        </w:rPr>
        <w:t xml:space="preserve"> </w:t>
      </w:r>
      <w:r>
        <w:rPr>
          <w:spacing w:val="6"/>
        </w:rPr>
        <w:t>、</w:t>
      </w:r>
      <w:r>
        <w:rPr>
          <w:rFonts w:ascii="Times New Roman" w:hAnsi="Times New Roman" w:eastAsia="Times New Roman" w:cs="Times New Roman"/>
          <w:spacing w:val="6"/>
        </w:rPr>
        <w:t>0.076</w:t>
      </w:r>
      <w:r>
        <w:rPr>
          <w:rFonts w:ascii="Times New Roman" w:hAnsi="Times New Roman" w:eastAsia="Times New Roman" w:cs="Times New Roman"/>
        </w:rPr>
        <w:t>mg</w:t>
      </w:r>
      <w:r>
        <w:rPr>
          <w:rFonts w:ascii="Times New Roman" w:hAnsi="Times New Roman" w:eastAsia="Times New Roman" w:cs="Times New Roman"/>
          <w:spacing w:val="6"/>
        </w:rPr>
        <w:t>/L</w:t>
      </w:r>
      <w:r>
        <w:rPr>
          <w:spacing w:val="6"/>
        </w:rPr>
        <w:t>，达到Ⅱ类水质目标要求。</w:t>
      </w:r>
    </w:p>
    <w:p>
      <w:pPr>
        <w:spacing w:before="5" w:line="214" w:lineRule="auto"/>
        <w:ind w:left="659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8"/>
          <w:sz w:val="31"/>
          <w:szCs w:val="31"/>
        </w:rPr>
        <w:t>二、环境空气质量状况</w:t>
      </w:r>
    </w:p>
    <w:p>
      <w:pPr>
        <w:spacing w:before="236" w:line="223" w:lineRule="auto"/>
        <w:ind w:left="488"/>
        <w:outlineLvl w:val="0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b/>
          <w:bCs/>
          <w:spacing w:val="3"/>
          <w:sz w:val="31"/>
          <w:szCs w:val="31"/>
        </w:rPr>
        <w:t>（</w:t>
      </w:r>
      <w:r>
        <w:rPr>
          <w:rFonts w:ascii="KaiTi" w:hAnsi="KaiTi" w:eastAsia="KaiTi" w:cs="KaiTi"/>
          <w:spacing w:val="-78"/>
          <w:sz w:val="31"/>
          <w:szCs w:val="31"/>
        </w:rPr>
        <w:t xml:space="preserve"> </w:t>
      </w:r>
      <w:r>
        <w:rPr>
          <w:rFonts w:ascii="KaiTi" w:hAnsi="KaiTi" w:eastAsia="KaiTi" w:cs="KaiTi"/>
          <w:b/>
          <w:bCs/>
          <w:spacing w:val="3"/>
          <w:sz w:val="31"/>
          <w:szCs w:val="31"/>
        </w:rPr>
        <w:t>一）全省环境空气质量考核指标情况</w:t>
      </w:r>
    </w:p>
    <w:p>
      <w:pPr>
        <w:pStyle w:val="2"/>
        <w:spacing w:before="209" w:line="346" w:lineRule="auto"/>
        <w:ind w:left="13" w:firstLine="639"/>
        <w:jc w:val="both"/>
      </w:pPr>
      <w:r>
        <w:rPr>
          <w:spacing w:val="-2"/>
        </w:rPr>
        <w:t>全省</w:t>
      </w:r>
      <w:r>
        <w:rPr>
          <w:spacing w:val="-77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PM</w:t>
      </w:r>
      <w:r>
        <w:rPr>
          <w:rFonts w:ascii="Times New Roman" w:hAnsi="Times New Roman" w:eastAsia="Times New Roman" w:cs="Times New Roman"/>
          <w:spacing w:val="-2"/>
          <w:position w:val="-3"/>
          <w:sz w:val="21"/>
          <w:szCs w:val="21"/>
        </w:rPr>
        <w:t>2.5</w:t>
      </w:r>
      <w:r>
        <w:rPr>
          <w:rFonts w:ascii="Times New Roman" w:hAnsi="Times New Roman" w:eastAsia="Times New Roman" w:cs="Times New Roman"/>
          <w:spacing w:val="15"/>
          <w:w w:val="101"/>
          <w:position w:val="-3"/>
          <w:sz w:val="21"/>
          <w:szCs w:val="21"/>
        </w:rPr>
        <w:t xml:space="preserve"> </w:t>
      </w:r>
      <w:r>
        <w:rPr>
          <w:spacing w:val="-2"/>
        </w:rPr>
        <w:t>平均浓度为</w:t>
      </w:r>
      <w:r>
        <w:rPr>
          <w:spacing w:val="-70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55.4 </w:t>
      </w:r>
      <w:r>
        <w:rPr>
          <w:spacing w:val="-2"/>
        </w:rPr>
        <w:t>微克每立</w:t>
      </w:r>
      <w:r>
        <w:rPr>
          <w:spacing w:val="-3"/>
        </w:rPr>
        <w:t>方米，同比下降</w:t>
      </w:r>
      <w:r>
        <w:rPr>
          <w:spacing w:val="-44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12.9%</w:t>
      </w:r>
      <w:r>
        <w:rPr>
          <w:spacing w:val="-3"/>
        </w:rPr>
        <w:t>。</w:t>
      </w:r>
      <w:r>
        <w:rPr>
          <w:spacing w:val="7"/>
        </w:rPr>
        <w:t>优良天数率为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74.3%</w:t>
      </w:r>
      <w:r>
        <w:rPr>
          <w:spacing w:val="7"/>
        </w:rPr>
        <w:t>，同比增加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 xml:space="preserve">5 </w:t>
      </w:r>
      <w:r>
        <w:rPr>
          <w:spacing w:val="7"/>
        </w:rPr>
        <w:t>个百分点。重污染天数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3</w:t>
      </w:r>
      <w:r>
        <w:rPr>
          <w:rFonts w:ascii="Times New Roman" w:hAnsi="Times New Roman" w:eastAsia="Times New Roman" w:cs="Times New Roman"/>
          <w:spacing w:val="24"/>
          <w:w w:val="101"/>
        </w:rPr>
        <w:t xml:space="preserve"> </w:t>
      </w:r>
      <w:r>
        <w:rPr>
          <w:spacing w:val="7"/>
        </w:rPr>
        <w:t>天，</w:t>
      </w:r>
      <w:r>
        <w:rPr>
          <w:spacing w:val="-2"/>
        </w:rPr>
        <w:t>同比减少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18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-2"/>
        </w:rPr>
        <w:t>天。</w:t>
      </w:r>
    </w:p>
    <w:p>
      <w:pPr>
        <w:spacing w:before="13" w:line="221" w:lineRule="auto"/>
        <w:ind w:left="488"/>
        <w:outlineLvl w:val="0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b/>
          <w:bCs/>
          <w:sz w:val="31"/>
          <w:szCs w:val="31"/>
        </w:rPr>
        <w:t>（</w:t>
      </w:r>
      <w:r>
        <w:rPr>
          <w:rFonts w:ascii="KaiTi" w:hAnsi="KaiTi" w:eastAsia="KaiTi" w:cs="KaiTi"/>
          <w:spacing w:val="-81"/>
          <w:sz w:val="31"/>
          <w:szCs w:val="31"/>
        </w:rPr>
        <w:t xml:space="preserve"> </w:t>
      </w:r>
      <w:r>
        <w:rPr>
          <w:rFonts w:ascii="KaiTi" w:hAnsi="KaiTi" w:eastAsia="KaiTi" w:cs="KaiTi"/>
          <w:b/>
          <w:bCs/>
          <w:sz w:val="31"/>
          <w:szCs w:val="31"/>
        </w:rPr>
        <w:t>二）</w:t>
      </w:r>
      <w:r>
        <w:rPr>
          <w:rFonts w:ascii="Times New Roman" w:hAnsi="Times New Roman" w:eastAsia="Times New Roman" w:cs="Times New Roman"/>
          <w:b/>
          <w:bCs/>
          <w:sz w:val="31"/>
          <w:szCs w:val="31"/>
        </w:rPr>
        <w:t xml:space="preserve">21 </w:t>
      </w:r>
      <w:r>
        <w:rPr>
          <w:rFonts w:ascii="KaiTi" w:hAnsi="KaiTi" w:eastAsia="KaiTi" w:cs="KaiTi"/>
          <w:b/>
          <w:bCs/>
          <w:sz w:val="31"/>
          <w:szCs w:val="31"/>
        </w:rPr>
        <w:t>个市（</w:t>
      </w:r>
      <w:r>
        <w:rPr>
          <w:rFonts w:ascii="KaiTi" w:hAnsi="KaiTi" w:eastAsia="KaiTi" w:cs="KaiTi"/>
          <w:spacing w:val="-63"/>
          <w:sz w:val="31"/>
          <w:szCs w:val="31"/>
        </w:rPr>
        <w:t xml:space="preserve"> </w:t>
      </w:r>
      <w:r>
        <w:rPr>
          <w:rFonts w:ascii="KaiTi" w:hAnsi="KaiTi" w:eastAsia="KaiTi" w:cs="KaiTi"/>
          <w:b/>
          <w:bCs/>
          <w:sz w:val="31"/>
          <w:szCs w:val="31"/>
        </w:rPr>
        <w:t>州）环境空气质量考核指标情况</w:t>
      </w:r>
    </w:p>
    <w:p>
      <w:pPr>
        <w:pStyle w:val="2"/>
        <w:spacing w:before="212" w:line="339" w:lineRule="auto"/>
        <w:ind w:left="16" w:right="93" w:firstLine="631"/>
      </w:pPr>
      <w:r>
        <w:rPr>
          <w:rFonts w:ascii="Times New Roman" w:hAnsi="Times New Roman" w:eastAsia="Times New Roman" w:cs="Times New Roman"/>
        </w:rPr>
        <w:t>PM</w:t>
      </w:r>
      <w:r>
        <w:rPr>
          <w:rFonts w:ascii="Times New Roman" w:hAnsi="Times New Roman" w:eastAsia="Times New Roman" w:cs="Times New Roman"/>
          <w:spacing w:val="5"/>
          <w:position w:val="-3"/>
          <w:sz w:val="21"/>
          <w:szCs w:val="21"/>
        </w:rPr>
        <w:t>2.5</w:t>
      </w:r>
      <w:r>
        <w:rPr>
          <w:rFonts w:ascii="Times New Roman" w:hAnsi="Times New Roman" w:eastAsia="Times New Roman" w:cs="Times New Roman"/>
          <w:spacing w:val="19"/>
          <w:position w:val="-3"/>
          <w:sz w:val="21"/>
          <w:szCs w:val="21"/>
        </w:rPr>
        <w:t xml:space="preserve">  </w:t>
      </w:r>
      <w:r>
        <w:rPr>
          <w:spacing w:val="5"/>
        </w:rPr>
        <w:t>浓度改善：</w:t>
      </w:r>
      <w:r>
        <w:rPr>
          <w:spacing w:val="-74"/>
        </w:rPr>
        <w:t xml:space="preserve"> </w:t>
      </w:r>
      <w:r>
        <w:rPr>
          <w:spacing w:val="5"/>
        </w:rPr>
        <w:t>巴中市、甘孜州、广安市改善较大，同比</w:t>
      </w:r>
      <w:r>
        <w:rPr>
          <w:spacing w:val="2"/>
        </w:rPr>
        <w:t>分别下降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24.7%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spacing w:val="2"/>
        </w:rPr>
        <w:t>、</w:t>
      </w:r>
      <w:r>
        <w:rPr>
          <w:rFonts w:ascii="Times New Roman" w:hAnsi="Times New Roman" w:eastAsia="Times New Roman" w:cs="Times New Roman"/>
          <w:spacing w:val="2"/>
        </w:rPr>
        <w:t>23.8%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2"/>
        </w:rPr>
        <w:t>、</w:t>
      </w:r>
      <w:r>
        <w:rPr>
          <w:rFonts w:ascii="Times New Roman" w:hAnsi="Times New Roman" w:eastAsia="Times New Roman" w:cs="Times New Roman"/>
          <w:spacing w:val="2"/>
        </w:rPr>
        <w:t>21.</w:t>
      </w:r>
      <w:r>
        <w:rPr>
          <w:rFonts w:ascii="Times New Roman" w:hAnsi="Times New Roman" w:eastAsia="Times New Roman" w:cs="Times New Roman"/>
          <w:spacing w:val="1"/>
        </w:rPr>
        <w:t>8%</w:t>
      </w:r>
      <w:r>
        <w:rPr>
          <w:spacing w:val="1"/>
        </w:rPr>
        <w:t>。</w:t>
      </w:r>
    </w:p>
    <w:p>
      <w:pPr>
        <w:pStyle w:val="2"/>
        <w:spacing w:before="3" w:line="329" w:lineRule="auto"/>
        <w:ind w:left="61" w:right="92" w:firstLine="586"/>
      </w:pPr>
      <w:r>
        <w:rPr>
          <w:rFonts w:ascii="Times New Roman" w:hAnsi="Times New Roman" w:eastAsia="Times New Roman" w:cs="Times New Roman"/>
        </w:rPr>
        <w:t>PM</w:t>
      </w:r>
      <w:r>
        <w:rPr>
          <w:rFonts w:ascii="Times New Roman" w:hAnsi="Times New Roman" w:eastAsia="Times New Roman" w:cs="Times New Roman"/>
          <w:spacing w:val="9"/>
          <w:position w:val="-3"/>
          <w:sz w:val="21"/>
          <w:szCs w:val="21"/>
        </w:rPr>
        <w:t xml:space="preserve">2.5  </w:t>
      </w:r>
      <w:r>
        <w:rPr>
          <w:spacing w:val="9"/>
        </w:rPr>
        <w:t>浓度反弹：凉山州、攀枝花市、阿坝州反弹较大，同</w:t>
      </w:r>
      <w:r>
        <w:rPr>
          <w:spacing w:val="-1"/>
        </w:rPr>
        <w:t>比分别上升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27.7%</w:t>
      </w:r>
      <w:r>
        <w:rPr>
          <w:rFonts w:ascii="Times New Roman" w:hAnsi="Times New Roman" w:eastAsia="Times New Roman" w:cs="Times New Roman"/>
          <w:spacing w:val="-37"/>
        </w:rPr>
        <w:t xml:space="preserve"> </w:t>
      </w:r>
      <w:r>
        <w:rPr>
          <w:spacing w:val="-1"/>
        </w:rPr>
        <w:t>、</w:t>
      </w:r>
      <w:r>
        <w:rPr>
          <w:rFonts w:ascii="Times New Roman" w:hAnsi="Times New Roman" w:eastAsia="Times New Roman" w:cs="Times New Roman"/>
          <w:spacing w:val="-1"/>
        </w:rPr>
        <w:t>2.1%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-1"/>
        </w:rPr>
        <w:t>、</w:t>
      </w:r>
      <w:r>
        <w:rPr>
          <w:rFonts w:ascii="Times New Roman" w:hAnsi="Times New Roman" w:eastAsia="Times New Roman" w:cs="Times New Roman"/>
          <w:spacing w:val="-1"/>
        </w:rPr>
        <w:t>1.5%</w:t>
      </w:r>
      <w:r>
        <w:rPr>
          <w:spacing w:val="-1"/>
        </w:rPr>
        <w:t>。</w:t>
      </w:r>
    </w:p>
    <w:p>
      <w:pPr>
        <w:spacing w:line="329" w:lineRule="auto"/>
        <w:sectPr>
          <w:footerReference r:id="rId5" w:type="default"/>
          <w:pgSz w:w="11906" w:h="16837"/>
          <w:pgMar w:top="1431" w:right="1382" w:bottom="1314" w:left="1585" w:header="0" w:footer="946" w:gutter="0"/>
          <w:cols w:space="720" w:num="1"/>
        </w:sect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pStyle w:val="2"/>
        <w:spacing w:before="101" w:line="328" w:lineRule="auto"/>
        <w:ind w:left="15" w:right="97" w:firstLine="638"/>
        <w:jc w:val="both"/>
      </w:pPr>
      <w:r>
        <w:rPr>
          <w:spacing w:val="5"/>
        </w:rPr>
        <w:t>优良天数比率改善：广安市、南充市、自贡市、巴中</w:t>
      </w:r>
      <w:r>
        <w:rPr>
          <w:spacing w:val="4"/>
        </w:rPr>
        <w:t>市、资</w:t>
      </w:r>
      <w:r>
        <w:rPr>
          <w:spacing w:val="2"/>
        </w:rPr>
        <w:t>阳市改善较大，同比分别上升</w:t>
      </w:r>
      <w:r>
        <w:rPr>
          <w:spacing w:val="-44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29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spacing w:val="2"/>
        </w:rPr>
        <w:t>、</w:t>
      </w:r>
      <w:r>
        <w:rPr>
          <w:rFonts w:ascii="Times New Roman" w:hAnsi="Times New Roman" w:eastAsia="Times New Roman" w:cs="Times New Roman"/>
          <w:spacing w:val="2"/>
        </w:rPr>
        <w:t>16.2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2"/>
        </w:rPr>
        <w:t>、</w:t>
      </w:r>
      <w:r>
        <w:rPr>
          <w:rFonts w:ascii="Times New Roman" w:hAnsi="Times New Roman" w:eastAsia="Times New Roman" w:cs="Times New Roman"/>
          <w:spacing w:val="2"/>
        </w:rPr>
        <w:t>12.9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2"/>
        </w:rPr>
        <w:t>、</w:t>
      </w:r>
      <w:r>
        <w:rPr>
          <w:rFonts w:ascii="Times New Roman" w:hAnsi="Times New Roman" w:eastAsia="Times New Roman" w:cs="Times New Roman"/>
          <w:spacing w:val="2"/>
        </w:rPr>
        <w:t>12.9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2"/>
        </w:rPr>
        <w:t>、</w:t>
      </w:r>
      <w:r>
        <w:rPr>
          <w:rFonts w:ascii="Times New Roman" w:hAnsi="Times New Roman" w:eastAsia="Times New Roman" w:cs="Times New Roman"/>
          <w:spacing w:val="2"/>
        </w:rPr>
        <w:t>12.9</w:t>
      </w:r>
      <w:r>
        <w:rPr>
          <w:rFonts w:ascii="Times New Roman" w:hAnsi="Times New Roman" w:eastAsia="Times New Roman" w:cs="Times New Roman"/>
          <w:spacing w:val="43"/>
        </w:rPr>
        <w:t xml:space="preserve"> </w:t>
      </w:r>
      <w:r>
        <w:rPr>
          <w:spacing w:val="2"/>
        </w:rPr>
        <w:t>个百</w:t>
      </w:r>
      <w:r>
        <w:rPr>
          <w:spacing w:val="1"/>
        </w:rPr>
        <w:t>分点。</w:t>
      </w:r>
    </w:p>
    <w:p>
      <w:pPr>
        <w:pStyle w:val="2"/>
        <w:spacing w:line="327" w:lineRule="auto"/>
        <w:ind w:left="60" w:right="99" w:firstLine="593"/>
      </w:pPr>
      <w:r>
        <w:rPr>
          <w:spacing w:val="5"/>
        </w:rPr>
        <w:t>优良天数比率反弹：广元市、雅安市、绵阳市反弹较</w:t>
      </w:r>
      <w:r>
        <w:rPr>
          <w:spacing w:val="4"/>
        </w:rPr>
        <w:t>大，同</w:t>
      </w:r>
      <w:r>
        <w:rPr>
          <w:spacing w:val="-1"/>
        </w:rPr>
        <w:t>比分别下降</w:t>
      </w:r>
      <w:r>
        <w:rPr>
          <w:spacing w:val="-33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12.9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-1"/>
        </w:rPr>
        <w:t>、</w:t>
      </w:r>
      <w:r>
        <w:rPr>
          <w:rFonts w:ascii="Times New Roman" w:hAnsi="Times New Roman" w:eastAsia="Times New Roman" w:cs="Times New Roman"/>
          <w:spacing w:val="-1"/>
        </w:rPr>
        <w:t>9.6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spacing w:val="-1"/>
        </w:rPr>
        <w:t>、</w:t>
      </w:r>
      <w:r>
        <w:rPr>
          <w:rFonts w:ascii="Times New Roman" w:hAnsi="Times New Roman" w:eastAsia="Times New Roman" w:cs="Times New Roman"/>
          <w:spacing w:val="-1"/>
        </w:rPr>
        <w:t xml:space="preserve">6.5 </w:t>
      </w:r>
      <w:r>
        <w:rPr>
          <w:spacing w:val="-1"/>
        </w:rPr>
        <w:t>个百分点。</w:t>
      </w:r>
    </w:p>
    <w:p>
      <w:pPr>
        <w:pStyle w:val="2"/>
        <w:spacing w:before="1" w:line="222" w:lineRule="auto"/>
        <w:ind w:left="642"/>
      </w:pPr>
      <w:r>
        <w:rPr>
          <w:spacing w:val="-4"/>
        </w:rPr>
        <w:t>重污染天数：广安市</w:t>
      </w:r>
      <w:r>
        <w:rPr>
          <w:spacing w:val="-76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2 </w:t>
      </w:r>
      <w:r>
        <w:rPr>
          <w:spacing w:val="-4"/>
        </w:rPr>
        <w:t>天，泸州市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1 </w:t>
      </w:r>
      <w:r>
        <w:rPr>
          <w:spacing w:val="-4"/>
        </w:rPr>
        <w:t>天。</w:t>
      </w:r>
    </w:p>
    <w:p>
      <w:pPr>
        <w:spacing w:before="213" w:line="291" w:lineRule="auto"/>
        <w:ind w:left="1" w:right="99" w:firstLine="485"/>
        <w:outlineLvl w:val="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KaiTi" w:hAnsi="KaiTi" w:eastAsia="KaiTi" w:cs="KaiTi"/>
          <w:b/>
          <w:bCs/>
          <w:spacing w:val="-1"/>
          <w:sz w:val="31"/>
          <w:szCs w:val="31"/>
        </w:rPr>
        <w:t>（</w:t>
      </w:r>
      <w:r>
        <w:rPr>
          <w:rFonts w:ascii="KaiTi" w:hAnsi="KaiTi" w:eastAsia="KaiTi" w:cs="KaiTi"/>
          <w:spacing w:val="-75"/>
          <w:sz w:val="31"/>
          <w:szCs w:val="31"/>
        </w:rPr>
        <w:t xml:space="preserve"> </w:t>
      </w:r>
      <w:r>
        <w:rPr>
          <w:rFonts w:ascii="KaiTi" w:hAnsi="KaiTi" w:eastAsia="KaiTi" w:cs="KaiTi"/>
          <w:b/>
          <w:bCs/>
          <w:spacing w:val="-1"/>
          <w:sz w:val="31"/>
          <w:szCs w:val="31"/>
        </w:rPr>
        <w:t>三）</w:t>
      </w:r>
      <w:r>
        <w:rPr>
          <w:rFonts w:ascii="Times New Roman" w:hAnsi="Times New Roman" w:eastAsia="Times New Roman" w:cs="Times New Roman"/>
          <w:b/>
          <w:bCs/>
          <w:spacing w:val="-1"/>
          <w:sz w:val="31"/>
          <w:szCs w:val="31"/>
        </w:rPr>
        <w:t xml:space="preserve">18 </w:t>
      </w:r>
      <w:r>
        <w:rPr>
          <w:rFonts w:ascii="KaiTi" w:hAnsi="KaiTi" w:eastAsia="KaiTi" w:cs="KaiTi"/>
          <w:b/>
          <w:bCs/>
          <w:spacing w:val="-1"/>
          <w:sz w:val="31"/>
          <w:szCs w:val="31"/>
        </w:rPr>
        <w:t>个市所辖县（</w:t>
      </w:r>
      <w:r>
        <w:rPr>
          <w:rFonts w:ascii="KaiTi" w:hAnsi="KaiTi" w:eastAsia="KaiTi" w:cs="KaiTi"/>
          <w:spacing w:val="-72"/>
          <w:sz w:val="31"/>
          <w:szCs w:val="31"/>
        </w:rPr>
        <w:t xml:space="preserve"> </w:t>
      </w:r>
      <w:r>
        <w:rPr>
          <w:rFonts w:ascii="KaiTi" w:hAnsi="KaiTi" w:eastAsia="KaiTi" w:cs="KaiTi"/>
          <w:b/>
          <w:bCs/>
          <w:spacing w:val="-1"/>
          <w:sz w:val="31"/>
          <w:szCs w:val="31"/>
        </w:rPr>
        <w:t>市、区）及经济技术开发区环境空气</w:t>
      </w:r>
      <w:r>
        <w:rPr>
          <w:rFonts w:ascii="KaiTi" w:hAnsi="KaiTi" w:eastAsia="KaiTi" w:cs="KaiTi"/>
          <w:b/>
          <w:bCs/>
          <w:spacing w:val="5"/>
          <w:sz w:val="31"/>
          <w:szCs w:val="31"/>
        </w:rPr>
        <w:t>质量状况</w:t>
      </w:r>
      <w:r>
        <w:rPr>
          <w:rFonts w:ascii="Times New Roman" w:hAnsi="Times New Roman" w:eastAsia="Times New Roman" w:cs="Times New Roman"/>
          <w:spacing w:val="5"/>
          <w:position w:val="11"/>
          <w:sz w:val="21"/>
          <w:szCs w:val="21"/>
        </w:rPr>
        <w:t>4</w:t>
      </w:r>
    </w:p>
    <w:p>
      <w:pPr>
        <w:pStyle w:val="2"/>
        <w:spacing w:before="225" w:line="357" w:lineRule="auto"/>
        <w:ind w:left="20" w:firstLine="656"/>
        <w:jc w:val="both"/>
      </w:pPr>
      <w:r>
        <w:rPr>
          <w:spacing w:val="-4"/>
        </w:rPr>
        <w:t>空气质量较好：石棉县、宝兴县、汉源县、盐边县、平武县、</w:t>
      </w:r>
      <w:r>
        <w:rPr>
          <w:spacing w:val="5"/>
        </w:rPr>
        <w:t>青川县、乐山市金口河区、马边彝族自治县、广元市朝天区</w:t>
      </w:r>
      <w:r>
        <w:rPr>
          <w:spacing w:val="4"/>
        </w:rPr>
        <w:t>、荥</w:t>
      </w:r>
      <w:r>
        <w:t>经县。</w:t>
      </w:r>
    </w:p>
    <w:p>
      <w:pPr>
        <w:pStyle w:val="2"/>
        <w:spacing w:before="4" w:line="357" w:lineRule="auto"/>
        <w:ind w:left="20" w:right="48" w:firstLine="656"/>
        <w:jc w:val="both"/>
      </w:pPr>
      <w:r>
        <w:rPr>
          <w:spacing w:val="6"/>
        </w:rPr>
        <w:t>空气质量较差：成都高新技术产业开发区、成都市金牛区、</w:t>
      </w:r>
      <w:r>
        <w:rPr>
          <w:spacing w:val="7"/>
        </w:rPr>
        <w:t>成都市锦江区、德阳经济技术开发区、丹棱县、成都市</w:t>
      </w:r>
      <w:r>
        <w:rPr>
          <w:spacing w:val="6"/>
        </w:rPr>
        <w:t>温江区、</w:t>
      </w:r>
      <w:r>
        <w:rPr>
          <w:spacing w:val="8"/>
        </w:rPr>
        <w:t>成都市青羊区、成都市新津区、成都市成华区、屏山县。</w:t>
      </w: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pStyle w:val="2"/>
        <w:spacing w:before="101" w:line="221" w:lineRule="auto"/>
        <w:ind w:left="676"/>
      </w:pPr>
      <w:r>
        <w:rPr>
          <w:spacing w:val="4"/>
        </w:rPr>
        <w:t>附件：</w:t>
      </w:r>
      <w:r>
        <w:rPr>
          <w:rFonts w:ascii="Times New Roman" w:hAnsi="Times New Roman" w:eastAsia="Times New Roman" w:cs="Times New Roman"/>
          <w:spacing w:val="4"/>
        </w:rPr>
        <w:t>1</w:t>
      </w:r>
      <w:r>
        <w:rPr>
          <w:spacing w:val="4"/>
        </w:rPr>
        <w:t>．</w:t>
      </w:r>
      <w:r>
        <w:rPr>
          <w:rFonts w:ascii="Times New Roman" w:hAnsi="Times New Roman" w:eastAsia="Times New Roman" w:cs="Times New Roman"/>
          <w:spacing w:val="4"/>
        </w:rPr>
        <w:t xml:space="preserve">2026 </w:t>
      </w:r>
      <w:r>
        <w:rPr>
          <w:spacing w:val="4"/>
        </w:rPr>
        <w:t>年</w:t>
      </w:r>
      <w:r>
        <w:rPr>
          <w:spacing w:val="-25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1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4"/>
        </w:rPr>
        <w:t>月重点湖库营养状态评价结果表</w:t>
      </w:r>
    </w:p>
    <w:p>
      <w:pPr>
        <w:pStyle w:val="2"/>
        <w:spacing w:before="228" w:line="223" w:lineRule="auto"/>
        <w:ind w:left="1602"/>
      </w:pPr>
      <w:r>
        <w:rPr>
          <w:rFonts w:ascii="Times New Roman" w:hAnsi="Times New Roman" w:eastAsia="Times New Roman" w:cs="Times New Roman"/>
          <w:spacing w:val="4"/>
        </w:rPr>
        <w:t>2</w:t>
      </w:r>
      <w:r>
        <w:rPr>
          <w:spacing w:val="4"/>
        </w:rPr>
        <w:t>．</w:t>
      </w:r>
      <w:r>
        <w:rPr>
          <w:rFonts w:ascii="Times New Roman" w:hAnsi="Times New Roman" w:eastAsia="Times New Roman" w:cs="Times New Roman"/>
          <w:spacing w:val="4"/>
        </w:rPr>
        <w:t xml:space="preserve">2026 </w:t>
      </w:r>
      <w:r>
        <w:rPr>
          <w:spacing w:val="4"/>
        </w:rPr>
        <w:t>年</w:t>
      </w:r>
      <w:r>
        <w:rPr>
          <w:spacing w:val="-29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1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4"/>
        </w:rPr>
        <w:t>月全省环境空气质量情况</w:t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106680</wp:posOffset>
            </wp:positionV>
            <wp:extent cx="1828800" cy="889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8862" cy="8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spacing w:before="55" w:line="253" w:lineRule="auto"/>
        <w:ind w:left="13" w:right="220" w:hanging="12"/>
        <w:rPr>
          <w:sz w:val="17"/>
          <w:szCs w:val="17"/>
        </w:rPr>
      </w:pPr>
      <w:r>
        <w:rPr>
          <w:rFonts w:ascii="Times New Roman" w:hAnsi="Times New Roman" w:eastAsia="Times New Roman" w:cs="Times New Roman"/>
          <w:spacing w:val="8"/>
          <w:position w:val="5"/>
          <w:sz w:val="11"/>
          <w:szCs w:val="11"/>
        </w:rPr>
        <w:t xml:space="preserve">4  </w:t>
      </w:r>
      <w:r>
        <w:rPr>
          <w:spacing w:val="8"/>
          <w:sz w:val="17"/>
          <w:szCs w:val="17"/>
        </w:rPr>
        <w:t>备注：环境空气质量状况按照城市环境空气质量六指标（</w:t>
      </w:r>
      <w:r>
        <w:rPr>
          <w:spacing w:val="-42"/>
          <w:sz w:val="17"/>
          <w:szCs w:val="17"/>
        </w:rPr>
        <w:t xml:space="preserve"> </w:t>
      </w:r>
      <w:r>
        <w:rPr>
          <w:spacing w:val="8"/>
          <w:sz w:val="17"/>
          <w:szCs w:val="17"/>
        </w:rPr>
        <w:t>二氧化硫、二氧化氮、一氧化碳、臭氧、细颗</w:t>
      </w:r>
      <w:r>
        <w:rPr>
          <w:spacing w:val="7"/>
          <w:sz w:val="17"/>
          <w:szCs w:val="17"/>
        </w:rPr>
        <w:t>粒物、</w:t>
      </w:r>
      <w:r>
        <w:rPr>
          <w:spacing w:val="8"/>
          <w:sz w:val="17"/>
          <w:szCs w:val="17"/>
        </w:rPr>
        <w:t>可吸入颗粒物）综合指数进行评价。</w:t>
      </w:r>
    </w:p>
    <w:p>
      <w:pPr>
        <w:spacing w:before="146" w:line="190" w:lineRule="exact"/>
        <w:ind w:left="7658"/>
        <w:rPr>
          <w:rFonts w:ascii="SimSun" w:hAnsi="SimSun" w:eastAsia="SimSun" w:cs="SimSun"/>
          <w:sz w:val="28"/>
          <w:szCs w:val="28"/>
        </w:rPr>
      </w:pPr>
      <w:r>
        <w:pict>
          <v:shape id="_x0000_s1026" o:spid="_x0000_s1026" o:spt="202" type="#_x0000_t202" style="position:absolute;left:0pt;margin-left:403.4pt;margin-top:-0.3pt;height:20.3pt;width:8.2pt;z-index:251661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41" w:lineRule="auto"/>
                    <w:ind w:left="20"/>
                    <w:rPr>
                      <w:rFonts w:ascii="SimSun" w:hAnsi="SimSun" w:eastAsia="SimSun" w:cs="SimSun"/>
                      <w:sz w:val="28"/>
                      <w:szCs w:val="28"/>
                    </w:rPr>
                  </w:pPr>
                  <w:r>
                    <w:rPr>
                      <w:rFonts w:ascii="SimSun" w:hAnsi="SimSun" w:eastAsia="SimSun" w:cs="SimSun"/>
                      <w:sz w:val="28"/>
                      <w:szCs w:val="28"/>
                    </w:rPr>
                    <w:t>3</w:t>
                  </w:r>
                </w:p>
              </w:txbxContent>
            </v:textbox>
          </v:shape>
        </w:pict>
      </w:r>
      <w:r>
        <w:rPr>
          <w:rFonts w:ascii="SimSun" w:hAnsi="SimSun" w:eastAsia="SimSun" w:cs="SimSun"/>
          <w:spacing w:val="-4"/>
          <w:position w:val="-4"/>
          <w:sz w:val="28"/>
          <w:szCs w:val="28"/>
        </w:rPr>
        <w:t>—</w:t>
      </w:r>
      <w:r>
        <w:rPr>
          <w:rFonts w:ascii="SimSun" w:hAnsi="SimSun" w:eastAsia="SimSun" w:cs="SimSun"/>
          <w:spacing w:val="4"/>
          <w:position w:val="-4"/>
          <w:sz w:val="28"/>
          <w:szCs w:val="28"/>
        </w:rPr>
        <w:t xml:space="preserve">   </w:t>
      </w:r>
      <w:r>
        <w:rPr>
          <w:rFonts w:ascii="SimSun" w:hAnsi="SimSun" w:eastAsia="SimSun" w:cs="SimSun"/>
          <w:spacing w:val="-4"/>
          <w:position w:val="-4"/>
          <w:sz w:val="28"/>
          <w:szCs w:val="28"/>
        </w:rPr>
        <w:t>—</w:t>
      </w:r>
    </w:p>
    <w:p>
      <w:pPr>
        <w:spacing w:line="190" w:lineRule="exact"/>
        <w:rPr>
          <w:rFonts w:ascii="SimSun" w:hAnsi="SimSun" w:eastAsia="SimSun" w:cs="SimSun"/>
          <w:sz w:val="28"/>
          <w:szCs w:val="28"/>
        </w:rPr>
        <w:sectPr>
          <w:footerReference r:id="rId6" w:type="default"/>
          <w:pgSz w:w="11906" w:h="16837"/>
          <w:pgMar w:top="1431" w:right="1376" w:bottom="400" w:left="1586" w:header="0" w:footer="0" w:gutter="0"/>
          <w:cols w:space="720" w:num="1"/>
        </w:sectPr>
      </w:pPr>
    </w:p>
    <w:p>
      <w:pPr>
        <w:spacing w:before="120"/>
      </w:pPr>
    </w:p>
    <w:p>
      <w:pPr>
        <w:sectPr>
          <w:pgSz w:w="16837" w:h="11906"/>
          <w:pgMar w:top="1011" w:right="2095" w:bottom="400" w:left="638" w:header="0" w:footer="0" w:gutter="0"/>
          <w:cols w:equalWidth="0" w:num="1">
            <w:col w:w="14104"/>
          </w:cols>
        </w:sectPr>
      </w:pPr>
    </w:p>
    <w:p>
      <w:pPr>
        <w:spacing w:line="327" w:lineRule="auto"/>
        <w:rPr>
          <w:rFonts w:ascii="Arial"/>
          <w:sz w:val="21"/>
        </w:rPr>
      </w:pPr>
      <w: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-100330</wp:posOffset>
                </wp:positionH>
                <wp:positionV relativeFrom="paragraph">
                  <wp:posOffset>441960</wp:posOffset>
                </wp:positionV>
                <wp:extent cx="646430" cy="259080"/>
                <wp:effectExtent l="0" t="0" r="0" b="0"/>
                <wp:wrapNone/>
                <wp:docPr id="12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 rot="5400000">
                          <a:off x="-100875" y="442221"/>
                          <a:ext cx="646430" cy="259079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97" w:line="190" w:lineRule="exact"/>
                              <w:ind w:left="20"/>
                              <w:rPr>
                                <w:rFonts w:ascii="SimSun" w:hAnsi="SimSun" w:eastAsia="SimSun" w:cs="SimSu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pacing w:val="-4"/>
                                <w:position w:val="-4"/>
                                <w:sz w:val="28"/>
                                <w:szCs w:val="28"/>
                              </w:rPr>
                              <w:t>—</w:t>
                            </w:r>
                            <w:r>
                              <w:rPr>
                                <w:rFonts w:ascii="SimSun" w:hAnsi="SimSun" w:eastAsia="SimSun" w:cs="SimSun"/>
                                <w:spacing w:val="4"/>
                                <w:position w:val="-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rFonts w:ascii="SimSun" w:hAnsi="SimSun" w:eastAsia="SimSun" w:cs="SimSun"/>
                                <w:spacing w:val="-4"/>
                                <w:position w:val="-4"/>
                                <w:sz w:val="28"/>
                                <w:szCs w:val="28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26" o:spt="202" type="#_x0000_t202" style="position:absolute;left:0pt;margin-left:-7.9pt;margin-top:34.8pt;height:20.4pt;width:50.9pt;rotation:5898240f;z-index:251664384;mso-width-relative:page;mso-height-relative:page;" filled="f" stroked="f" coordsize="21600,21600" o:gfxdata="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FgAAAGRycy9QSwECFAAUAAAACACHTuJAG0NwUNcAAAAJAQAADwAA&#10;AAAAAAABACAAAAA4AAAAZHJzL2Rvd25yZXYueG1sUEsBAhQAFAAAAAgAh07iQKV2if06AgAAZQQA&#10;AA4AAAAAAAAAAQAgAAAAPAEAAGRycy9lMm9Eb2MueG1sUEsFBgAAAAAGAAYAWQEAAOg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97" w:line="190" w:lineRule="exact"/>
                        <w:ind w:left="20"/>
                        <w:rPr>
                          <w:rFonts w:ascii="SimSun" w:hAnsi="SimSun" w:eastAsia="SimSun" w:cs="SimSun"/>
                          <w:sz w:val="28"/>
                          <w:szCs w:val="28"/>
                        </w:rPr>
                      </w:pPr>
                      <w:r>
                        <w:rPr>
                          <w:rFonts w:ascii="SimSun" w:hAnsi="SimSun" w:eastAsia="SimSun" w:cs="SimSun"/>
                          <w:spacing w:val="-4"/>
                          <w:position w:val="-4"/>
                          <w:sz w:val="28"/>
                          <w:szCs w:val="28"/>
                        </w:rPr>
                        <w:t>—</w:t>
                      </w:r>
                      <w:r>
                        <w:rPr>
                          <w:rFonts w:ascii="SimSun" w:hAnsi="SimSun" w:eastAsia="SimSun" w:cs="SimSun"/>
                          <w:spacing w:val="4"/>
                          <w:position w:val="-4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rFonts w:ascii="SimSun" w:hAnsi="SimSun" w:eastAsia="SimSun" w:cs="SimSun"/>
                          <w:spacing w:val="-4"/>
                          <w:position w:val="-4"/>
                          <w:sz w:val="28"/>
                          <w:szCs w:val="28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100" w:line="212" w:lineRule="auto"/>
        <w:ind w:left="639"/>
        <w:rPr>
          <w:rFonts w:ascii="Times New Roman" w:hAnsi="Times New Roman" w:eastAsia="Times New Roman" w:cs="Times New Roman"/>
          <w:sz w:val="31"/>
          <w:szCs w:val="31"/>
        </w:rPr>
      </w:pPr>
      <w: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205740</wp:posOffset>
                </wp:positionV>
                <wp:extent cx="108585" cy="313690"/>
                <wp:effectExtent l="0" t="0" r="0" b="0"/>
                <wp:wrapNone/>
                <wp:docPr id="14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 rot="5400000">
                          <a:off x="166544" y="206122"/>
                          <a:ext cx="108585" cy="31369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06" w:line="242" w:lineRule="auto"/>
                              <w:ind w:left="20"/>
                              <w:rPr>
                                <w:rFonts w:ascii="SimSun" w:hAnsi="SimSun" w:eastAsia="SimSun" w:cs="SimSu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26" o:spt="202" type="#_x0000_t202" style="position:absolute;left:0pt;margin-left:13.1pt;margin-top:16.2pt;height:24.7pt;width:8.55pt;rotation:5898240f;z-index:251663360;mso-width-relative:page;mso-height-relative:page;" filled="f" stroked="f" coordsize="21600,21600" o:gfxdata="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BYAAABkcnMvUEsBAhQAFAAAAAgAh07iQJzelE/WAAAABwEAAA8AAAAA&#10;AAAAAQAgAAAAOAAAAGRycy9kb3ducmV2LnhtbFBLAQIUABQAAAAIAIdO4kAxBYHTOQIAAGQEAAAO&#10;AAAAAAAAAAEAIAAAADsBAABkcnMvZTJvRG9jLnhtbFBLBQYAAAAABgAGAFkBAADm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06" w:line="242" w:lineRule="auto"/>
                        <w:ind w:left="20"/>
                        <w:rPr>
                          <w:rFonts w:ascii="SimSun" w:hAnsi="SimSun" w:eastAsia="SimSun" w:cs="SimSun"/>
                          <w:sz w:val="28"/>
                          <w:szCs w:val="28"/>
                        </w:rPr>
                      </w:pPr>
                      <w:r>
                        <w:rPr>
                          <w:rFonts w:ascii="SimSun" w:hAnsi="SimSun" w:eastAsia="SimSun" w:cs="SimSun"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27" o:spid="_x0000_s1027" style="position:absolute;left:0pt;margin-left:0pt;margin-top:-11.2pt;height:89.05pt;width:34.6pt;z-index:-251654144;mso-width-relative:page;mso-height-relative:page;" filled="f" stroked="t" coordsize="691,1781" path="m0,0l0,1780,691,1780,691,0,0,0e">
            <v:fill on="f" focussize="0,0"/>
            <v:stroke weight="0.5pt" color="#FFFFFF" miterlimit="0" joinstyle="miter"/>
            <v:imagedata o:title=""/>
            <o:lock v:ext="edit"/>
          </v:shape>
        </w:pict>
      </w:r>
      <w:r>
        <w:rPr>
          <w:rFonts w:ascii="SimHei" w:hAnsi="SimHei" w:eastAsia="SimHei" w:cs="SimHei"/>
          <w:spacing w:val="-4"/>
          <w:sz w:val="31"/>
          <w:szCs w:val="31"/>
        </w:rPr>
        <w:t>附件</w:t>
      </w:r>
      <w:r>
        <w:rPr>
          <w:rFonts w:ascii="SimHei" w:hAnsi="SimHei" w:eastAsia="SimHei" w:cs="SimHei"/>
          <w:spacing w:val="-3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before="184" w:line="183" w:lineRule="auto"/>
        <w:jc w:val="right"/>
        <w:rPr>
          <w:rFonts w:ascii="Times New Roman" w:hAnsi="Times New Roman" w:eastAsia="Times New Roman" w:cs="Times New Roman"/>
          <w:sz w:val="43"/>
          <w:szCs w:val="43"/>
        </w:rPr>
      </w:pPr>
      <w:r>
        <w:rPr>
          <w:rFonts w:ascii="Times New Roman" w:hAnsi="Times New Roman" w:eastAsia="Times New Roman" w:cs="Times New Roman"/>
          <w:spacing w:val="-4"/>
          <w:sz w:val="43"/>
          <w:szCs w:val="43"/>
        </w:rPr>
        <w:t xml:space="preserve">2026 </w:t>
      </w:r>
      <w:r>
        <w:rPr>
          <w:rFonts w:ascii="Microsoft YaHei" w:hAnsi="Microsoft YaHei" w:eastAsia="Microsoft YaHei" w:cs="Microsoft YaHei"/>
          <w:spacing w:val="-4"/>
          <w:sz w:val="43"/>
          <w:szCs w:val="43"/>
        </w:rPr>
        <w:t>年</w:t>
      </w:r>
      <w:r>
        <w:rPr>
          <w:rFonts w:ascii="Microsoft YaHei" w:hAnsi="Microsoft YaHei" w:eastAsia="Microsoft YaHei" w:cs="Microsoft YaHei"/>
          <w:spacing w:val="38"/>
          <w:sz w:val="43"/>
          <w:szCs w:val="43"/>
        </w:rPr>
        <w:t xml:space="preserve"> 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before="184" w:line="204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hint="eastAsia" w:ascii="Microsoft YaHei" w:hAnsi="Microsoft YaHei" w:eastAsia="Microsoft YaHei" w:cs="Microsoft YaHei"/>
          <w:spacing w:val="7"/>
          <w:sz w:val="43"/>
          <w:szCs w:val="43"/>
          <w:lang w:val="en-US" w:eastAsia="zh-CN"/>
        </w:rPr>
        <w:t>1</w:t>
      </w:r>
      <w:r>
        <w:rPr>
          <w:rFonts w:ascii="Microsoft YaHei" w:hAnsi="Microsoft YaHei" w:eastAsia="Microsoft YaHei" w:cs="Microsoft YaHei"/>
          <w:spacing w:val="7"/>
          <w:sz w:val="43"/>
          <w:szCs w:val="43"/>
        </w:rPr>
        <w:t>月重点湖库营养状态评价结果表</w:t>
      </w:r>
    </w:p>
    <w:p>
      <w:pPr>
        <w:spacing w:line="204" w:lineRule="auto"/>
        <w:rPr>
          <w:rFonts w:ascii="Microsoft YaHei" w:hAnsi="Microsoft YaHei" w:eastAsia="Microsoft YaHei" w:cs="Microsoft YaHei"/>
          <w:sz w:val="43"/>
          <w:szCs w:val="43"/>
        </w:rPr>
        <w:sectPr>
          <w:type w:val="continuous"/>
          <w:pgSz w:w="16837" w:h="11906"/>
          <w:pgMar w:top="1011" w:right="2095" w:bottom="400" w:left="638" w:header="0" w:footer="0" w:gutter="0"/>
          <w:cols w:equalWidth="0" w:num="3">
            <w:col w:w="3248" w:space="100"/>
            <w:col w:w="1790" w:space="100"/>
            <w:col w:w="8867"/>
          </w:cols>
        </w:sectPr>
      </w:pPr>
    </w:p>
    <w:p>
      <w:pPr>
        <w:spacing w:before="3"/>
      </w:pPr>
    </w:p>
    <w:p>
      <w:pPr>
        <w:spacing w:before="3"/>
      </w:pPr>
    </w:p>
    <w:tbl>
      <w:tblPr>
        <w:tblStyle w:val="5"/>
        <w:tblW w:w="13488" w:type="dxa"/>
        <w:tblInd w:w="6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3"/>
        <w:gridCol w:w="3038"/>
        <w:gridCol w:w="3334"/>
        <w:gridCol w:w="2478"/>
        <w:gridCol w:w="299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643" w:type="dxa"/>
            <w:vAlign w:val="top"/>
          </w:tcPr>
          <w:p>
            <w:pPr>
              <w:spacing w:before="116" w:line="215" w:lineRule="auto"/>
              <w:ind w:left="587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3038" w:type="dxa"/>
            <w:vAlign w:val="top"/>
          </w:tcPr>
          <w:p>
            <w:pPr>
              <w:spacing w:before="116" w:line="215" w:lineRule="auto"/>
              <w:ind w:left="1040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8"/>
                <w:sz w:val="23"/>
                <w:szCs w:val="23"/>
              </w:rPr>
              <w:t>湖库名称</w:t>
            </w:r>
          </w:p>
        </w:tc>
        <w:tc>
          <w:tcPr>
            <w:tcW w:w="3334" w:type="dxa"/>
            <w:vAlign w:val="top"/>
          </w:tcPr>
          <w:p>
            <w:pPr>
              <w:spacing w:before="116" w:line="215" w:lineRule="auto"/>
              <w:ind w:left="1203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5"/>
                <w:sz w:val="23"/>
                <w:szCs w:val="23"/>
              </w:rPr>
              <w:t>断面名称</w:t>
            </w:r>
          </w:p>
        </w:tc>
        <w:tc>
          <w:tcPr>
            <w:tcW w:w="2478" w:type="dxa"/>
            <w:vAlign w:val="top"/>
          </w:tcPr>
          <w:p>
            <w:pPr>
              <w:spacing w:before="120" w:line="212" w:lineRule="auto"/>
              <w:ind w:left="775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5"/>
                <w:sz w:val="23"/>
                <w:szCs w:val="23"/>
              </w:rPr>
              <w:t>断面性质</w:t>
            </w:r>
          </w:p>
        </w:tc>
        <w:tc>
          <w:tcPr>
            <w:tcW w:w="2995" w:type="dxa"/>
            <w:vAlign w:val="top"/>
          </w:tcPr>
          <w:p>
            <w:pPr>
              <w:spacing w:before="114" w:line="216" w:lineRule="auto"/>
              <w:ind w:left="1026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6"/>
                <w:sz w:val="23"/>
                <w:szCs w:val="23"/>
              </w:rPr>
              <w:t>营养状态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643" w:type="dxa"/>
            <w:vAlign w:val="top"/>
          </w:tcPr>
          <w:p>
            <w:pPr>
              <w:spacing w:before="141" w:line="194" w:lineRule="auto"/>
              <w:ind w:left="78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1</w:t>
            </w:r>
          </w:p>
        </w:tc>
        <w:tc>
          <w:tcPr>
            <w:tcW w:w="3038" w:type="dxa"/>
            <w:vAlign w:val="top"/>
          </w:tcPr>
          <w:p>
            <w:pPr>
              <w:pStyle w:val="6"/>
              <w:spacing w:before="107" w:line="225" w:lineRule="auto"/>
              <w:ind w:left="1290"/>
            </w:pPr>
            <w:r>
              <w:rPr>
                <w:spacing w:val="1"/>
              </w:rPr>
              <w:t>邛海</w:t>
            </w:r>
          </w:p>
        </w:tc>
        <w:tc>
          <w:tcPr>
            <w:tcW w:w="3334" w:type="dxa"/>
            <w:vAlign w:val="top"/>
          </w:tcPr>
          <w:p>
            <w:pPr>
              <w:pStyle w:val="6"/>
              <w:spacing w:before="107" w:line="225" w:lineRule="auto"/>
              <w:ind w:left="1202"/>
            </w:pPr>
            <w:r>
              <w:rPr>
                <w:spacing w:val="5"/>
              </w:rPr>
              <w:t>邛海湖心</w:t>
            </w:r>
          </w:p>
        </w:tc>
        <w:tc>
          <w:tcPr>
            <w:tcW w:w="2478" w:type="dxa"/>
            <w:vAlign w:val="top"/>
          </w:tcPr>
          <w:p>
            <w:pPr>
              <w:pStyle w:val="6"/>
              <w:spacing w:before="107" w:line="225" w:lineRule="auto"/>
              <w:ind w:left="1027"/>
            </w:pPr>
            <w:r>
              <w:rPr>
                <w:spacing w:val="-6"/>
              </w:rPr>
              <w:t>国考</w:t>
            </w:r>
          </w:p>
        </w:tc>
        <w:tc>
          <w:tcPr>
            <w:tcW w:w="2995" w:type="dxa"/>
            <w:vAlign w:val="top"/>
          </w:tcPr>
          <w:p>
            <w:pPr>
              <w:pStyle w:val="6"/>
              <w:spacing w:before="106" w:line="224" w:lineRule="auto"/>
              <w:ind w:left="1152"/>
            </w:pPr>
            <w:r>
              <w:rPr>
                <w:spacing w:val="3"/>
              </w:rPr>
              <w:t>贫营养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643" w:type="dxa"/>
            <w:vAlign w:val="top"/>
          </w:tcPr>
          <w:p>
            <w:pPr>
              <w:spacing w:before="143" w:line="194" w:lineRule="auto"/>
              <w:ind w:left="76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2</w:t>
            </w:r>
          </w:p>
        </w:tc>
        <w:tc>
          <w:tcPr>
            <w:tcW w:w="3038" w:type="dxa"/>
            <w:vAlign w:val="top"/>
          </w:tcPr>
          <w:p>
            <w:pPr>
              <w:pStyle w:val="6"/>
              <w:spacing w:before="109" w:line="226" w:lineRule="auto"/>
              <w:ind w:left="1173"/>
            </w:pPr>
            <w:r>
              <w:rPr>
                <w:spacing w:val="3"/>
              </w:rPr>
              <w:t>泸沽湖</w:t>
            </w:r>
          </w:p>
        </w:tc>
        <w:tc>
          <w:tcPr>
            <w:tcW w:w="3334" w:type="dxa"/>
            <w:vAlign w:val="top"/>
          </w:tcPr>
          <w:p>
            <w:pPr>
              <w:pStyle w:val="6"/>
              <w:spacing w:before="109" w:line="226" w:lineRule="auto"/>
              <w:ind w:left="1085"/>
            </w:pPr>
            <w:r>
              <w:rPr>
                <w:spacing w:val="5"/>
              </w:rPr>
              <w:t>泸沽湖湖心</w:t>
            </w:r>
          </w:p>
        </w:tc>
        <w:tc>
          <w:tcPr>
            <w:tcW w:w="2478" w:type="dxa"/>
            <w:vAlign w:val="top"/>
          </w:tcPr>
          <w:p>
            <w:pPr>
              <w:pStyle w:val="6"/>
              <w:spacing w:before="109" w:line="225" w:lineRule="auto"/>
              <w:ind w:left="1027"/>
            </w:pPr>
            <w:r>
              <w:rPr>
                <w:spacing w:val="-6"/>
              </w:rPr>
              <w:t>国考</w:t>
            </w:r>
          </w:p>
        </w:tc>
        <w:tc>
          <w:tcPr>
            <w:tcW w:w="2995" w:type="dxa"/>
            <w:vAlign w:val="top"/>
          </w:tcPr>
          <w:p>
            <w:pPr>
              <w:pStyle w:val="6"/>
              <w:spacing w:before="109" w:line="224" w:lineRule="auto"/>
              <w:ind w:left="1152"/>
            </w:pPr>
            <w:r>
              <w:rPr>
                <w:spacing w:val="3"/>
              </w:rPr>
              <w:t>贫营养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8" w:hRule="atLeast"/>
        </w:trPr>
        <w:tc>
          <w:tcPr>
            <w:tcW w:w="1643" w:type="dxa"/>
            <w:vAlign w:val="top"/>
          </w:tcPr>
          <w:p>
            <w:pPr>
              <w:spacing w:before="141" w:line="194" w:lineRule="auto"/>
              <w:ind w:left="76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</w:t>
            </w:r>
          </w:p>
        </w:tc>
        <w:tc>
          <w:tcPr>
            <w:tcW w:w="3038" w:type="dxa"/>
            <w:vAlign w:val="top"/>
          </w:tcPr>
          <w:p>
            <w:pPr>
              <w:pStyle w:val="6"/>
              <w:spacing w:before="107" w:line="225" w:lineRule="auto"/>
              <w:ind w:left="1047"/>
            </w:pPr>
            <w:r>
              <w:rPr>
                <w:spacing w:val="6"/>
              </w:rPr>
              <w:t>鲁班水库</w:t>
            </w:r>
          </w:p>
        </w:tc>
        <w:tc>
          <w:tcPr>
            <w:tcW w:w="3334" w:type="dxa"/>
            <w:vAlign w:val="top"/>
          </w:tcPr>
          <w:p>
            <w:pPr>
              <w:pStyle w:val="6"/>
              <w:spacing w:before="107" w:line="226" w:lineRule="auto"/>
              <w:ind w:left="1319"/>
            </w:pPr>
            <w:r>
              <w:rPr>
                <w:spacing w:val="4"/>
              </w:rPr>
              <w:t>鲁班岛</w:t>
            </w:r>
          </w:p>
        </w:tc>
        <w:tc>
          <w:tcPr>
            <w:tcW w:w="2478" w:type="dxa"/>
            <w:vAlign w:val="top"/>
          </w:tcPr>
          <w:p>
            <w:pPr>
              <w:pStyle w:val="6"/>
              <w:spacing w:before="107" w:line="225" w:lineRule="auto"/>
              <w:ind w:left="1027"/>
            </w:pPr>
            <w:r>
              <w:rPr>
                <w:spacing w:val="-6"/>
              </w:rPr>
              <w:t>国考</w:t>
            </w:r>
          </w:p>
        </w:tc>
        <w:tc>
          <w:tcPr>
            <w:tcW w:w="2995" w:type="dxa"/>
            <w:vAlign w:val="top"/>
          </w:tcPr>
          <w:p>
            <w:pPr>
              <w:pStyle w:val="6"/>
              <w:spacing w:before="107" w:line="224" w:lineRule="auto"/>
              <w:ind w:left="1170"/>
            </w:pPr>
            <w:r>
              <w:rPr>
                <w:spacing w:val="-3"/>
              </w:rPr>
              <w:t>中营养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643" w:type="dxa"/>
            <w:vAlign w:val="top"/>
          </w:tcPr>
          <w:p>
            <w:pPr>
              <w:spacing w:before="141" w:line="194" w:lineRule="auto"/>
              <w:ind w:left="76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</w:t>
            </w:r>
          </w:p>
        </w:tc>
        <w:tc>
          <w:tcPr>
            <w:tcW w:w="3038" w:type="dxa"/>
            <w:vAlign w:val="top"/>
          </w:tcPr>
          <w:p>
            <w:pPr>
              <w:pStyle w:val="6"/>
              <w:spacing w:before="108" w:line="225" w:lineRule="auto"/>
              <w:ind w:left="930"/>
            </w:pPr>
            <w:r>
              <w:rPr>
                <w:spacing w:val="6"/>
              </w:rPr>
              <w:t>紫坪铺水库</w:t>
            </w:r>
          </w:p>
        </w:tc>
        <w:tc>
          <w:tcPr>
            <w:tcW w:w="3334" w:type="dxa"/>
            <w:vAlign w:val="top"/>
          </w:tcPr>
          <w:p>
            <w:pPr>
              <w:pStyle w:val="6"/>
              <w:spacing w:before="108" w:line="225" w:lineRule="auto"/>
              <w:ind w:left="1199"/>
            </w:pPr>
            <w:r>
              <w:rPr>
                <w:spacing w:val="6"/>
              </w:rPr>
              <w:t>跨库大桥</w:t>
            </w:r>
          </w:p>
        </w:tc>
        <w:tc>
          <w:tcPr>
            <w:tcW w:w="2478" w:type="dxa"/>
            <w:vAlign w:val="top"/>
          </w:tcPr>
          <w:p>
            <w:pPr>
              <w:pStyle w:val="6"/>
              <w:spacing w:before="108" w:line="225" w:lineRule="auto"/>
              <w:ind w:left="1014"/>
            </w:pPr>
            <w:r>
              <w:rPr>
                <w:spacing w:val="1"/>
              </w:rPr>
              <w:t>省考</w:t>
            </w:r>
          </w:p>
        </w:tc>
        <w:tc>
          <w:tcPr>
            <w:tcW w:w="2995" w:type="dxa"/>
            <w:vAlign w:val="top"/>
          </w:tcPr>
          <w:p>
            <w:pPr>
              <w:pStyle w:val="6"/>
              <w:spacing w:before="107" w:line="224" w:lineRule="auto"/>
              <w:ind w:left="1152"/>
            </w:pPr>
            <w:r>
              <w:rPr>
                <w:spacing w:val="3"/>
              </w:rPr>
              <w:t>贫营养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643" w:type="dxa"/>
            <w:vAlign w:val="top"/>
          </w:tcPr>
          <w:p>
            <w:pPr>
              <w:spacing w:before="147" w:line="191" w:lineRule="auto"/>
              <w:ind w:left="76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5</w:t>
            </w:r>
          </w:p>
        </w:tc>
        <w:tc>
          <w:tcPr>
            <w:tcW w:w="3038" w:type="dxa"/>
            <w:vAlign w:val="top"/>
          </w:tcPr>
          <w:p>
            <w:pPr>
              <w:pStyle w:val="6"/>
              <w:spacing w:before="110" w:line="227" w:lineRule="auto"/>
              <w:ind w:left="1179"/>
            </w:pPr>
            <w:r>
              <w:t>三岔湖</w:t>
            </w:r>
          </w:p>
        </w:tc>
        <w:tc>
          <w:tcPr>
            <w:tcW w:w="3334" w:type="dxa"/>
            <w:vAlign w:val="top"/>
          </w:tcPr>
          <w:p>
            <w:pPr>
              <w:pStyle w:val="6"/>
              <w:spacing w:before="110" w:line="225" w:lineRule="auto"/>
              <w:ind w:left="1190"/>
            </w:pPr>
            <w:r>
              <w:rPr>
                <w:spacing w:val="8"/>
              </w:rPr>
              <w:t>库中测点</w:t>
            </w:r>
          </w:p>
        </w:tc>
        <w:tc>
          <w:tcPr>
            <w:tcW w:w="2478" w:type="dxa"/>
            <w:vAlign w:val="top"/>
          </w:tcPr>
          <w:p>
            <w:pPr>
              <w:pStyle w:val="6"/>
              <w:spacing w:before="110" w:line="225" w:lineRule="auto"/>
              <w:ind w:left="1014"/>
            </w:pPr>
            <w:r>
              <w:rPr>
                <w:spacing w:val="1"/>
              </w:rPr>
              <w:t>省考</w:t>
            </w:r>
          </w:p>
        </w:tc>
        <w:tc>
          <w:tcPr>
            <w:tcW w:w="2995" w:type="dxa"/>
            <w:vAlign w:val="top"/>
          </w:tcPr>
          <w:p>
            <w:pPr>
              <w:pStyle w:val="6"/>
              <w:spacing w:before="110" w:line="224" w:lineRule="auto"/>
              <w:ind w:left="1170"/>
            </w:pPr>
            <w:r>
              <w:rPr>
                <w:spacing w:val="-3"/>
              </w:rPr>
              <w:t>中营养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643" w:type="dxa"/>
            <w:vAlign w:val="top"/>
          </w:tcPr>
          <w:p>
            <w:pPr>
              <w:spacing w:before="142" w:line="194" w:lineRule="auto"/>
              <w:ind w:left="76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6</w:t>
            </w:r>
          </w:p>
        </w:tc>
        <w:tc>
          <w:tcPr>
            <w:tcW w:w="3038" w:type="dxa"/>
            <w:vAlign w:val="top"/>
          </w:tcPr>
          <w:p>
            <w:pPr>
              <w:pStyle w:val="6"/>
              <w:spacing w:before="108" w:line="225" w:lineRule="auto"/>
              <w:ind w:left="1045"/>
            </w:pPr>
            <w:r>
              <w:rPr>
                <w:spacing w:val="6"/>
              </w:rPr>
              <w:t>双溪水库</w:t>
            </w:r>
          </w:p>
        </w:tc>
        <w:tc>
          <w:tcPr>
            <w:tcW w:w="3334" w:type="dxa"/>
            <w:vAlign w:val="top"/>
          </w:tcPr>
          <w:p>
            <w:pPr>
              <w:pStyle w:val="6"/>
              <w:spacing w:before="108" w:line="226" w:lineRule="auto"/>
              <w:ind w:left="1316"/>
            </w:pPr>
            <w:r>
              <w:rPr>
                <w:spacing w:val="6"/>
              </w:rPr>
              <w:t>起水站</w:t>
            </w:r>
          </w:p>
        </w:tc>
        <w:tc>
          <w:tcPr>
            <w:tcW w:w="2478" w:type="dxa"/>
            <w:vAlign w:val="top"/>
          </w:tcPr>
          <w:p>
            <w:pPr>
              <w:pStyle w:val="6"/>
              <w:spacing w:before="108" w:line="225" w:lineRule="auto"/>
              <w:ind w:left="1014"/>
            </w:pPr>
            <w:r>
              <w:rPr>
                <w:spacing w:val="1"/>
              </w:rPr>
              <w:t>省考</w:t>
            </w:r>
          </w:p>
        </w:tc>
        <w:tc>
          <w:tcPr>
            <w:tcW w:w="2995" w:type="dxa"/>
            <w:vAlign w:val="top"/>
          </w:tcPr>
          <w:p>
            <w:pPr>
              <w:pStyle w:val="6"/>
              <w:spacing w:before="108" w:line="224" w:lineRule="auto"/>
              <w:ind w:left="1170"/>
            </w:pPr>
            <w:r>
              <w:rPr>
                <w:spacing w:val="-3"/>
              </w:rPr>
              <w:t>中营养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7" w:hRule="atLeast"/>
        </w:trPr>
        <w:tc>
          <w:tcPr>
            <w:tcW w:w="1643" w:type="dxa"/>
            <w:vAlign w:val="top"/>
          </w:tcPr>
          <w:p>
            <w:pPr>
              <w:spacing w:before="146" w:line="191" w:lineRule="auto"/>
              <w:ind w:left="76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7</w:t>
            </w:r>
          </w:p>
        </w:tc>
        <w:tc>
          <w:tcPr>
            <w:tcW w:w="3038" w:type="dxa"/>
            <w:vAlign w:val="top"/>
          </w:tcPr>
          <w:p>
            <w:pPr>
              <w:pStyle w:val="6"/>
              <w:spacing w:before="108" w:line="225" w:lineRule="auto"/>
              <w:ind w:left="1055"/>
            </w:pPr>
            <w:r>
              <w:rPr>
                <w:spacing w:val="4"/>
              </w:rPr>
              <w:t>二滩水库</w:t>
            </w:r>
          </w:p>
        </w:tc>
        <w:tc>
          <w:tcPr>
            <w:tcW w:w="3334" w:type="dxa"/>
            <w:vAlign w:val="top"/>
          </w:tcPr>
          <w:p>
            <w:pPr>
              <w:pStyle w:val="6"/>
              <w:spacing w:before="108" w:line="225" w:lineRule="auto"/>
              <w:ind w:left="1199"/>
            </w:pPr>
            <w:r>
              <w:rPr>
                <w:spacing w:val="6"/>
              </w:rPr>
              <w:t>红壁滩下</w:t>
            </w:r>
          </w:p>
        </w:tc>
        <w:tc>
          <w:tcPr>
            <w:tcW w:w="2478" w:type="dxa"/>
            <w:vAlign w:val="top"/>
          </w:tcPr>
          <w:p>
            <w:pPr>
              <w:pStyle w:val="6"/>
              <w:spacing w:before="108" w:line="225" w:lineRule="auto"/>
              <w:ind w:left="1014"/>
            </w:pPr>
            <w:r>
              <w:rPr>
                <w:spacing w:val="1"/>
              </w:rPr>
              <w:t>省考</w:t>
            </w:r>
          </w:p>
        </w:tc>
        <w:tc>
          <w:tcPr>
            <w:tcW w:w="2995" w:type="dxa"/>
            <w:vAlign w:val="top"/>
          </w:tcPr>
          <w:p>
            <w:pPr>
              <w:pStyle w:val="6"/>
              <w:spacing w:before="108" w:line="224" w:lineRule="auto"/>
              <w:ind w:left="1152"/>
            </w:pPr>
            <w:r>
              <w:rPr>
                <w:spacing w:val="3"/>
              </w:rPr>
              <w:t>贫营养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643" w:type="dxa"/>
            <w:vAlign w:val="top"/>
          </w:tcPr>
          <w:p>
            <w:pPr>
              <w:spacing w:before="146" w:line="194" w:lineRule="auto"/>
              <w:ind w:left="77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8</w:t>
            </w:r>
          </w:p>
        </w:tc>
        <w:tc>
          <w:tcPr>
            <w:tcW w:w="3038" w:type="dxa"/>
            <w:vAlign w:val="top"/>
          </w:tcPr>
          <w:p>
            <w:pPr>
              <w:pStyle w:val="6"/>
              <w:spacing w:before="111" w:line="227" w:lineRule="auto"/>
              <w:ind w:left="1196"/>
            </w:pPr>
            <w:r>
              <w:rPr>
                <w:spacing w:val="-5"/>
              </w:rPr>
              <w:t>白龙湖</w:t>
            </w:r>
          </w:p>
        </w:tc>
        <w:tc>
          <w:tcPr>
            <w:tcW w:w="3334" w:type="dxa"/>
            <w:vAlign w:val="top"/>
          </w:tcPr>
          <w:p>
            <w:pPr>
              <w:pStyle w:val="6"/>
              <w:spacing w:before="112" w:line="224" w:lineRule="auto"/>
              <w:ind w:left="1441"/>
            </w:pPr>
            <w:r>
              <w:rPr>
                <w:spacing w:val="1"/>
              </w:rPr>
              <w:t>坝前</w:t>
            </w:r>
          </w:p>
        </w:tc>
        <w:tc>
          <w:tcPr>
            <w:tcW w:w="2478" w:type="dxa"/>
            <w:vAlign w:val="top"/>
          </w:tcPr>
          <w:p>
            <w:pPr>
              <w:pStyle w:val="6"/>
              <w:spacing w:before="112" w:line="225" w:lineRule="auto"/>
              <w:ind w:left="1014"/>
            </w:pPr>
            <w:r>
              <w:rPr>
                <w:spacing w:val="1"/>
              </w:rPr>
              <w:t>省考</w:t>
            </w:r>
          </w:p>
        </w:tc>
        <w:tc>
          <w:tcPr>
            <w:tcW w:w="2995" w:type="dxa"/>
            <w:vAlign w:val="top"/>
          </w:tcPr>
          <w:p>
            <w:pPr>
              <w:pStyle w:val="6"/>
              <w:spacing w:before="111" w:line="224" w:lineRule="auto"/>
              <w:ind w:left="1152"/>
            </w:pPr>
            <w:r>
              <w:rPr>
                <w:spacing w:val="3"/>
              </w:rPr>
              <w:t>贫营养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643" w:type="dxa"/>
            <w:vAlign w:val="top"/>
          </w:tcPr>
          <w:p>
            <w:pPr>
              <w:spacing w:before="144" w:line="194" w:lineRule="auto"/>
              <w:ind w:left="76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9</w:t>
            </w:r>
          </w:p>
        </w:tc>
        <w:tc>
          <w:tcPr>
            <w:tcW w:w="3038" w:type="dxa"/>
            <w:vAlign w:val="top"/>
          </w:tcPr>
          <w:p>
            <w:pPr>
              <w:pStyle w:val="6"/>
              <w:spacing w:before="110" w:line="225" w:lineRule="auto"/>
              <w:ind w:left="1047"/>
            </w:pPr>
            <w:r>
              <w:rPr>
                <w:spacing w:val="6"/>
              </w:rPr>
              <w:t>升钟水库</w:t>
            </w:r>
          </w:p>
        </w:tc>
        <w:tc>
          <w:tcPr>
            <w:tcW w:w="3334" w:type="dxa"/>
            <w:vAlign w:val="top"/>
          </w:tcPr>
          <w:p>
            <w:pPr>
              <w:pStyle w:val="6"/>
              <w:spacing w:before="110" w:line="226" w:lineRule="auto"/>
              <w:ind w:left="1316"/>
            </w:pPr>
            <w:r>
              <w:rPr>
                <w:spacing w:val="5"/>
              </w:rPr>
              <w:t>李家坝</w:t>
            </w:r>
          </w:p>
        </w:tc>
        <w:tc>
          <w:tcPr>
            <w:tcW w:w="2478" w:type="dxa"/>
            <w:vAlign w:val="top"/>
          </w:tcPr>
          <w:p>
            <w:pPr>
              <w:pStyle w:val="6"/>
              <w:spacing w:before="110" w:line="225" w:lineRule="auto"/>
              <w:ind w:left="1014"/>
            </w:pPr>
            <w:r>
              <w:rPr>
                <w:spacing w:val="1"/>
              </w:rPr>
              <w:t>省考</w:t>
            </w:r>
          </w:p>
        </w:tc>
        <w:tc>
          <w:tcPr>
            <w:tcW w:w="2995" w:type="dxa"/>
            <w:vAlign w:val="top"/>
          </w:tcPr>
          <w:p>
            <w:pPr>
              <w:pStyle w:val="6"/>
              <w:spacing w:before="109" w:line="224" w:lineRule="auto"/>
              <w:ind w:left="1170"/>
            </w:pPr>
            <w:r>
              <w:rPr>
                <w:spacing w:val="-3"/>
              </w:rPr>
              <w:t>中营养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643" w:type="dxa"/>
            <w:vAlign w:val="top"/>
          </w:tcPr>
          <w:p>
            <w:pPr>
              <w:spacing w:before="145" w:line="194" w:lineRule="auto"/>
              <w:ind w:left="72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3"/>
                <w:szCs w:val="23"/>
              </w:rPr>
              <w:t>10</w:t>
            </w:r>
          </w:p>
        </w:tc>
        <w:tc>
          <w:tcPr>
            <w:tcW w:w="3038" w:type="dxa"/>
            <w:vAlign w:val="top"/>
          </w:tcPr>
          <w:p>
            <w:pPr>
              <w:pStyle w:val="6"/>
              <w:spacing w:before="111" w:line="223" w:lineRule="auto"/>
              <w:ind w:left="1164"/>
            </w:pPr>
            <w:r>
              <w:rPr>
                <w:spacing w:val="6"/>
              </w:rPr>
              <w:t>瀑布沟</w:t>
            </w:r>
          </w:p>
        </w:tc>
        <w:tc>
          <w:tcPr>
            <w:tcW w:w="3334" w:type="dxa"/>
            <w:vAlign w:val="top"/>
          </w:tcPr>
          <w:p>
            <w:pPr>
              <w:pStyle w:val="6"/>
              <w:spacing w:before="112" w:line="225" w:lineRule="auto"/>
              <w:ind w:left="1442"/>
            </w:pPr>
            <w:r>
              <w:rPr>
                <w:spacing w:val="1"/>
              </w:rPr>
              <w:t>青富</w:t>
            </w:r>
          </w:p>
        </w:tc>
        <w:tc>
          <w:tcPr>
            <w:tcW w:w="2478" w:type="dxa"/>
            <w:vAlign w:val="top"/>
          </w:tcPr>
          <w:p>
            <w:pPr>
              <w:pStyle w:val="6"/>
              <w:spacing w:before="112" w:line="225" w:lineRule="auto"/>
              <w:ind w:left="1014"/>
            </w:pPr>
            <w:r>
              <w:rPr>
                <w:spacing w:val="1"/>
              </w:rPr>
              <w:t>省考</w:t>
            </w:r>
          </w:p>
        </w:tc>
        <w:tc>
          <w:tcPr>
            <w:tcW w:w="2995" w:type="dxa"/>
            <w:vAlign w:val="top"/>
          </w:tcPr>
          <w:p>
            <w:pPr>
              <w:pStyle w:val="6"/>
              <w:spacing w:before="111" w:line="224" w:lineRule="auto"/>
              <w:ind w:left="1152"/>
            </w:pPr>
            <w:r>
              <w:rPr>
                <w:spacing w:val="3"/>
              </w:rPr>
              <w:t>贫营养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65" w:hRule="atLeast"/>
        </w:trPr>
        <w:tc>
          <w:tcPr>
            <w:tcW w:w="1643" w:type="dxa"/>
            <w:vAlign w:val="top"/>
          </w:tcPr>
          <w:p>
            <w:pPr>
              <w:spacing w:before="148" w:line="194" w:lineRule="auto"/>
              <w:ind w:left="73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sz w:val="23"/>
                <w:szCs w:val="23"/>
              </w:rPr>
              <w:t>11</w:t>
            </w:r>
          </w:p>
        </w:tc>
        <w:tc>
          <w:tcPr>
            <w:tcW w:w="3038" w:type="dxa"/>
            <w:vAlign w:val="top"/>
          </w:tcPr>
          <w:p>
            <w:pPr>
              <w:pStyle w:val="6"/>
              <w:spacing w:before="114" w:line="225" w:lineRule="auto"/>
              <w:ind w:left="1049"/>
            </w:pPr>
            <w:r>
              <w:rPr>
                <w:spacing w:val="5"/>
              </w:rPr>
              <w:t>沉抗水库</w:t>
            </w:r>
          </w:p>
        </w:tc>
        <w:tc>
          <w:tcPr>
            <w:tcW w:w="3334" w:type="dxa"/>
            <w:vAlign w:val="top"/>
          </w:tcPr>
          <w:p>
            <w:pPr>
              <w:pStyle w:val="6"/>
              <w:spacing w:before="114" w:line="225" w:lineRule="auto"/>
              <w:ind w:left="1201"/>
            </w:pPr>
            <w:r>
              <w:rPr>
                <w:spacing w:val="5"/>
              </w:rPr>
              <w:t>沉抗水库</w:t>
            </w:r>
          </w:p>
        </w:tc>
        <w:tc>
          <w:tcPr>
            <w:tcW w:w="2478" w:type="dxa"/>
            <w:vAlign w:val="top"/>
          </w:tcPr>
          <w:p>
            <w:pPr>
              <w:pStyle w:val="6"/>
              <w:spacing w:before="114" w:line="225" w:lineRule="auto"/>
              <w:ind w:left="1014"/>
            </w:pPr>
            <w:r>
              <w:rPr>
                <w:spacing w:val="1"/>
              </w:rPr>
              <w:t>省考</w:t>
            </w:r>
          </w:p>
        </w:tc>
        <w:tc>
          <w:tcPr>
            <w:tcW w:w="2995" w:type="dxa"/>
            <w:vAlign w:val="top"/>
          </w:tcPr>
          <w:p>
            <w:pPr>
              <w:pStyle w:val="6"/>
              <w:spacing w:before="113" w:line="224" w:lineRule="auto"/>
              <w:ind w:left="1170"/>
            </w:pPr>
            <w:r>
              <w:rPr>
                <w:spacing w:val="-3"/>
              </w:rPr>
              <w:t>中营养</w:t>
            </w: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6837" w:h="11906"/>
          <w:pgMar w:top="1011" w:right="2095" w:bottom="400" w:left="638" w:header="0" w:footer="0" w:gutter="0"/>
          <w:cols w:equalWidth="0" w:num="1">
            <w:col w:w="14104"/>
          </w:cols>
        </w:sect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184" w:line="215" w:lineRule="auto"/>
        <w:ind w:left="3978"/>
        <w:rPr>
          <w:rFonts w:ascii="Microsoft YaHei" w:hAnsi="Microsoft YaHei" w:eastAsia="Microsoft YaHei" w:cs="Microsoft YaHei"/>
          <w:sz w:val="43"/>
          <w:szCs w:val="43"/>
        </w:rPr>
      </w:pPr>
      <w: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column">
                  <wp:posOffset>-100330</wp:posOffset>
                </wp:positionH>
                <wp:positionV relativeFrom="paragraph">
                  <wp:posOffset>4248785</wp:posOffset>
                </wp:positionV>
                <wp:extent cx="646430" cy="310515"/>
                <wp:effectExtent l="0" t="0" r="0" b="0"/>
                <wp:wrapNone/>
                <wp:docPr id="16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 rot="5400000">
                          <a:off x="-100870" y="4248905"/>
                          <a:ext cx="646430" cy="31051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03" w:line="241" w:lineRule="auto"/>
                              <w:ind w:left="20"/>
                              <w:rPr>
                                <w:rFonts w:ascii="SimSun" w:hAnsi="SimSun" w:eastAsia="SimSun" w:cs="SimSu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pacing w:val="-9"/>
                                <w:sz w:val="28"/>
                                <w:szCs w:val="28"/>
                              </w:rPr>
                              <w:t>—</w:t>
                            </w:r>
                            <w:r>
                              <w:rPr>
                                <w:rFonts w:ascii="SimSun" w:hAnsi="SimSun" w:eastAsia="SimSun" w:cs="SimSun"/>
                                <w:spacing w:val="2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SimSun" w:hAnsi="SimSun" w:eastAsia="SimSun" w:cs="SimSun"/>
                                <w:spacing w:val="-9"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rFonts w:ascii="SimSun" w:hAnsi="SimSun" w:eastAsia="SimSun" w:cs="SimSun"/>
                                <w:spacing w:val="1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SimSun" w:hAnsi="SimSun" w:eastAsia="SimSun" w:cs="SimSun"/>
                                <w:spacing w:val="-9"/>
                                <w:sz w:val="28"/>
                                <w:szCs w:val="28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" o:spid="_x0000_s1026" o:spt="202" type="#_x0000_t202" style="position:absolute;left:0pt;margin-left:-7.9pt;margin-top:334.55pt;height:24.45pt;width:50.9pt;rotation:5898240f;z-index:251666432;mso-width-relative:page;mso-height-relative:page;" filled="f" stroked="f" coordsize="21600,21600" o:gfxdata="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WAAAAZHJzL1BLAQIUABQAAAAIAIdO4kAqD53/2AAAAAoBAAAP&#10;AAAAAAAAAAEAIAAAADgAAABkcnMvZG93bnJldi54bWxQSwECFAAUAAAACACHTuJA5TiT0TsCAABm&#10;BAAADgAAAAAAAAABACAAAAA9AQAAZHJzL2Uyb0RvYy54bWxQSwUGAAAAAAYABgBZAQAA6g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03" w:line="241" w:lineRule="auto"/>
                        <w:ind w:left="20"/>
                        <w:rPr>
                          <w:rFonts w:ascii="SimSun" w:hAnsi="SimSun" w:eastAsia="SimSun" w:cs="SimSun"/>
                          <w:sz w:val="28"/>
                          <w:szCs w:val="28"/>
                        </w:rPr>
                      </w:pPr>
                      <w:r>
                        <w:rPr>
                          <w:rFonts w:ascii="SimSun" w:hAnsi="SimSun" w:eastAsia="SimSun" w:cs="SimSun"/>
                          <w:spacing w:val="-9"/>
                          <w:sz w:val="28"/>
                          <w:szCs w:val="28"/>
                        </w:rPr>
                        <w:t>—</w:t>
                      </w:r>
                      <w:r>
                        <w:rPr>
                          <w:rFonts w:ascii="SimSun" w:hAnsi="SimSun" w:eastAsia="SimSun" w:cs="SimSun"/>
                          <w:spacing w:val="2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SimSun" w:hAnsi="SimSun" w:eastAsia="SimSun" w:cs="SimSun"/>
                          <w:spacing w:val="-9"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rFonts w:ascii="SimSun" w:hAnsi="SimSun" w:eastAsia="SimSun" w:cs="SimSun"/>
                          <w:spacing w:val="1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SimSun" w:hAnsi="SimSun" w:eastAsia="SimSun" w:cs="SimSun"/>
                          <w:spacing w:val="-9"/>
                          <w:sz w:val="28"/>
                          <w:szCs w:val="28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28" o:spid="_x0000_s1028" style="position:absolute;left:0pt;margin-left:0.25pt;margin-top:307.15pt;height:89.2pt;width:34.7pt;z-index:-251651072;mso-width-relative:page;mso-height-relative:page;" filled="f" stroked="t" coordsize="694,1783" path="m0,0l0,1783,693,1783,693,0,0,0e">
            <v:fill on="f" focussize="0,0"/>
            <v:stroke weight="0.5pt" color="#FFFFFF" miterlimit="0" joinstyle="miter"/>
            <v:imagedata o:title=""/>
            <o:lock v:ext="edit"/>
          </v:shape>
        </w:pict>
      </w:r>
      <w:r>
        <w:rPr>
          <w:rFonts w:ascii="Times New Roman" w:hAnsi="Times New Roman" w:eastAsia="Times New Roman" w:cs="Times New Roman"/>
          <w:spacing w:val="3"/>
          <w:sz w:val="43"/>
          <w:szCs w:val="43"/>
        </w:rPr>
        <w:t xml:space="preserve">2026 </w:t>
      </w:r>
      <w:r>
        <w:rPr>
          <w:rFonts w:ascii="Microsoft YaHei" w:hAnsi="Microsoft YaHei" w:eastAsia="Microsoft YaHei" w:cs="Microsoft YaHei"/>
          <w:spacing w:val="3"/>
          <w:sz w:val="43"/>
          <w:szCs w:val="43"/>
        </w:rPr>
        <w:t>年</w:t>
      </w:r>
      <w:r>
        <w:rPr>
          <w:rFonts w:ascii="Times New Roman" w:hAnsi="Times New Roman" w:eastAsia="Times New Roman" w:cs="Times New Roman"/>
          <w:spacing w:val="3"/>
          <w:sz w:val="43"/>
          <w:szCs w:val="43"/>
        </w:rPr>
        <w:t>1</w:t>
      </w:r>
      <w:r>
        <w:rPr>
          <w:rFonts w:ascii="Microsoft YaHei" w:hAnsi="Microsoft YaHei" w:eastAsia="Microsoft YaHei" w:cs="Microsoft YaHei"/>
          <w:spacing w:val="3"/>
          <w:sz w:val="43"/>
          <w:szCs w:val="43"/>
        </w:rPr>
        <w:t>月全省环境空气质量情况</w:t>
      </w:r>
    </w:p>
    <w:p>
      <w:pPr>
        <w:spacing w:before="215"/>
      </w:pPr>
    </w:p>
    <w:tbl>
      <w:tblPr>
        <w:tblStyle w:val="5"/>
        <w:tblW w:w="13445" w:type="dxa"/>
        <w:tblInd w:w="54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4"/>
        <w:gridCol w:w="1264"/>
        <w:gridCol w:w="1116"/>
        <w:gridCol w:w="1144"/>
        <w:gridCol w:w="1267"/>
        <w:gridCol w:w="1701"/>
        <w:gridCol w:w="1554"/>
        <w:gridCol w:w="1701"/>
        <w:gridCol w:w="171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69" w:hRule="atLeast"/>
        </w:trPr>
        <w:tc>
          <w:tcPr>
            <w:tcW w:w="1984" w:type="dxa"/>
            <w:vMerge w:val="restart"/>
            <w:tcBorders>
              <w:bottom w:val="nil"/>
            </w:tcBorders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</w:p>
          <w:p>
            <w:pPr>
              <w:spacing w:before="75" w:line="213" w:lineRule="auto"/>
              <w:ind w:left="774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-2"/>
                <w:sz w:val="23"/>
                <w:szCs w:val="23"/>
              </w:rPr>
              <w:t>区域</w:t>
            </w:r>
          </w:p>
        </w:tc>
        <w:tc>
          <w:tcPr>
            <w:tcW w:w="1264" w:type="dxa"/>
            <w:vMerge w:val="restart"/>
            <w:tcBorders>
              <w:bottom w:val="nil"/>
            </w:tcBorders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</w:p>
          <w:p>
            <w:pPr>
              <w:spacing w:before="75" w:line="215" w:lineRule="auto"/>
              <w:ind w:left="159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4"/>
                <w:sz w:val="23"/>
                <w:szCs w:val="23"/>
              </w:rPr>
              <w:t>市（州）</w:t>
            </w:r>
          </w:p>
        </w:tc>
        <w:tc>
          <w:tcPr>
            <w:tcW w:w="2260" w:type="dxa"/>
            <w:gridSpan w:val="2"/>
            <w:vAlign w:val="top"/>
          </w:tcPr>
          <w:p>
            <w:pPr>
              <w:spacing w:before="131" w:line="199" w:lineRule="auto"/>
              <w:ind w:left="85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PM</w:t>
            </w:r>
            <w:r>
              <w:rPr>
                <w:rFonts w:ascii="Times New Roman" w:hAnsi="Times New Roman" w:eastAsia="Times New Roman" w:cs="Times New Roman"/>
                <w:spacing w:val="4"/>
                <w:position w:val="-1"/>
                <w:sz w:val="16"/>
                <w:szCs w:val="16"/>
              </w:rPr>
              <w:t>2.5</w:t>
            </w:r>
          </w:p>
        </w:tc>
        <w:tc>
          <w:tcPr>
            <w:tcW w:w="2968" w:type="dxa"/>
            <w:gridSpan w:val="2"/>
            <w:vAlign w:val="top"/>
          </w:tcPr>
          <w:p>
            <w:pPr>
              <w:spacing w:before="92" w:line="214" w:lineRule="auto"/>
              <w:ind w:left="765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8"/>
                <w:sz w:val="23"/>
                <w:szCs w:val="23"/>
              </w:rPr>
              <w:t>优良天数比率</w:t>
            </w:r>
          </w:p>
        </w:tc>
        <w:tc>
          <w:tcPr>
            <w:tcW w:w="3255" w:type="dxa"/>
            <w:gridSpan w:val="2"/>
            <w:vAlign w:val="top"/>
          </w:tcPr>
          <w:p>
            <w:pPr>
              <w:spacing w:before="92" w:line="214" w:lineRule="auto"/>
              <w:ind w:left="1040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6"/>
                <w:sz w:val="23"/>
                <w:szCs w:val="23"/>
              </w:rPr>
              <w:t>重污染天数</w:t>
            </w:r>
          </w:p>
        </w:tc>
        <w:tc>
          <w:tcPr>
            <w:tcW w:w="1714" w:type="dxa"/>
            <w:vMerge w:val="restart"/>
            <w:tcBorders>
              <w:bottom w:val="nil"/>
            </w:tcBorders>
            <w:vAlign w:val="top"/>
          </w:tcPr>
          <w:p>
            <w:pPr>
              <w:spacing w:before="275" w:line="292" w:lineRule="auto"/>
              <w:ind w:left="379" w:right="137" w:hanging="238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8"/>
                <w:sz w:val="23"/>
                <w:szCs w:val="23"/>
              </w:rPr>
              <w:t>环境空气质量综合指数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24" w:hRule="atLeast"/>
        </w:trPr>
        <w:tc>
          <w:tcPr>
            <w:tcW w:w="19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6" w:type="dxa"/>
            <w:vAlign w:val="top"/>
          </w:tcPr>
          <w:p>
            <w:pPr>
              <w:spacing w:before="88" w:line="251" w:lineRule="auto"/>
              <w:ind w:left="105" w:right="116" w:firstLine="216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5"/>
                <w:sz w:val="23"/>
                <w:szCs w:val="23"/>
              </w:rPr>
              <w:t>浓度</w:t>
            </w:r>
            <w:r>
              <w:rPr>
                <w:rFonts w:ascii="SimHei" w:hAnsi="SimHei" w:eastAsia="SimHei" w:cs="SimHei"/>
                <w:sz w:val="23"/>
                <w:szCs w:val="23"/>
              </w:rPr>
              <w:t xml:space="preserve"> </w:t>
            </w:r>
            <w:r>
              <w:rPr>
                <w:rFonts w:ascii="SimHei" w:hAnsi="SimHei" w:eastAsia="SimHei" w:cs="SimHei"/>
                <w:spacing w:val="-3"/>
                <w:sz w:val="23"/>
                <w:szCs w:val="23"/>
              </w:rPr>
              <w:t>(</w:t>
            </w: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μg/m</w:t>
            </w:r>
            <w:r>
              <w:rPr>
                <w:rFonts w:ascii="Times New Roman" w:hAnsi="Times New Roman" w:eastAsia="Times New Roman" w:cs="Times New Roman"/>
                <w:spacing w:val="-3"/>
                <w:position w:val="8"/>
                <w:sz w:val="16"/>
                <w:szCs w:val="16"/>
              </w:rPr>
              <w:t>3</w:t>
            </w:r>
            <w:r>
              <w:rPr>
                <w:rFonts w:ascii="SimHei" w:hAnsi="SimHei" w:eastAsia="SimHei" w:cs="SimHei"/>
                <w:spacing w:val="-3"/>
                <w:sz w:val="23"/>
                <w:szCs w:val="23"/>
              </w:rPr>
              <w:t>）</w:t>
            </w:r>
          </w:p>
        </w:tc>
        <w:tc>
          <w:tcPr>
            <w:tcW w:w="1144" w:type="dxa"/>
            <w:vAlign w:val="top"/>
          </w:tcPr>
          <w:p>
            <w:pPr>
              <w:spacing w:before="94" w:line="210" w:lineRule="auto"/>
              <w:ind w:left="349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-1"/>
                <w:sz w:val="23"/>
                <w:szCs w:val="23"/>
              </w:rPr>
              <w:t>同比</w:t>
            </w:r>
          </w:p>
          <w:p>
            <w:pPr>
              <w:spacing w:before="91" w:line="214" w:lineRule="auto"/>
              <w:ind w:left="181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SimHei" w:hAnsi="SimHei" w:eastAsia="SimHei" w:cs="SimHei"/>
                <w:spacing w:val="2"/>
                <w:sz w:val="23"/>
                <w:szCs w:val="23"/>
              </w:rPr>
              <w:t>年</w:t>
            </w:r>
          </w:p>
        </w:tc>
        <w:tc>
          <w:tcPr>
            <w:tcW w:w="1267" w:type="dxa"/>
            <w:vAlign w:val="top"/>
          </w:tcPr>
          <w:p>
            <w:pPr>
              <w:spacing w:before="269" w:line="214" w:lineRule="auto"/>
              <w:jc w:val="right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-20"/>
                <w:sz w:val="23"/>
                <w:szCs w:val="23"/>
              </w:rPr>
              <w:t>实测值（</w:t>
            </w:r>
            <w:r>
              <w:rPr>
                <w:rFonts w:ascii="Times New Roman" w:hAnsi="Times New Roman" w:eastAsia="Times New Roman" w:cs="Times New Roman"/>
                <w:spacing w:val="-20"/>
                <w:sz w:val="23"/>
                <w:szCs w:val="23"/>
              </w:rPr>
              <w:t>%</w:t>
            </w:r>
            <w:r>
              <w:rPr>
                <w:rFonts w:ascii="SimHei" w:hAnsi="SimHei" w:eastAsia="SimHei" w:cs="SimHei"/>
                <w:spacing w:val="-20"/>
                <w:sz w:val="23"/>
                <w:szCs w:val="23"/>
              </w:rPr>
              <w:t>）</w:t>
            </w:r>
          </w:p>
        </w:tc>
        <w:tc>
          <w:tcPr>
            <w:tcW w:w="1701" w:type="dxa"/>
            <w:vAlign w:val="top"/>
          </w:tcPr>
          <w:p>
            <w:pPr>
              <w:spacing w:before="88" w:line="251" w:lineRule="auto"/>
              <w:ind w:left="216" w:right="188" w:hanging="8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1"/>
                <w:sz w:val="23"/>
                <w:szCs w:val="23"/>
              </w:rPr>
              <w:t>同比</w:t>
            </w:r>
            <w:r>
              <w:rPr>
                <w:rFonts w:ascii="SimHei" w:hAnsi="SimHei" w:eastAsia="SimHei" w:cs="SimHei"/>
                <w:spacing w:val="-5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  <w:sz w:val="23"/>
                <w:szCs w:val="23"/>
              </w:rPr>
              <w:t xml:space="preserve"> </w:t>
            </w:r>
            <w:r>
              <w:rPr>
                <w:rFonts w:ascii="SimHei" w:hAnsi="SimHei" w:eastAsia="SimHei" w:cs="SimHei"/>
                <w:spacing w:val="1"/>
                <w:sz w:val="23"/>
                <w:szCs w:val="23"/>
              </w:rPr>
              <w:t>年（百分点）</w:t>
            </w:r>
          </w:p>
        </w:tc>
        <w:tc>
          <w:tcPr>
            <w:tcW w:w="1554" w:type="dxa"/>
            <w:vAlign w:val="top"/>
          </w:tcPr>
          <w:p>
            <w:pPr>
              <w:spacing w:before="269" w:line="214" w:lineRule="auto"/>
              <w:ind w:left="188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6"/>
                <w:sz w:val="23"/>
                <w:szCs w:val="23"/>
              </w:rPr>
              <w:t>重污染天数</w:t>
            </w:r>
          </w:p>
        </w:tc>
        <w:tc>
          <w:tcPr>
            <w:tcW w:w="1701" w:type="dxa"/>
            <w:vAlign w:val="top"/>
          </w:tcPr>
          <w:p>
            <w:pPr>
              <w:spacing w:before="87" w:line="215" w:lineRule="auto"/>
              <w:ind w:left="210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1"/>
                <w:sz w:val="23"/>
                <w:szCs w:val="23"/>
              </w:rPr>
              <w:t>同比</w:t>
            </w:r>
            <w:r>
              <w:rPr>
                <w:rFonts w:ascii="SimHei" w:hAnsi="SimHei" w:eastAsia="SimHei" w:cs="SimHei"/>
                <w:spacing w:val="-5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8"/>
                <w:sz w:val="23"/>
                <w:szCs w:val="23"/>
              </w:rPr>
              <w:t xml:space="preserve"> </w:t>
            </w:r>
            <w:r>
              <w:rPr>
                <w:rFonts w:ascii="SimHei" w:hAnsi="SimHei" w:eastAsia="SimHei" w:cs="SimHei"/>
                <w:spacing w:val="1"/>
                <w:sz w:val="23"/>
                <w:szCs w:val="23"/>
              </w:rPr>
              <w:t>年</w:t>
            </w:r>
          </w:p>
          <w:p>
            <w:pPr>
              <w:spacing w:before="97" w:line="209" w:lineRule="auto"/>
              <w:ind w:left="459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-4"/>
                <w:sz w:val="23"/>
                <w:szCs w:val="23"/>
              </w:rPr>
              <w:t>（天）</w:t>
            </w:r>
          </w:p>
        </w:tc>
        <w:tc>
          <w:tcPr>
            <w:tcW w:w="17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64" w:hRule="atLeast"/>
        </w:trPr>
        <w:tc>
          <w:tcPr>
            <w:tcW w:w="1984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4" w:lineRule="auto"/>
              <w:ind w:left="285"/>
            </w:pPr>
            <w:r>
              <w:rPr>
                <w:spacing w:val="7"/>
              </w:rPr>
              <w:t>成都平原地区</w:t>
            </w:r>
          </w:p>
        </w:tc>
        <w:tc>
          <w:tcPr>
            <w:tcW w:w="1264" w:type="dxa"/>
            <w:vAlign w:val="top"/>
          </w:tcPr>
          <w:p>
            <w:pPr>
              <w:pStyle w:val="6"/>
              <w:spacing w:before="83" w:line="217" w:lineRule="auto"/>
              <w:ind w:left="282"/>
            </w:pPr>
            <w:r>
              <w:rPr>
                <w:spacing w:val="4"/>
              </w:rPr>
              <w:t>成都市</w:t>
            </w:r>
          </w:p>
        </w:tc>
        <w:tc>
          <w:tcPr>
            <w:tcW w:w="1116" w:type="dxa"/>
            <w:vAlign w:val="top"/>
          </w:tcPr>
          <w:p>
            <w:pPr>
              <w:spacing w:before="124" w:line="194" w:lineRule="auto"/>
              <w:ind w:left="35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65.8</w:t>
            </w:r>
          </w:p>
        </w:tc>
        <w:tc>
          <w:tcPr>
            <w:tcW w:w="1144" w:type="dxa"/>
            <w:vAlign w:val="top"/>
          </w:tcPr>
          <w:p>
            <w:pPr>
              <w:spacing w:before="123" w:line="195" w:lineRule="auto"/>
              <w:ind w:left="28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-2.4%</w:t>
            </w:r>
          </w:p>
        </w:tc>
        <w:tc>
          <w:tcPr>
            <w:tcW w:w="1267" w:type="dxa"/>
            <w:vAlign w:val="top"/>
          </w:tcPr>
          <w:p>
            <w:pPr>
              <w:spacing w:before="123" w:line="195" w:lineRule="auto"/>
              <w:ind w:left="42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71.0</w:t>
            </w:r>
          </w:p>
        </w:tc>
        <w:tc>
          <w:tcPr>
            <w:tcW w:w="1701" w:type="dxa"/>
            <w:vAlign w:val="top"/>
          </w:tcPr>
          <w:p>
            <w:pPr>
              <w:spacing w:before="124" w:line="194" w:lineRule="auto"/>
              <w:ind w:left="66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-3.2</w:t>
            </w:r>
          </w:p>
        </w:tc>
        <w:tc>
          <w:tcPr>
            <w:tcW w:w="1554" w:type="dxa"/>
            <w:vAlign w:val="top"/>
          </w:tcPr>
          <w:p>
            <w:pPr>
              <w:spacing w:before="124" w:line="194" w:lineRule="auto"/>
              <w:ind w:left="72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701" w:type="dxa"/>
            <w:vAlign w:val="top"/>
          </w:tcPr>
          <w:p>
            <w:pPr>
              <w:spacing w:before="123" w:line="195" w:lineRule="auto"/>
              <w:ind w:left="75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-2</w:t>
            </w:r>
          </w:p>
        </w:tc>
        <w:tc>
          <w:tcPr>
            <w:tcW w:w="1714" w:type="dxa"/>
            <w:vAlign w:val="top"/>
          </w:tcPr>
          <w:p>
            <w:pPr>
              <w:spacing w:before="123" w:line="195" w:lineRule="auto"/>
              <w:ind w:left="65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5.09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64" w:hRule="atLeast"/>
        </w:trPr>
        <w:tc>
          <w:tcPr>
            <w:tcW w:w="19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>
            <w:pPr>
              <w:pStyle w:val="6"/>
              <w:spacing w:before="83" w:line="217" w:lineRule="auto"/>
              <w:ind w:left="271"/>
            </w:pPr>
            <w:r>
              <w:rPr>
                <w:spacing w:val="8"/>
              </w:rPr>
              <w:t>德阳市</w:t>
            </w:r>
          </w:p>
        </w:tc>
        <w:tc>
          <w:tcPr>
            <w:tcW w:w="1116" w:type="dxa"/>
            <w:vAlign w:val="top"/>
          </w:tcPr>
          <w:p>
            <w:pPr>
              <w:spacing w:before="124" w:line="194" w:lineRule="auto"/>
              <w:ind w:left="35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68.1</w:t>
            </w:r>
          </w:p>
        </w:tc>
        <w:tc>
          <w:tcPr>
            <w:tcW w:w="1144" w:type="dxa"/>
            <w:vAlign w:val="top"/>
          </w:tcPr>
          <w:p>
            <w:pPr>
              <w:spacing w:before="124" w:line="195" w:lineRule="auto"/>
              <w:ind w:left="22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-10.9%</w:t>
            </w:r>
          </w:p>
        </w:tc>
        <w:tc>
          <w:tcPr>
            <w:tcW w:w="1267" w:type="dxa"/>
            <w:vAlign w:val="top"/>
          </w:tcPr>
          <w:p>
            <w:pPr>
              <w:spacing w:before="124" w:line="194" w:lineRule="auto"/>
              <w:ind w:left="42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58.1</w:t>
            </w:r>
          </w:p>
        </w:tc>
        <w:tc>
          <w:tcPr>
            <w:tcW w:w="1701" w:type="dxa"/>
            <w:vAlign w:val="top"/>
          </w:tcPr>
          <w:p>
            <w:pPr>
              <w:spacing w:before="124" w:line="194" w:lineRule="auto"/>
              <w:ind w:left="70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3.3</w:t>
            </w:r>
          </w:p>
        </w:tc>
        <w:tc>
          <w:tcPr>
            <w:tcW w:w="1554" w:type="dxa"/>
            <w:vAlign w:val="top"/>
          </w:tcPr>
          <w:p>
            <w:pPr>
              <w:spacing w:before="125" w:line="194" w:lineRule="auto"/>
              <w:ind w:left="72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701" w:type="dxa"/>
            <w:vAlign w:val="top"/>
          </w:tcPr>
          <w:p>
            <w:pPr>
              <w:spacing w:before="124" w:line="195" w:lineRule="auto"/>
              <w:ind w:left="75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-2</w:t>
            </w:r>
          </w:p>
        </w:tc>
        <w:tc>
          <w:tcPr>
            <w:tcW w:w="1714" w:type="dxa"/>
            <w:vAlign w:val="top"/>
          </w:tcPr>
          <w:p>
            <w:pPr>
              <w:spacing w:before="124" w:line="195" w:lineRule="auto"/>
              <w:ind w:left="64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4.98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64" w:hRule="atLeast"/>
        </w:trPr>
        <w:tc>
          <w:tcPr>
            <w:tcW w:w="19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>
            <w:pPr>
              <w:pStyle w:val="6"/>
              <w:spacing w:before="84" w:line="216" w:lineRule="auto"/>
              <w:ind w:left="283"/>
            </w:pPr>
            <w:r>
              <w:rPr>
                <w:spacing w:val="4"/>
              </w:rPr>
              <w:t>绵阳市</w:t>
            </w:r>
          </w:p>
        </w:tc>
        <w:tc>
          <w:tcPr>
            <w:tcW w:w="1116" w:type="dxa"/>
            <w:vAlign w:val="top"/>
          </w:tcPr>
          <w:p>
            <w:pPr>
              <w:spacing w:before="125" w:line="194" w:lineRule="auto"/>
              <w:ind w:left="35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58.6</w:t>
            </w:r>
          </w:p>
        </w:tc>
        <w:tc>
          <w:tcPr>
            <w:tcW w:w="1144" w:type="dxa"/>
            <w:vAlign w:val="top"/>
          </w:tcPr>
          <w:p>
            <w:pPr>
              <w:spacing w:before="124" w:line="195" w:lineRule="auto"/>
              <w:ind w:left="28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-9.1%</w:t>
            </w:r>
          </w:p>
        </w:tc>
        <w:tc>
          <w:tcPr>
            <w:tcW w:w="1267" w:type="dxa"/>
            <w:vAlign w:val="top"/>
          </w:tcPr>
          <w:p>
            <w:pPr>
              <w:spacing w:before="125" w:line="194" w:lineRule="auto"/>
              <w:ind w:left="42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64.5</w:t>
            </w:r>
          </w:p>
        </w:tc>
        <w:tc>
          <w:tcPr>
            <w:tcW w:w="1701" w:type="dxa"/>
            <w:vAlign w:val="top"/>
          </w:tcPr>
          <w:p>
            <w:pPr>
              <w:spacing w:before="125" w:line="194" w:lineRule="auto"/>
              <w:ind w:left="66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-6.5</w:t>
            </w:r>
          </w:p>
        </w:tc>
        <w:tc>
          <w:tcPr>
            <w:tcW w:w="1554" w:type="dxa"/>
            <w:vAlign w:val="top"/>
          </w:tcPr>
          <w:p>
            <w:pPr>
              <w:spacing w:before="125" w:line="194" w:lineRule="auto"/>
              <w:ind w:left="72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701" w:type="dxa"/>
            <w:vAlign w:val="top"/>
          </w:tcPr>
          <w:p>
            <w:pPr>
              <w:spacing w:before="125" w:line="194" w:lineRule="auto"/>
              <w:ind w:left="79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714" w:type="dxa"/>
            <w:vAlign w:val="top"/>
          </w:tcPr>
          <w:p>
            <w:pPr>
              <w:spacing w:before="125" w:line="194" w:lineRule="auto"/>
              <w:ind w:left="64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4.61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67" w:hRule="atLeast"/>
        </w:trPr>
        <w:tc>
          <w:tcPr>
            <w:tcW w:w="19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>
            <w:pPr>
              <w:pStyle w:val="6"/>
              <w:spacing w:before="87" w:line="216" w:lineRule="auto"/>
              <w:ind w:left="276"/>
            </w:pPr>
            <w:r>
              <w:rPr>
                <w:spacing w:val="6"/>
              </w:rPr>
              <w:t>遂宁市</w:t>
            </w:r>
          </w:p>
        </w:tc>
        <w:tc>
          <w:tcPr>
            <w:tcW w:w="1116" w:type="dxa"/>
            <w:vAlign w:val="top"/>
          </w:tcPr>
          <w:p>
            <w:pPr>
              <w:spacing w:before="128" w:line="194" w:lineRule="auto"/>
              <w:ind w:left="35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53.2</w:t>
            </w:r>
          </w:p>
        </w:tc>
        <w:tc>
          <w:tcPr>
            <w:tcW w:w="1144" w:type="dxa"/>
            <w:vAlign w:val="top"/>
          </w:tcPr>
          <w:p>
            <w:pPr>
              <w:spacing w:before="127" w:line="195" w:lineRule="auto"/>
              <w:ind w:left="22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-20.1%</w:t>
            </w:r>
          </w:p>
        </w:tc>
        <w:tc>
          <w:tcPr>
            <w:tcW w:w="1267" w:type="dxa"/>
            <w:vAlign w:val="top"/>
          </w:tcPr>
          <w:p>
            <w:pPr>
              <w:spacing w:before="127" w:line="195" w:lineRule="auto"/>
              <w:ind w:left="42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74.2</w:t>
            </w:r>
          </w:p>
        </w:tc>
        <w:tc>
          <w:tcPr>
            <w:tcW w:w="1701" w:type="dxa"/>
            <w:vAlign w:val="top"/>
          </w:tcPr>
          <w:p>
            <w:pPr>
              <w:spacing w:before="128" w:line="194" w:lineRule="auto"/>
              <w:ind w:left="70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6.5</w:t>
            </w:r>
          </w:p>
        </w:tc>
        <w:tc>
          <w:tcPr>
            <w:tcW w:w="1554" w:type="dxa"/>
            <w:vAlign w:val="top"/>
          </w:tcPr>
          <w:p>
            <w:pPr>
              <w:spacing w:before="129" w:line="194" w:lineRule="auto"/>
              <w:ind w:left="72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701" w:type="dxa"/>
            <w:vAlign w:val="top"/>
          </w:tcPr>
          <w:p>
            <w:pPr>
              <w:spacing w:before="128" w:line="195" w:lineRule="auto"/>
              <w:ind w:left="75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-1</w:t>
            </w:r>
          </w:p>
        </w:tc>
        <w:tc>
          <w:tcPr>
            <w:tcW w:w="1714" w:type="dxa"/>
            <w:vAlign w:val="top"/>
          </w:tcPr>
          <w:p>
            <w:pPr>
              <w:spacing w:before="127" w:line="195" w:lineRule="auto"/>
              <w:ind w:left="64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4.07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64" w:hRule="atLeast"/>
        </w:trPr>
        <w:tc>
          <w:tcPr>
            <w:tcW w:w="19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>
            <w:pPr>
              <w:pStyle w:val="6"/>
              <w:spacing w:before="86" w:line="215" w:lineRule="auto"/>
              <w:ind w:left="283"/>
            </w:pPr>
            <w:r>
              <w:rPr>
                <w:spacing w:val="4"/>
              </w:rPr>
              <w:t>乐山市</w:t>
            </w:r>
          </w:p>
        </w:tc>
        <w:tc>
          <w:tcPr>
            <w:tcW w:w="1116" w:type="dxa"/>
            <w:vAlign w:val="top"/>
          </w:tcPr>
          <w:p>
            <w:pPr>
              <w:spacing w:before="125" w:line="195" w:lineRule="auto"/>
              <w:ind w:left="35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69.4</w:t>
            </w:r>
          </w:p>
        </w:tc>
        <w:tc>
          <w:tcPr>
            <w:tcW w:w="1144" w:type="dxa"/>
            <w:vAlign w:val="top"/>
          </w:tcPr>
          <w:p>
            <w:pPr>
              <w:spacing w:before="125" w:line="195" w:lineRule="auto"/>
              <w:ind w:left="28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-8.0%</w:t>
            </w:r>
          </w:p>
        </w:tc>
        <w:tc>
          <w:tcPr>
            <w:tcW w:w="1267" w:type="dxa"/>
            <w:vAlign w:val="top"/>
          </w:tcPr>
          <w:p>
            <w:pPr>
              <w:spacing w:before="125" w:line="195" w:lineRule="auto"/>
              <w:ind w:left="42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67.7</w:t>
            </w:r>
          </w:p>
        </w:tc>
        <w:tc>
          <w:tcPr>
            <w:tcW w:w="1701" w:type="dxa"/>
            <w:vAlign w:val="top"/>
          </w:tcPr>
          <w:p>
            <w:pPr>
              <w:spacing w:before="126" w:line="194" w:lineRule="auto"/>
              <w:ind w:left="70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6.4</w:t>
            </w:r>
          </w:p>
        </w:tc>
        <w:tc>
          <w:tcPr>
            <w:tcW w:w="1554" w:type="dxa"/>
            <w:vAlign w:val="top"/>
          </w:tcPr>
          <w:p>
            <w:pPr>
              <w:spacing w:before="126" w:line="194" w:lineRule="auto"/>
              <w:ind w:left="72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701" w:type="dxa"/>
            <w:vAlign w:val="top"/>
          </w:tcPr>
          <w:p>
            <w:pPr>
              <w:spacing w:before="126" w:line="194" w:lineRule="auto"/>
              <w:ind w:left="79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714" w:type="dxa"/>
            <w:vAlign w:val="top"/>
          </w:tcPr>
          <w:p>
            <w:pPr>
              <w:spacing w:before="126" w:line="194" w:lineRule="auto"/>
              <w:ind w:left="64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4.84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65" w:hRule="atLeast"/>
        </w:trPr>
        <w:tc>
          <w:tcPr>
            <w:tcW w:w="19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>
            <w:pPr>
              <w:pStyle w:val="6"/>
              <w:spacing w:before="85" w:line="216" w:lineRule="auto"/>
              <w:ind w:left="287"/>
            </w:pPr>
            <w:r>
              <w:rPr>
                <w:spacing w:val="3"/>
              </w:rPr>
              <w:t>眉山市</w:t>
            </w:r>
          </w:p>
        </w:tc>
        <w:tc>
          <w:tcPr>
            <w:tcW w:w="1116" w:type="dxa"/>
            <w:vAlign w:val="top"/>
          </w:tcPr>
          <w:p>
            <w:pPr>
              <w:spacing w:before="126" w:line="194" w:lineRule="auto"/>
              <w:ind w:left="35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66.6</w:t>
            </w:r>
          </w:p>
        </w:tc>
        <w:tc>
          <w:tcPr>
            <w:tcW w:w="1144" w:type="dxa"/>
            <w:vAlign w:val="top"/>
          </w:tcPr>
          <w:p>
            <w:pPr>
              <w:spacing w:before="126" w:line="195" w:lineRule="auto"/>
              <w:ind w:left="22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-16.3%</w:t>
            </w:r>
          </w:p>
        </w:tc>
        <w:tc>
          <w:tcPr>
            <w:tcW w:w="1267" w:type="dxa"/>
            <w:vAlign w:val="top"/>
          </w:tcPr>
          <w:p>
            <w:pPr>
              <w:spacing w:before="126" w:line="195" w:lineRule="auto"/>
              <w:ind w:left="42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67.7</w:t>
            </w:r>
          </w:p>
        </w:tc>
        <w:tc>
          <w:tcPr>
            <w:tcW w:w="1701" w:type="dxa"/>
            <w:vAlign w:val="top"/>
          </w:tcPr>
          <w:p>
            <w:pPr>
              <w:spacing w:before="126" w:line="195" w:lineRule="auto"/>
              <w:ind w:left="70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9.6</w:t>
            </w:r>
          </w:p>
        </w:tc>
        <w:tc>
          <w:tcPr>
            <w:tcW w:w="1554" w:type="dxa"/>
            <w:vAlign w:val="top"/>
          </w:tcPr>
          <w:p>
            <w:pPr>
              <w:spacing w:before="127" w:line="194" w:lineRule="auto"/>
              <w:ind w:left="72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701" w:type="dxa"/>
            <w:vAlign w:val="top"/>
          </w:tcPr>
          <w:p>
            <w:pPr>
              <w:spacing w:before="127" w:line="194" w:lineRule="auto"/>
              <w:ind w:left="75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-3</w:t>
            </w:r>
          </w:p>
        </w:tc>
        <w:tc>
          <w:tcPr>
            <w:tcW w:w="1714" w:type="dxa"/>
            <w:vAlign w:val="top"/>
          </w:tcPr>
          <w:p>
            <w:pPr>
              <w:spacing w:before="126" w:line="195" w:lineRule="auto"/>
              <w:ind w:left="64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4.98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64" w:hRule="atLeast"/>
        </w:trPr>
        <w:tc>
          <w:tcPr>
            <w:tcW w:w="19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>
            <w:pPr>
              <w:pStyle w:val="6"/>
              <w:spacing w:before="86" w:line="215" w:lineRule="auto"/>
              <w:ind w:left="278"/>
            </w:pPr>
            <w:r>
              <w:rPr>
                <w:spacing w:val="6"/>
              </w:rPr>
              <w:t>雅安市</w:t>
            </w:r>
          </w:p>
        </w:tc>
        <w:tc>
          <w:tcPr>
            <w:tcW w:w="1116" w:type="dxa"/>
            <w:vAlign w:val="top"/>
          </w:tcPr>
          <w:p>
            <w:pPr>
              <w:spacing w:before="125" w:line="195" w:lineRule="auto"/>
              <w:ind w:left="35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59.8</w:t>
            </w:r>
          </w:p>
        </w:tc>
        <w:tc>
          <w:tcPr>
            <w:tcW w:w="1144" w:type="dxa"/>
            <w:vAlign w:val="top"/>
          </w:tcPr>
          <w:p>
            <w:pPr>
              <w:spacing w:before="125" w:line="195" w:lineRule="auto"/>
              <w:ind w:left="32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6.0%</w:t>
            </w:r>
          </w:p>
        </w:tc>
        <w:tc>
          <w:tcPr>
            <w:tcW w:w="1267" w:type="dxa"/>
            <w:vAlign w:val="top"/>
          </w:tcPr>
          <w:p>
            <w:pPr>
              <w:spacing w:before="125" w:line="195" w:lineRule="auto"/>
              <w:ind w:left="42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71.0</w:t>
            </w:r>
          </w:p>
        </w:tc>
        <w:tc>
          <w:tcPr>
            <w:tcW w:w="1701" w:type="dxa"/>
            <w:vAlign w:val="top"/>
          </w:tcPr>
          <w:p>
            <w:pPr>
              <w:spacing w:before="125" w:line="195" w:lineRule="auto"/>
              <w:ind w:left="66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-9.6</w:t>
            </w:r>
          </w:p>
        </w:tc>
        <w:tc>
          <w:tcPr>
            <w:tcW w:w="1554" w:type="dxa"/>
            <w:vAlign w:val="top"/>
          </w:tcPr>
          <w:p>
            <w:pPr>
              <w:spacing w:before="126" w:line="194" w:lineRule="auto"/>
              <w:ind w:left="72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701" w:type="dxa"/>
            <w:vAlign w:val="top"/>
          </w:tcPr>
          <w:p>
            <w:pPr>
              <w:spacing w:before="126" w:line="194" w:lineRule="auto"/>
              <w:ind w:left="79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714" w:type="dxa"/>
            <w:vAlign w:val="top"/>
          </w:tcPr>
          <w:p>
            <w:pPr>
              <w:spacing w:before="126" w:line="194" w:lineRule="auto"/>
              <w:ind w:left="64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4.05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64" w:hRule="atLeast"/>
        </w:trPr>
        <w:tc>
          <w:tcPr>
            <w:tcW w:w="19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>
            <w:pPr>
              <w:pStyle w:val="6"/>
              <w:spacing w:before="86" w:line="215" w:lineRule="auto"/>
              <w:ind w:left="286"/>
            </w:pPr>
            <w:r>
              <w:rPr>
                <w:spacing w:val="3"/>
              </w:rPr>
              <w:t>资阳市</w:t>
            </w:r>
          </w:p>
        </w:tc>
        <w:tc>
          <w:tcPr>
            <w:tcW w:w="1116" w:type="dxa"/>
            <w:vAlign w:val="top"/>
          </w:tcPr>
          <w:p>
            <w:pPr>
              <w:spacing w:before="126" w:line="194" w:lineRule="auto"/>
              <w:ind w:left="35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60.4</w:t>
            </w:r>
          </w:p>
        </w:tc>
        <w:tc>
          <w:tcPr>
            <w:tcW w:w="1144" w:type="dxa"/>
            <w:vAlign w:val="top"/>
          </w:tcPr>
          <w:p>
            <w:pPr>
              <w:spacing w:before="126" w:line="195" w:lineRule="auto"/>
              <w:ind w:left="22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-19.8%</w:t>
            </w:r>
          </w:p>
        </w:tc>
        <w:tc>
          <w:tcPr>
            <w:tcW w:w="1267" w:type="dxa"/>
            <w:vAlign w:val="top"/>
          </w:tcPr>
          <w:p>
            <w:pPr>
              <w:spacing w:before="126" w:line="195" w:lineRule="auto"/>
              <w:ind w:left="42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71.0</w:t>
            </w:r>
          </w:p>
        </w:tc>
        <w:tc>
          <w:tcPr>
            <w:tcW w:w="1701" w:type="dxa"/>
            <w:vAlign w:val="top"/>
          </w:tcPr>
          <w:p>
            <w:pPr>
              <w:spacing w:before="126" w:line="195" w:lineRule="auto"/>
              <w:ind w:left="66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12.9</w:t>
            </w:r>
          </w:p>
        </w:tc>
        <w:tc>
          <w:tcPr>
            <w:tcW w:w="1554" w:type="dxa"/>
            <w:vAlign w:val="top"/>
          </w:tcPr>
          <w:p>
            <w:pPr>
              <w:spacing w:before="127" w:line="194" w:lineRule="auto"/>
              <w:ind w:left="72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701" w:type="dxa"/>
            <w:vAlign w:val="top"/>
          </w:tcPr>
          <w:p>
            <w:pPr>
              <w:spacing w:before="126" w:line="195" w:lineRule="auto"/>
              <w:ind w:left="75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-1</w:t>
            </w:r>
          </w:p>
        </w:tc>
        <w:tc>
          <w:tcPr>
            <w:tcW w:w="1714" w:type="dxa"/>
            <w:vAlign w:val="top"/>
          </w:tcPr>
          <w:p>
            <w:pPr>
              <w:spacing w:before="126" w:line="194" w:lineRule="auto"/>
              <w:ind w:left="64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4.40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64" w:hRule="atLeast"/>
        </w:trPr>
        <w:tc>
          <w:tcPr>
            <w:tcW w:w="19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>
            <w:pPr>
              <w:pStyle w:val="6"/>
              <w:spacing w:before="87" w:line="214" w:lineRule="auto"/>
              <w:ind w:left="400"/>
            </w:pPr>
            <w:r>
              <w:rPr>
                <w:spacing w:val="3"/>
              </w:rPr>
              <w:t>平均</w:t>
            </w:r>
          </w:p>
        </w:tc>
        <w:tc>
          <w:tcPr>
            <w:tcW w:w="1116" w:type="dxa"/>
            <w:vAlign w:val="top"/>
          </w:tcPr>
          <w:p>
            <w:pPr>
              <w:spacing w:before="126" w:line="195" w:lineRule="auto"/>
              <w:ind w:left="35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62.7</w:t>
            </w:r>
          </w:p>
        </w:tc>
        <w:tc>
          <w:tcPr>
            <w:tcW w:w="1144" w:type="dxa"/>
            <w:vAlign w:val="top"/>
          </w:tcPr>
          <w:p>
            <w:pPr>
              <w:spacing w:before="126" w:line="195" w:lineRule="auto"/>
              <w:ind w:left="22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-10.7%</w:t>
            </w:r>
          </w:p>
        </w:tc>
        <w:tc>
          <w:tcPr>
            <w:tcW w:w="1267" w:type="dxa"/>
            <w:vAlign w:val="top"/>
          </w:tcPr>
          <w:p>
            <w:pPr>
              <w:spacing w:before="127" w:line="194" w:lineRule="auto"/>
              <w:ind w:left="42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68.2</w:t>
            </w:r>
          </w:p>
        </w:tc>
        <w:tc>
          <w:tcPr>
            <w:tcW w:w="1701" w:type="dxa"/>
            <w:vAlign w:val="top"/>
          </w:tcPr>
          <w:p>
            <w:pPr>
              <w:spacing w:before="127" w:line="194" w:lineRule="auto"/>
              <w:ind w:left="70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2.5</w:t>
            </w:r>
          </w:p>
        </w:tc>
        <w:tc>
          <w:tcPr>
            <w:tcW w:w="1554" w:type="dxa"/>
            <w:vAlign w:val="top"/>
          </w:tcPr>
          <w:p>
            <w:pPr>
              <w:spacing w:before="123" w:line="198" w:lineRule="auto"/>
              <w:ind w:left="74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/</w:t>
            </w:r>
          </w:p>
        </w:tc>
        <w:tc>
          <w:tcPr>
            <w:tcW w:w="1701" w:type="dxa"/>
            <w:vAlign w:val="top"/>
          </w:tcPr>
          <w:p>
            <w:pPr>
              <w:spacing w:before="123" w:line="198" w:lineRule="auto"/>
              <w:ind w:left="81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/</w:t>
            </w:r>
          </w:p>
        </w:tc>
        <w:tc>
          <w:tcPr>
            <w:tcW w:w="1714" w:type="dxa"/>
            <w:vAlign w:val="top"/>
          </w:tcPr>
          <w:p>
            <w:pPr>
              <w:spacing w:before="123" w:line="198" w:lineRule="auto"/>
              <w:ind w:left="81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67" w:hRule="atLeast"/>
        </w:trPr>
        <w:tc>
          <w:tcPr>
            <w:tcW w:w="1984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5" w:lineRule="auto"/>
              <w:ind w:left="523"/>
            </w:pPr>
            <w:r>
              <w:rPr>
                <w:spacing w:val="6"/>
              </w:rPr>
              <w:t>川南地区</w:t>
            </w:r>
          </w:p>
        </w:tc>
        <w:tc>
          <w:tcPr>
            <w:tcW w:w="1264" w:type="dxa"/>
            <w:vAlign w:val="top"/>
          </w:tcPr>
          <w:p>
            <w:pPr>
              <w:pStyle w:val="6"/>
              <w:spacing w:before="89" w:line="215" w:lineRule="auto"/>
              <w:ind w:left="319"/>
            </w:pPr>
            <w:r>
              <w:rPr>
                <w:spacing w:val="-8"/>
              </w:rPr>
              <w:t>自贡市</w:t>
            </w:r>
          </w:p>
        </w:tc>
        <w:tc>
          <w:tcPr>
            <w:tcW w:w="1116" w:type="dxa"/>
            <w:vAlign w:val="top"/>
          </w:tcPr>
          <w:p>
            <w:pPr>
              <w:spacing w:before="130" w:line="194" w:lineRule="auto"/>
              <w:ind w:left="35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65.8</w:t>
            </w:r>
          </w:p>
        </w:tc>
        <w:tc>
          <w:tcPr>
            <w:tcW w:w="1144" w:type="dxa"/>
            <w:vAlign w:val="top"/>
          </w:tcPr>
          <w:p>
            <w:pPr>
              <w:spacing w:before="129" w:line="195" w:lineRule="auto"/>
              <w:ind w:left="28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-2.4%</w:t>
            </w:r>
          </w:p>
        </w:tc>
        <w:tc>
          <w:tcPr>
            <w:tcW w:w="1267" w:type="dxa"/>
            <w:vAlign w:val="top"/>
          </w:tcPr>
          <w:p>
            <w:pPr>
              <w:spacing w:before="129" w:line="195" w:lineRule="auto"/>
              <w:ind w:left="42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71.0</w:t>
            </w:r>
          </w:p>
        </w:tc>
        <w:tc>
          <w:tcPr>
            <w:tcW w:w="1701" w:type="dxa"/>
            <w:vAlign w:val="top"/>
          </w:tcPr>
          <w:p>
            <w:pPr>
              <w:spacing w:before="130" w:line="194" w:lineRule="auto"/>
              <w:ind w:left="66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-3.2</w:t>
            </w:r>
          </w:p>
        </w:tc>
        <w:tc>
          <w:tcPr>
            <w:tcW w:w="1554" w:type="dxa"/>
            <w:vAlign w:val="top"/>
          </w:tcPr>
          <w:p>
            <w:pPr>
              <w:spacing w:before="130" w:line="194" w:lineRule="auto"/>
              <w:ind w:left="72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701" w:type="dxa"/>
            <w:vAlign w:val="top"/>
          </w:tcPr>
          <w:p>
            <w:pPr>
              <w:spacing w:before="129" w:line="195" w:lineRule="auto"/>
              <w:ind w:left="75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-2</w:t>
            </w:r>
          </w:p>
        </w:tc>
        <w:tc>
          <w:tcPr>
            <w:tcW w:w="1714" w:type="dxa"/>
            <w:vAlign w:val="top"/>
          </w:tcPr>
          <w:p>
            <w:pPr>
              <w:spacing w:before="129" w:line="195" w:lineRule="auto"/>
              <w:ind w:left="65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5.09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65" w:hRule="atLeast"/>
        </w:trPr>
        <w:tc>
          <w:tcPr>
            <w:tcW w:w="19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>
            <w:pPr>
              <w:pStyle w:val="6"/>
              <w:spacing w:before="88" w:line="214" w:lineRule="auto"/>
              <w:ind w:left="287"/>
            </w:pPr>
            <w:r>
              <w:rPr>
                <w:spacing w:val="3"/>
              </w:rPr>
              <w:t>泸州市</w:t>
            </w:r>
          </w:p>
        </w:tc>
        <w:tc>
          <w:tcPr>
            <w:tcW w:w="1116" w:type="dxa"/>
            <w:vAlign w:val="top"/>
          </w:tcPr>
          <w:p>
            <w:pPr>
              <w:spacing w:before="128" w:line="194" w:lineRule="auto"/>
              <w:ind w:left="35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68.1</w:t>
            </w:r>
          </w:p>
        </w:tc>
        <w:tc>
          <w:tcPr>
            <w:tcW w:w="1144" w:type="dxa"/>
            <w:vAlign w:val="top"/>
          </w:tcPr>
          <w:p>
            <w:pPr>
              <w:spacing w:before="127" w:line="195" w:lineRule="auto"/>
              <w:ind w:left="22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-10.9%</w:t>
            </w:r>
          </w:p>
        </w:tc>
        <w:tc>
          <w:tcPr>
            <w:tcW w:w="1267" w:type="dxa"/>
            <w:vAlign w:val="top"/>
          </w:tcPr>
          <w:p>
            <w:pPr>
              <w:spacing w:before="128" w:line="194" w:lineRule="auto"/>
              <w:ind w:left="42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58.1</w:t>
            </w:r>
          </w:p>
        </w:tc>
        <w:tc>
          <w:tcPr>
            <w:tcW w:w="1701" w:type="dxa"/>
            <w:vAlign w:val="top"/>
          </w:tcPr>
          <w:p>
            <w:pPr>
              <w:spacing w:before="128" w:line="194" w:lineRule="auto"/>
              <w:ind w:left="70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3.3</w:t>
            </w:r>
          </w:p>
        </w:tc>
        <w:tc>
          <w:tcPr>
            <w:tcW w:w="1554" w:type="dxa"/>
            <w:vAlign w:val="top"/>
          </w:tcPr>
          <w:p>
            <w:pPr>
              <w:spacing w:before="129" w:line="194" w:lineRule="auto"/>
              <w:ind w:left="72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701" w:type="dxa"/>
            <w:vAlign w:val="top"/>
          </w:tcPr>
          <w:p>
            <w:pPr>
              <w:spacing w:before="127" w:line="195" w:lineRule="auto"/>
              <w:ind w:left="75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-2</w:t>
            </w:r>
          </w:p>
        </w:tc>
        <w:tc>
          <w:tcPr>
            <w:tcW w:w="1714" w:type="dxa"/>
            <w:vAlign w:val="top"/>
          </w:tcPr>
          <w:p>
            <w:pPr>
              <w:spacing w:before="127" w:line="195" w:lineRule="auto"/>
              <w:ind w:left="64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4.98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65" w:hRule="atLeast"/>
        </w:trPr>
        <w:tc>
          <w:tcPr>
            <w:tcW w:w="19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>
            <w:pPr>
              <w:pStyle w:val="6"/>
              <w:spacing w:before="87" w:line="215" w:lineRule="auto"/>
              <w:ind w:left="310"/>
            </w:pPr>
            <w:r>
              <w:rPr>
                <w:spacing w:val="-5"/>
              </w:rPr>
              <w:t>内江市</w:t>
            </w:r>
          </w:p>
        </w:tc>
        <w:tc>
          <w:tcPr>
            <w:tcW w:w="1116" w:type="dxa"/>
            <w:vAlign w:val="top"/>
          </w:tcPr>
          <w:p>
            <w:pPr>
              <w:spacing w:before="128" w:line="194" w:lineRule="auto"/>
              <w:ind w:left="35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58.6</w:t>
            </w:r>
          </w:p>
        </w:tc>
        <w:tc>
          <w:tcPr>
            <w:tcW w:w="1144" w:type="dxa"/>
            <w:vAlign w:val="top"/>
          </w:tcPr>
          <w:p>
            <w:pPr>
              <w:spacing w:before="127" w:line="195" w:lineRule="auto"/>
              <w:ind w:left="28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-9.1%</w:t>
            </w:r>
          </w:p>
        </w:tc>
        <w:tc>
          <w:tcPr>
            <w:tcW w:w="1267" w:type="dxa"/>
            <w:vAlign w:val="top"/>
          </w:tcPr>
          <w:p>
            <w:pPr>
              <w:spacing w:before="128" w:line="194" w:lineRule="auto"/>
              <w:ind w:left="42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64.5</w:t>
            </w:r>
          </w:p>
        </w:tc>
        <w:tc>
          <w:tcPr>
            <w:tcW w:w="1701" w:type="dxa"/>
            <w:vAlign w:val="top"/>
          </w:tcPr>
          <w:p>
            <w:pPr>
              <w:spacing w:before="128" w:line="194" w:lineRule="auto"/>
              <w:ind w:left="66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-6.5</w:t>
            </w:r>
          </w:p>
        </w:tc>
        <w:tc>
          <w:tcPr>
            <w:tcW w:w="1554" w:type="dxa"/>
            <w:vAlign w:val="top"/>
          </w:tcPr>
          <w:p>
            <w:pPr>
              <w:spacing w:before="128" w:line="194" w:lineRule="auto"/>
              <w:ind w:left="72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701" w:type="dxa"/>
            <w:vAlign w:val="top"/>
          </w:tcPr>
          <w:p>
            <w:pPr>
              <w:spacing w:before="128" w:line="194" w:lineRule="auto"/>
              <w:ind w:left="79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714" w:type="dxa"/>
            <w:vAlign w:val="top"/>
          </w:tcPr>
          <w:p>
            <w:pPr>
              <w:spacing w:before="128" w:line="194" w:lineRule="auto"/>
              <w:ind w:left="64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4.61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64" w:hRule="atLeast"/>
        </w:trPr>
        <w:tc>
          <w:tcPr>
            <w:tcW w:w="19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>
            <w:pPr>
              <w:pStyle w:val="6"/>
              <w:spacing w:before="87" w:line="214" w:lineRule="auto"/>
              <w:ind w:left="289"/>
            </w:pPr>
            <w:r>
              <w:rPr>
                <w:spacing w:val="2"/>
              </w:rPr>
              <w:t>宜宾市</w:t>
            </w:r>
          </w:p>
        </w:tc>
        <w:tc>
          <w:tcPr>
            <w:tcW w:w="1116" w:type="dxa"/>
            <w:vAlign w:val="top"/>
          </w:tcPr>
          <w:p>
            <w:pPr>
              <w:spacing w:before="127" w:line="195" w:lineRule="auto"/>
              <w:ind w:left="35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69.4</w:t>
            </w:r>
          </w:p>
        </w:tc>
        <w:tc>
          <w:tcPr>
            <w:tcW w:w="1144" w:type="dxa"/>
            <w:vAlign w:val="top"/>
          </w:tcPr>
          <w:p>
            <w:pPr>
              <w:spacing w:before="127" w:line="195" w:lineRule="auto"/>
              <w:ind w:left="28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-8.2%</w:t>
            </w:r>
          </w:p>
        </w:tc>
        <w:tc>
          <w:tcPr>
            <w:tcW w:w="1267" w:type="dxa"/>
            <w:vAlign w:val="top"/>
          </w:tcPr>
          <w:p>
            <w:pPr>
              <w:spacing w:before="127" w:line="194" w:lineRule="auto"/>
              <w:ind w:left="42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61.3</w:t>
            </w:r>
          </w:p>
        </w:tc>
        <w:tc>
          <w:tcPr>
            <w:tcW w:w="1701" w:type="dxa"/>
            <w:vAlign w:val="top"/>
          </w:tcPr>
          <w:p>
            <w:pPr>
              <w:spacing w:before="127" w:line="194" w:lineRule="auto"/>
              <w:ind w:left="70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3.2</w:t>
            </w:r>
          </w:p>
        </w:tc>
        <w:tc>
          <w:tcPr>
            <w:tcW w:w="1554" w:type="dxa"/>
            <w:vAlign w:val="top"/>
          </w:tcPr>
          <w:p>
            <w:pPr>
              <w:spacing w:before="128" w:line="194" w:lineRule="auto"/>
              <w:ind w:left="72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701" w:type="dxa"/>
            <w:vAlign w:val="top"/>
          </w:tcPr>
          <w:p>
            <w:pPr>
              <w:spacing w:before="128" w:line="194" w:lineRule="auto"/>
              <w:ind w:left="79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714" w:type="dxa"/>
            <w:vAlign w:val="top"/>
          </w:tcPr>
          <w:p>
            <w:pPr>
              <w:spacing w:before="127" w:line="195" w:lineRule="auto"/>
              <w:ind w:left="64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4.91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69" w:hRule="atLeast"/>
        </w:trPr>
        <w:tc>
          <w:tcPr>
            <w:tcW w:w="19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>
            <w:pPr>
              <w:pStyle w:val="6"/>
              <w:spacing w:before="87" w:line="218" w:lineRule="auto"/>
              <w:ind w:left="400"/>
            </w:pPr>
            <w:r>
              <w:rPr>
                <w:spacing w:val="3"/>
              </w:rPr>
              <w:t>平均</w:t>
            </w:r>
          </w:p>
        </w:tc>
        <w:tc>
          <w:tcPr>
            <w:tcW w:w="1116" w:type="dxa"/>
            <w:vAlign w:val="top"/>
          </w:tcPr>
          <w:p>
            <w:pPr>
              <w:spacing w:before="128" w:line="194" w:lineRule="auto"/>
              <w:ind w:left="35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66.2</w:t>
            </w:r>
          </w:p>
        </w:tc>
        <w:tc>
          <w:tcPr>
            <w:tcW w:w="1144" w:type="dxa"/>
            <w:vAlign w:val="top"/>
          </w:tcPr>
          <w:p>
            <w:pPr>
              <w:spacing w:before="127" w:line="195" w:lineRule="auto"/>
              <w:ind w:left="22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-14.9%</w:t>
            </w:r>
          </w:p>
        </w:tc>
        <w:tc>
          <w:tcPr>
            <w:tcW w:w="1267" w:type="dxa"/>
            <w:vAlign w:val="top"/>
          </w:tcPr>
          <w:p>
            <w:pPr>
              <w:spacing w:before="128" w:line="194" w:lineRule="auto"/>
              <w:ind w:left="42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64.5</w:t>
            </w:r>
          </w:p>
        </w:tc>
        <w:tc>
          <w:tcPr>
            <w:tcW w:w="1701" w:type="dxa"/>
            <w:vAlign w:val="top"/>
          </w:tcPr>
          <w:p>
            <w:pPr>
              <w:spacing w:before="128" w:line="194" w:lineRule="auto"/>
              <w:ind w:left="71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8.0</w:t>
            </w:r>
          </w:p>
        </w:tc>
        <w:tc>
          <w:tcPr>
            <w:tcW w:w="1554" w:type="dxa"/>
            <w:vAlign w:val="top"/>
          </w:tcPr>
          <w:p>
            <w:pPr>
              <w:spacing w:before="124" w:line="198" w:lineRule="auto"/>
              <w:ind w:left="74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/</w:t>
            </w:r>
          </w:p>
        </w:tc>
        <w:tc>
          <w:tcPr>
            <w:tcW w:w="1701" w:type="dxa"/>
            <w:vAlign w:val="top"/>
          </w:tcPr>
          <w:p>
            <w:pPr>
              <w:spacing w:before="124" w:line="198" w:lineRule="auto"/>
              <w:ind w:left="81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/</w:t>
            </w:r>
          </w:p>
        </w:tc>
        <w:tc>
          <w:tcPr>
            <w:tcW w:w="1714" w:type="dxa"/>
            <w:vAlign w:val="top"/>
          </w:tcPr>
          <w:p>
            <w:pPr>
              <w:spacing w:before="124" w:line="198" w:lineRule="auto"/>
              <w:ind w:left="81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/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headerReference r:id="rId7" w:type="default"/>
          <w:pgSz w:w="16837" w:h="11906"/>
          <w:pgMar w:top="2195" w:right="2172" w:bottom="400" w:left="667" w:header="1704" w:footer="0" w:gutter="0"/>
          <w:cols w:space="720" w:num="1"/>
        </w:sectPr>
      </w:pPr>
    </w:p>
    <w:p>
      <w:pPr>
        <w:spacing w:before="28"/>
      </w:pPr>
    </w:p>
    <w:p>
      <w:pPr>
        <w:spacing w:before="28"/>
      </w:pPr>
    </w:p>
    <w:p>
      <w:pPr>
        <w:spacing w:before="28"/>
      </w:pPr>
    </w:p>
    <w:p>
      <w:pPr>
        <w:spacing w:before="28"/>
      </w:pPr>
    </w:p>
    <w:tbl>
      <w:tblPr>
        <w:tblStyle w:val="5"/>
        <w:tblW w:w="14018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103"/>
        <w:gridCol w:w="1876"/>
        <w:gridCol w:w="1264"/>
        <w:gridCol w:w="1116"/>
        <w:gridCol w:w="1144"/>
        <w:gridCol w:w="1266"/>
        <w:gridCol w:w="1701"/>
        <w:gridCol w:w="1554"/>
        <w:gridCol w:w="1701"/>
        <w:gridCol w:w="171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580" w:type="dxa"/>
            <w:vMerge w:val="restart"/>
            <w:tcBorders>
              <w:top w:val="single" w:color="FFFFFF" w:sz="2" w:space="0"/>
              <w:left w:val="single" w:color="FFFFFF" w:sz="4" w:space="0"/>
              <w:bottom w:val="nil"/>
            </w:tcBorders>
            <w:textDirection w:val="tbRl"/>
            <w:vAlign w:val="top"/>
          </w:tcPr>
          <w:p>
            <w:pPr>
              <w:spacing w:before="92" w:line="241" w:lineRule="auto"/>
              <w:ind w:left="306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pacing w:val="-7"/>
                <w:sz w:val="28"/>
                <w:szCs w:val="28"/>
              </w:rPr>
              <w:t>—</w:t>
            </w:r>
            <w:r>
              <w:rPr>
                <w:rFonts w:ascii="SimSun" w:hAnsi="SimSun" w:eastAsia="SimSun" w:cs="SimSun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pacing w:val="-7"/>
                <w:sz w:val="28"/>
                <w:szCs w:val="28"/>
              </w:rPr>
              <w:t>6</w:t>
            </w:r>
            <w:r>
              <w:rPr>
                <w:rFonts w:ascii="SimSun" w:hAnsi="SimSun" w:eastAsia="SimSun" w:cs="SimSun"/>
                <w:spacing w:val="11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pacing w:val="-7"/>
                <w:sz w:val="28"/>
                <w:szCs w:val="28"/>
              </w:rPr>
              <w:t>—</w:t>
            </w:r>
          </w:p>
        </w:tc>
        <w:tc>
          <w:tcPr>
            <w:tcW w:w="103" w:type="dxa"/>
            <w:tcBorders>
              <w:bottom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vMerge w:val="restart"/>
            <w:tcBorders>
              <w:left w:val="single" w:color="FFFFFF" w:sz="4" w:space="0"/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75" w:line="213" w:lineRule="auto"/>
              <w:ind w:left="662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-2"/>
                <w:sz w:val="23"/>
                <w:szCs w:val="23"/>
              </w:rPr>
              <w:t>区域</w:t>
            </w:r>
          </w:p>
        </w:tc>
        <w:tc>
          <w:tcPr>
            <w:tcW w:w="1264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74" w:line="215" w:lineRule="auto"/>
              <w:ind w:left="157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4"/>
                <w:sz w:val="23"/>
                <w:szCs w:val="23"/>
              </w:rPr>
              <w:t>市（州）</w:t>
            </w:r>
          </w:p>
        </w:tc>
        <w:tc>
          <w:tcPr>
            <w:tcW w:w="2260" w:type="dxa"/>
            <w:gridSpan w:val="2"/>
            <w:vAlign w:val="top"/>
          </w:tcPr>
          <w:p>
            <w:pPr>
              <w:spacing w:before="242" w:line="199" w:lineRule="auto"/>
              <w:ind w:left="85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PM</w:t>
            </w:r>
            <w:r>
              <w:rPr>
                <w:rFonts w:ascii="Times New Roman" w:hAnsi="Times New Roman" w:eastAsia="Times New Roman" w:cs="Times New Roman"/>
                <w:spacing w:val="4"/>
                <w:position w:val="-1"/>
                <w:sz w:val="16"/>
                <w:szCs w:val="16"/>
              </w:rPr>
              <w:t>2.5</w:t>
            </w:r>
          </w:p>
        </w:tc>
        <w:tc>
          <w:tcPr>
            <w:tcW w:w="2967" w:type="dxa"/>
            <w:gridSpan w:val="2"/>
            <w:vAlign w:val="top"/>
          </w:tcPr>
          <w:p>
            <w:pPr>
              <w:spacing w:before="202" w:line="214" w:lineRule="auto"/>
              <w:ind w:left="764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8"/>
                <w:sz w:val="23"/>
                <w:szCs w:val="23"/>
              </w:rPr>
              <w:t>优良天数比率</w:t>
            </w:r>
          </w:p>
        </w:tc>
        <w:tc>
          <w:tcPr>
            <w:tcW w:w="3255" w:type="dxa"/>
            <w:gridSpan w:val="2"/>
            <w:vAlign w:val="top"/>
          </w:tcPr>
          <w:p>
            <w:pPr>
              <w:spacing w:before="203" w:line="213" w:lineRule="auto"/>
              <w:ind w:left="1040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6"/>
                <w:sz w:val="23"/>
                <w:szCs w:val="23"/>
              </w:rPr>
              <w:t>重污染天数</w:t>
            </w:r>
          </w:p>
        </w:tc>
        <w:tc>
          <w:tcPr>
            <w:tcW w:w="1713" w:type="dxa"/>
            <w:vMerge w:val="restart"/>
            <w:tcBorders>
              <w:bottom w:val="nil"/>
            </w:tcBorders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75" w:line="292" w:lineRule="auto"/>
              <w:ind w:left="379" w:right="136" w:hanging="238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8"/>
                <w:sz w:val="23"/>
                <w:szCs w:val="23"/>
              </w:rPr>
              <w:t>环境空气质量综合指数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580" w:type="dxa"/>
            <w:vMerge w:val="continue"/>
            <w:tcBorders>
              <w:top w:val="nil"/>
              <w:left w:val="single" w:color="FFFFFF" w:sz="4" w:space="0"/>
              <w:bottom w:val="nil"/>
            </w:tcBorders>
            <w:textDirection w:val="tbRl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" w:type="dxa"/>
            <w:tcBorders>
              <w:top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vMerge w:val="continue"/>
            <w:tcBorders>
              <w:top w:val="nil"/>
              <w:lef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6" w:type="dxa"/>
            <w:vAlign w:val="top"/>
          </w:tcPr>
          <w:p>
            <w:pPr>
              <w:spacing w:before="89" w:line="251" w:lineRule="auto"/>
              <w:ind w:left="104" w:right="118" w:firstLine="216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5"/>
                <w:sz w:val="23"/>
                <w:szCs w:val="23"/>
              </w:rPr>
              <w:t>浓度</w:t>
            </w:r>
            <w:r>
              <w:rPr>
                <w:rFonts w:ascii="SimHei" w:hAnsi="SimHei" w:eastAsia="SimHei" w:cs="SimHei"/>
                <w:sz w:val="23"/>
                <w:szCs w:val="23"/>
              </w:rPr>
              <w:t xml:space="preserve"> </w:t>
            </w:r>
            <w:r>
              <w:rPr>
                <w:rFonts w:ascii="SimHei" w:hAnsi="SimHei" w:eastAsia="SimHei" w:cs="SimHei"/>
                <w:spacing w:val="-3"/>
                <w:sz w:val="23"/>
                <w:szCs w:val="23"/>
              </w:rPr>
              <w:t>(</w:t>
            </w: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μg/m</w:t>
            </w:r>
            <w:r>
              <w:rPr>
                <w:rFonts w:ascii="Times New Roman" w:hAnsi="Times New Roman" w:eastAsia="Times New Roman" w:cs="Times New Roman"/>
                <w:spacing w:val="-3"/>
                <w:position w:val="8"/>
                <w:sz w:val="16"/>
                <w:szCs w:val="16"/>
              </w:rPr>
              <w:t>3</w:t>
            </w:r>
            <w:r>
              <w:rPr>
                <w:rFonts w:ascii="SimHei" w:hAnsi="SimHei" w:eastAsia="SimHei" w:cs="SimHei"/>
                <w:spacing w:val="-3"/>
                <w:sz w:val="23"/>
                <w:szCs w:val="23"/>
              </w:rPr>
              <w:t>）</w:t>
            </w:r>
          </w:p>
        </w:tc>
        <w:tc>
          <w:tcPr>
            <w:tcW w:w="1144" w:type="dxa"/>
            <w:vAlign w:val="top"/>
          </w:tcPr>
          <w:p>
            <w:pPr>
              <w:spacing w:before="94" w:line="210" w:lineRule="auto"/>
              <w:ind w:left="348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-1"/>
                <w:sz w:val="23"/>
                <w:szCs w:val="23"/>
              </w:rPr>
              <w:t>同比</w:t>
            </w:r>
          </w:p>
          <w:p>
            <w:pPr>
              <w:spacing w:before="91" w:line="214" w:lineRule="auto"/>
              <w:ind w:left="180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SimHei" w:hAnsi="SimHei" w:eastAsia="SimHei" w:cs="SimHei"/>
                <w:spacing w:val="2"/>
                <w:sz w:val="23"/>
                <w:szCs w:val="23"/>
              </w:rPr>
              <w:t>年</w:t>
            </w:r>
          </w:p>
        </w:tc>
        <w:tc>
          <w:tcPr>
            <w:tcW w:w="1266" w:type="dxa"/>
            <w:vAlign w:val="top"/>
          </w:tcPr>
          <w:p>
            <w:pPr>
              <w:spacing w:before="269" w:line="214" w:lineRule="auto"/>
              <w:jc w:val="right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-20"/>
                <w:sz w:val="23"/>
                <w:szCs w:val="23"/>
              </w:rPr>
              <w:t>实测值（</w:t>
            </w:r>
            <w:r>
              <w:rPr>
                <w:rFonts w:ascii="Times New Roman" w:hAnsi="Times New Roman" w:eastAsia="Times New Roman" w:cs="Times New Roman"/>
                <w:spacing w:val="-20"/>
                <w:sz w:val="23"/>
                <w:szCs w:val="23"/>
              </w:rPr>
              <w:t>%</w:t>
            </w:r>
            <w:r>
              <w:rPr>
                <w:rFonts w:ascii="SimHei" w:hAnsi="SimHei" w:eastAsia="SimHei" w:cs="SimHei"/>
                <w:spacing w:val="-20"/>
                <w:sz w:val="23"/>
                <w:szCs w:val="23"/>
              </w:rPr>
              <w:t>）</w:t>
            </w:r>
          </w:p>
        </w:tc>
        <w:tc>
          <w:tcPr>
            <w:tcW w:w="1701" w:type="dxa"/>
            <w:vAlign w:val="top"/>
          </w:tcPr>
          <w:p>
            <w:pPr>
              <w:spacing w:before="87" w:line="252" w:lineRule="auto"/>
              <w:ind w:left="216" w:right="189" w:hanging="8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1"/>
                <w:sz w:val="23"/>
                <w:szCs w:val="23"/>
              </w:rPr>
              <w:t>同比</w:t>
            </w:r>
            <w:r>
              <w:rPr>
                <w:rFonts w:ascii="SimHei" w:hAnsi="SimHei" w:eastAsia="SimHei" w:cs="SimHei"/>
                <w:spacing w:val="-5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  <w:sz w:val="23"/>
                <w:szCs w:val="23"/>
              </w:rPr>
              <w:t xml:space="preserve"> </w:t>
            </w:r>
            <w:r>
              <w:rPr>
                <w:rFonts w:ascii="SimHei" w:hAnsi="SimHei" w:eastAsia="SimHei" w:cs="SimHei"/>
                <w:spacing w:val="1"/>
                <w:sz w:val="23"/>
                <w:szCs w:val="23"/>
              </w:rPr>
              <w:t>年（百分点）</w:t>
            </w:r>
          </w:p>
        </w:tc>
        <w:tc>
          <w:tcPr>
            <w:tcW w:w="1554" w:type="dxa"/>
            <w:vAlign w:val="top"/>
          </w:tcPr>
          <w:p>
            <w:pPr>
              <w:spacing w:before="269" w:line="214" w:lineRule="auto"/>
              <w:ind w:left="188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6"/>
                <w:sz w:val="23"/>
                <w:szCs w:val="23"/>
              </w:rPr>
              <w:t>重污染天数</w:t>
            </w:r>
          </w:p>
        </w:tc>
        <w:tc>
          <w:tcPr>
            <w:tcW w:w="1701" w:type="dxa"/>
            <w:vAlign w:val="top"/>
          </w:tcPr>
          <w:p>
            <w:pPr>
              <w:spacing w:before="88" w:line="215" w:lineRule="auto"/>
              <w:ind w:left="210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1"/>
                <w:sz w:val="23"/>
                <w:szCs w:val="23"/>
              </w:rPr>
              <w:t>同比</w:t>
            </w:r>
            <w:r>
              <w:rPr>
                <w:rFonts w:ascii="SimHei" w:hAnsi="SimHei" w:eastAsia="SimHei" w:cs="SimHei"/>
                <w:spacing w:val="-5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8"/>
                <w:sz w:val="23"/>
                <w:szCs w:val="23"/>
              </w:rPr>
              <w:t xml:space="preserve"> </w:t>
            </w:r>
            <w:r>
              <w:rPr>
                <w:rFonts w:ascii="SimHei" w:hAnsi="SimHei" w:eastAsia="SimHei" w:cs="SimHei"/>
                <w:spacing w:val="1"/>
                <w:sz w:val="23"/>
                <w:szCs w:val="23"/>
              </w:rPr>
              <w:t>年</w:t>
            </w:r>
          </w:p>
          <w:p>
            <w:pPr>
              <w:spacing w:before="98" w:line="209" w:lineRule="auto"/>
              <w:ind w:left="459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-4"/>
                <w:sz w:val="23"/>
                <w:szCs w:val="23"/>
              </w:rPr>
              <w:t>（天）</w:t>
            </w:r>
          </w:p>
        </w:tc>
        <w:tc>
          <w:tcPr>
            <w:tcW w:w="171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580" w:type="dxa"/>
            <w:vMerge w:val="continue"/>
            <w:tcBorders>
              <w:top w:val="nil"/>
              <w:left w:val="single" w:color="FFFFFF" w:sz="4" w:space="0"/>
              <w:bottom w:val="nil"/>
            </w:tcBorders>
            <w:textDirection w:val="tbRl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" w:type="dxa"/>
            <w:tcBorders>
              <w:bottom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vMerge w:val="restart"/>
            <w:tcBorders>
              <w:left w:val="single" w:color="FFFFFF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>
            <w:pPr>
              <w:pStyle w:val="6"/>
              <w:spacing w:before="82" w:line="216" w:lineRule="auto"/>
              <w:ind w:left="274"/>
            </w:pPr>
            <w:r>
              <w:rPr>
                <w:spacing w:val="7"/>
              </w:rPr>
              <w:t>广元市</w:t>
            </w:r>
          </w:p>
        </w:tc>
        <w:tc>
          <w:tcPr>
            <w:tcW w:w="1116" w:type="dxa"/>
            <w:vAlign w:val="top"/>
          </w:tcPr>
          <w:p>
            <w:pPr>
              <w:spacing w:before="123" w:line="195" w:lineRule="auto"/>
              <w:ind w:left="34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44.7</w:t>
            </w:r>
          </w:p>
        </w:tc>
        <w:tc>
          <w:tcPr>
            <w:tcW w:w="1144" w:type="dxa"/>
            <w:vAlign w:val="top"/>
          </w:tcPr>
          <w:p>
            <w:pPr>
              <w:spacing w:before="123" w:line="195" w:lineRule="auto"/>
              <w:ind w:left="28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-9.0%</w:t>
            </w:r>
          </w:p>
        </w:tc>
        <w:tc>
          <w:tcPr>
            <w:tcW w:w="1266" w:type="dxa"/>
            <w:vAlign w:val="top"/>
          </w:tcPr>
          <w:p>
            <w:pPr>
              <w:spacing w:before="123" w:line="195" w:lineRule="auto"/>
              <w:ind w:left="42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77.4</w:t>
            </w:r>
          </w:p>
        </w:tc>
        <w:tc>
          <w:tcPr>
            <w:tcW w:w="1701" w:type="dxa"/>
            <w:vAlign w:val="top"/>
          </w:tcPr>
          <w:p>
            <w:pPr>
              <w:spacing w:before="123" w:line="195" w:lineRule="auto"/>
              <w:ind w:left="60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-12.9</w:t>
            </w:r>
          </w:p>
        </w:tc>
        <w:tc>
          <w:tcPr>
            <w:tcW w:w="1554" w:type="dxa"/>
            <w:vAlign w:val="top"/>
          </w:tcPr>
          <w:p>
            <w:pPr>
              <w:spacing w:before="124" w:line="194" w:lineRule="auto"/>
              <w:ind w:left="72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701" w:type="dxa"/>
            <w:vAlign w:val="top"/>
          </w:tcPr>
          <w:p>
            <w:pPr>
              <w:spacing w:before="124" w:line="194" w:lineRule="auto"/>
              <w:ind w:left="79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713" w:type="dxa"/>
            <w:vAlign w:val="top"/>
          </w:tcPr>
          <w:p>
            <w:pPr>
              <w:spacing w:before="123" w:line="195" w:lineRule="auto"/>
              <w:ind w:left="64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4.07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94" w:hRule="atLeast"/>
        </w:trPr>
        <w:tc>
          <w:tcPr>
            <w:tcW w:w="580" w:type="dxa"/>
            <w:vMerge w:val="continue"/>
            <w:tcBorders>
              <w:top w:val="nil"/>
              <w:left w:val="single" w:color="FFFFFF" w:sz="4" w:space="0"/>
              <w:bottom w:val="single" w:color="FFFFFF" w:sz="2" w:space="0"/>
            </w:tcBorders>
            <w:textDirection w:val="tbRl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" w:type="dxa"/>
            <w:tcBorders>
              <w:top w:val="nil"/>
              <w:bottom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184" w:lineRule="exact"/>
              <w:rPr>
                <w:rFonts w:ascii="Arial"/>
                <w:sz w:val="16"/>
              </w:rPr>
            </w:pPr>
          </w:p>
        </w:tc>
        <w:tc>
          <w:tcPr>
            <w:tcW w:w="1876" w:type="dxa"/>
            <w:vMerge w:val="continue"/>
            <w:tcBorders>
              <w:top w:val="nil"/>
              <w:left w:val="single" w:color="FFFFFF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86" w:line="215" w:lineRule="auto"/>
              <w:ind w:left="288"/>
            </w:pPr>
            <w:r>
              <w:rPr>
                <w:spacing w:val="2"/>
              </w:rPr>
              <w:t>南充市</w:t>
            </w:r>
          </w:p>
        </w:tc>
        <w:tc>
          <w:tcPr>
            <w:tcW w:w="1116" w:type="dxa"/>
            <w:vMerge w:val="restart"/>
            <w:tcBorders>
              <w:bottom w:val="nil"/>
            </w:tcBorders>
            <w:vAlign w:val="top"/>
          </w:tcPr>
          <w:p>
            <w:pPr>
              <w:spacing w:before="126" w:line="194" w:lineRule="auto"/>
              <w:ind w:left="35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61.1</w:t>
            </w:r>
          </w:p>
        </w:tc>
        <w:tc>
          <w:tcPr>
            <w:tcW w:w="1144" w:type="dxa"/>
            <w:vMerge w:val="restart"/>
            <w:tcBorders>
              <w:bottom w:val="nil"/>
            </w:tcBorders>
            <w:vAlign w:val="top"/>
          </w:tcPr>
          <w:p>
            <w:pPr>
              <w:spacing w:before="125" w:line="195" w:lineRule="auto"/>
              <w:ind w:left="22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-20.5%</w:t>
            </w:r>
          </w:p>
        </w:tc>
        <w:tc>
          <w:tcPr>
            <w:tcW w:w="1266" w:type="dxa"/>
            <w:vMerge w:val="restart"/>
            <w:tcBorders>
              <w:bottom w:val="nil"/>
            </w:tcBorders>
            <w:vAlign w:val="top"/>
          </w:tcPr>
          <w:p>
            <w:pPr>
              <w:spacing w:before="125" w:line="195" w:lineRule="auto"/>
              <w:ind w:left="42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71.0</w:t>
            </w:r>
          </w:p>
        </w:tc>
        <w:tc>
          <w:tcPr>
            <w:tcW w:w="1701" w:type="dxa"/>
            <w:vMerge w:val="restart"/>
            <w:tcBorders>
              <w:bottom w:val="nil"/>
            </w:tcBorders>
            <w:vAlign w:val="top"/>
          </w:tcPr>
          <w:p>
            <w:pPr>
              <w:spacing w:before="126" w:line="194" w:lineRule="auto"/>
              <w:ind w:left="66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16.2</w:t>
            </w:r>
          </w:p>
        </w:tc>
        <w:tc>
          <w:tcPr>
            <w:tcW w:w="1554" w:type="dxa"/>
            <w:vMerge w:val="restart"/>
            <w:tcBorders>
              <w:bottom w:val="nil"/>
            </w:tcBorders>
            <w:vAlign w:val="top"/>
          </w:tcPr>
          <w:p>
            <w:pPr>
              <w:spacing w:before="126" w:line="194" w:lineRule="auto"/>
              <w:ind w:left="72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701" w:type="dxa"/>
            <w:vMerge w:val="restart"/>
            <w:tcBorders>
              <w:bottom w:val="nil"/>
            </w:tcBorders>
            <w:vAlign w:val="top"/>
          </w:tcPr>
          <w:p>
            <w:pPr>
              <w:spacing w:before="125" w:line="195" w:lineRule="auto"/>
              <w:ind w:left="75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-1</w:t>
            </w:r>
          </w:p>
        </w:tc>
        <w:tc>
          <w:tcPr>
            <w:tcW w:w="1713" w:type="dxa"/>
            <w:vMerge w:val="restart"/>
            <w:tcBorders>
              <w:bottom w:val="nil"/>
            </w:tcBorders>
            <w:vAlign w:val="top"/>
          </w:tcPr>
          <w:p>
            <w:pPr>
              <w:spacing w:before="126" w:line="194" w:lineRule="auto"/>
              <w:ind w:left="64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4.40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580" w:type="dxa"/>
            <w:vMerge w:val="restart"/>
            <w:tcBorders>
              <w:top w:val="single" w:color="FFFFFF" w:sz="4" w:space="0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9" w:type="dxa"/>
            <w:gridSpan w:val="2"/>
            <w:vMerge w:val="restart"/>
            <w:tcBorders>
              <w:top w:val="nil"/>
              <w:bottom w:val="nil"/>
            </w:tcBorders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5" w:lineRule="auto"/>
              <w:ind w:left="397"/>
            </w:pPr>
            <w:r>
              <w:rPr>
                <w:spacing w:val="7"/>
              </w:rPr>
              <w:t>川东北地区</w:t>
            </w:r>
          </w:p>
        </w:tc>
        <w:tc>
          <w:tcPr>
            <w:tcW w:w="12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>
            <w:pPr>
              <w:pStyle w:val="6"/>
              <w:spacing w:before="87" w:line="215" w:lineRule="auto"/>
              <w:ind w:left="274"/>
            </w:pPr>
            <w:r>
              <w:rPr>
                <w:spacing w:val="7"/>
              </w:rPr>
              <w:t>广安市</w:t>
            </w:r>
          </w:p>
        </w:tc>
        <w:tc>
          <w:tcPr>
            <w:tcW w:w="1116" w:type="dxa"/>
            <w:vAlign w:val="top"/>
          </w:tcPr>
          <w:p>
            <w:pPr>
              <w:spacing w:before="127" w:line="195" w:lineRule="auto"/>
              <w:ind w:left="34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74.4</w:t>
            </w:r>
          </w:p>
        </w:tc>
        <w:tc>
          <w:tcPr>
            <w:tcW w:w="1144" w:type="dxa"/>
            <w:vAlign w:val="top"/>
          </w:tcPr>
          <w:p>
            <w:pPr>
              <w:spacing w:before="127" w:line="195" w:lineRule="auto"/>
              <w:ind w:left="22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-21.8%</w:t>
            </w:r>
          </w:p>
        </w:tc>
        <w:tc>
          <w:tcPr>
            <w:tcW w:w="1266" w:type="dxa"/>
            <w:vAlign w:val="top"/>
          </w:tcPr>
          <w:p>
            <w:pPr>
              <w:spacing w:before="127" w:line="194" w:lineRule="auto"/>
              <w:ind w:left="42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64.5</w:t>
            </w:r>
          </w:p>
        </w:tc>
        <w:tc>
          <w:tcPr>
            <w:tcW w:w="1701" w:type="dxa"/>
            <w:vAlign w:val="top"/>
          </w:tcPr>
          <w:p>
            <w:pPr>
              <w:spacing w:before="127" w:line="195" w:lineRule="auto"/>
              <w:ind w:left="64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29.0</w:t>
            </w:r>
          </w:p>
        </w:tc>
        <w:tc>
          <w:tcPr>
            <w:tcW w:w="1554" w:type="dxa"/>
            <w:vAlign w:val="top"/>
          </w:tcPr>
          <w:p>
            <w:pPr>
              <w:spacing w:before="127" w:line="195" w:lineRule="auto"/>
              <w:ind w:left="71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2</w:t>
            </w:r>
          </w:p>
        </w:tc>
        <w:tc>
          <w:tcPr>
            <w:tcW w:w="1701" w:type="dxa"/>
            <w:vAlign w:val="top"/>
          </w:tcPr>
          <w:p>
            <w:pPr>
              <w:spacing w:before="127" w:line="195" w:lineRule="auto"/>
              <w:ind w:left="75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-4</w:t>
            </w:r>
          </w:p>
        </w:tc>
        <w:tc>
          <w:tcPr>
            <w:tcW w:w="1713" w:type="dxa"/>
            <w:vAlign w:val="top"/>
          </w:tcPr>
          <w:p>
            <w:pPr>
              <w:spacing w:before="127" w:line="194" w:lineRule="auto"/>
              <w:ind w:left="64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4.83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580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>
            <w:pPr>
              <w:pStyle w:val="6"/>
              <w:spacing w:before="89" w:line="215" w:lineRule="auto"/>
              <w:ind w:left="274"/>
            </w:pPr>
            <w:r>
              <w:rPr>
                <w:spacing w:val="6"/>
              </w:rPr>
              <w:t>达州市</w:t>
            </w:r>
          </w:p>
        </w:tc>
        <w:tc>
          <w:tcPr>
            <w:tcW w:w="1116" w:type="dxa"/>
            <w:vAlign w:val="top"/>
          </w:tcPr>
          <w:p>
            <w:pPr>
              <w:spacing w:before="129" w:line="194" w:lineRule="auto"/>
              <w:ind w:left="35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65.5</w:t>
            </w:r>
          </w:p>
        </w:tc>
        <w:tc>
          <w:tcPr>
            <w:tcW w:w="1144" w:type="dxa"/>
            <w:vAlign w:val="top"/>
          </w:tcPr>
          <w:p>
            <w:pPr>
              <w:spacing w:before="128" w:line="195" w:lineRule="auto"/>
              <w:ind w:left="22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-18.2%</w:t>
            </w:r>
          </w:p>
        </w:tc>
        <w:tc>
          <w:tcPr>
            <w:tcW w:w="1266" w:type="dxa"/>
            <w:vAlign w:val="top"/>
          </w:tcPr>
          <w:p>
            <w:pPr>
              <w:spacing w:before="129" w:line="194" w:lineRule="auto"/>
              <w:ind w:left="42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64.5</w:t>
            </w:r>
          </w:p>
        </w:tc>
        <w:tc>
          <w:tcPr>
            <w:tcW w:w="1701" w:type="dxa"/>
            <w:vAlign w:val="top"/>
          </w:tcPr>
          <w:p>
            <w:pPr>
              <w:spacing w:before="128" w:line="195" w:lineRule="auto"/>
              <w:ind w:left="70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9.7</w:t>
            </w:r>
          </w:p>
        </w:tc>
        <w:tc>
          <w:tcPr>
            <w:tcW w:w="1554" w:type="dxa"/>
            <w:vAlign w:val="top"/>
          </w:tcPr>
          <w:p>
            <w:pPr>
              <w:spacing w:before="130" w:line="194" w:lineRule="auto"/>
              <w:ind w:left="72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701" w:type="dxa"/>
            <w:vAlign w:val="top"/>
          </w:tcPr>
          <w:p>
            <w:pPr>
              <w:spacing w:before="129" w:line="195" w:lineRule="auto"/>
              <w:ind w:left="75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-2</w:t>
            </w:r>
          </w:p>
        </w:tc>
        <w:tc>
          <w:tcPr>
            <w:tcW w:w="1713" w:type="dxa"/>
            <w:vAlign w:val="top"/>
          </w:tcPr>
          <w:p>
            <w:pPr>
              <w:spacing w:before="129" w:line="194" w:lineRule="auto"/>
              <w:ind w:left="64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4.88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64" w:hRule="atLeast"/>
        </w:trPr>
        <w:tc>
          <w:tcPr>
            <w:tcW w:w="580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>
            <w:pPr>
              <w:pStyle w:val="6"/>
              <w:spacing w:before="86" w:line="215" w:lineRule="auto"/>
              <w:ind w:left="311"/>
            </w:pPr>
            <w:r>
              <w:rPr>
                <w:spacing w:val="-6"/>
              </w:rPr>
              <w:t>巴中市</w:t>
            </w:r>
          </w:p>
        </w:tc>
        <w:tc>
          <w:tcPr>
            <w:tcW w:w="1116" w:type="dxa"/>
            <w:vAlign w:val="top"/>
          </w:tcPr>
          <w:p>
            <w:pPr>
              <w:spacing w:before="127" w:line="194" w:lineRule="auto"/>
              <w:ind w:left="35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52.5</w:t>
            </w:r>
          </w:p>
        </w:tc>
        <w:tc>
          <w:tcPr>
            <w:tcW w:w="1144" w:type="dxa"/>
            <w:vAlign w:val="top"/>
          </w:tcPr>
          <w:p>
            <w:pPr>
              <w:spacing w:before="126" w:line="195" w:lineRule="auto"/>
              <w:ind w:left="22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-24.7%</w:t>
            </w:r>
          </w:p>
        </w:tc>
        <w:tc>
          <w:tcPr>
            <w:tcW w:w="1266" w:type="dxa"/>
            <w:vAlign w:val="top"/>
          </w:tcPr>
          <w:p>
            <w:pPr>
              <w:spacing w:before="127" w:line="194" w:lineRule="auto"/>
              <w:ind w:left="43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80.6</w:t>
            </w:r>
          </w:p>
        </w:tc>
        <w:tc>
          <w:tcPr>
            <w:tcW w:w="1701" w:type="dxa"/>
            <w:vAlign w:val="top"/>
          </w:tcPr>
          <w:p>
            <w:pPr>
              <w:spacing w:before="126" w:line="195" w:lineRule="auto"/>
              <w:ind w:left="66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12.9</w:t>
            </w:r>
          </w:p>
        </w:tc>
        <w:tc>
          <w:tcPr>
            <w:tcW w:w="1554" w:type="dxa"/>
            <w:vAlign w:val="top"/>
          </w:tcPr>
          <w:p>
            <w:pPr>
              <w:spacing w:before="127" w:line="194" w:lineRule="auto"/>
              <w:ind w:left="72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701" w:type="dxa"/>
            <w:vAlign w:val="top"/>
          </w:tcPr>
          <w:p>
            <w:pPr>
              <w:spacing w:before="127" w:line="194" w:lineRule="auto"/>
              <w:ind w:left="79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713" w:type="dxa"/>
            <w:vAlign w:val="top"/>
          </w:tcPr>
          <w:p>
            <w:pPr>
              <w:spacing w:before="126" w:line="195" w:lineRule="auto"/>
              <w:ind w:left="65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3.94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580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9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>
            <w:pPr>
              <w:pStyle w:val="6"/>
              <w:spacing w:before="86" w:line="217" w:lineRule="auto"/>
              <w:ind w:left="398"/>
            </w:pPr>
            <w:r>
              <w:rPr>
                <w:spacing w:val="3"/>
              </w:rPr>
              <w:t>平均</w:t>
            </w:r>
          </w:p>
        </w:tc>
        <w:tc>
          <w:tcPr>
            <w:tcW w:w="1116" w:type="dxa"/>
            <w:vAlign w:val="top"/>
          </w:tcPr>
          <w:p>
            <w:pPr>
              <w:spacing w:before="127" w:line="195" w:lineRule="auto"/>
              <w:ind w:left="35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59.6</w:t>
            </w:r>
          </w:p>
        </w:tc>
        <w:tc>
          <w:tcPr>
            <w:tcW w:w="1144" w:type="dxa"/>
            <w:vAlign w:val="top"/>
          </w:tcPr>
          <w:p>
            <w:pPr>
              <w:spacing w:before="127" w:line="195" w:lineRule="auto"/>
              <w:ind w:left="22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-19.7%</w:t>
            </w:r>
          </w:p>
        </w:tc>
        <w:tc>
          <w:tcPr>
            <w:tcW w:w="1266" w:type="dxa"/>
            <w:vAlign w:val="top"/>
          </w:tcPr>
          <w:p>
            <w:pPr>
              <w:spacing w:before="127" w:line="195" w:lineRule="auto"/>
              <w:ind w:left="42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71.6</w:t>
            </w:r>
          </w:p>
        </w:tc>
        <w:tc>
          <w:tcPr>
            <w:tcW w:w="1701" w:type="dxa"/>
            <w:vAlign w:val="top"/>
          </w:tcPr>
          <w:p>
            <w:pPr>
              <w:spacing w:before="127" w:line="194" w:lineRule="auto"/>
              <w:ind w:left="66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11.0</w:t>
            </w:r>
          </w:p>
        </w:tc>
        <w:tc>
          <w:tcPr>
            <w:tcW w:w="1554" w:type="dxa"/>
            <w:vAlign w:val="top"/>
          </w:tcPr>
          <w:p>
            <w:pPr>
              <w:spacing w:before="123" w:line="198" w:lineRule="auto"/>
              <w:ind w:left="74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/</w:t>
            </w:r>
          </w:p>
        </w:tc>
        <w:tc>
          <w:tcPr>
            <w:tcW w:w="1701" w:type="dxa"/>
            <w:vAlign w:val="top"/>
          </w:tcPr>
          <w:p>
            <w:pPr>
              <w:spacing w:before="123" w:line="198" w:lineRule="auto"/>
              <w:ind w:left="81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/</w:t>
            </w:r>
          </w:p>
        </w:tc>
        <w:tc>
          <w:tcPr>
            <w:tcW w:w="1713" w:type="dxa"/>
            <w:vAlign w:val="top"/>
          </w:tcPr>
          <w:p>
            <w:pPr>
              <w:spacing w:before="123" w:line="198" w:lineRule="auto"/>
              <w:ind w:left="81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80" w:type="dxa"/>
            <w:vMerge w:val="restart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9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69" w:line="226" w:lineRule="auto"/>
              <w:ind w:left="271"/>
            </w:pPr>
            <w:r>
              <w:rPr>
                <w:spacing w:val="8"/>
              </w:rPr>
              <w:t>攀西高原地区</w:t>
            </w:r>
          </w:p>
        </w:tc>
        <w:tc>
          <w:tcPr>
            <w:tcW w:w="1264" w:type="dxa"/>
            <w:vAlign w:val="top"/>
          </w:tcPr>
          <w:p>
            <w:pPr>
              <w:pStyle w:val="6"/>
              <w:spacing w:before="84" w:line="216" w:lineRule="auto"/>
              <w:ind w:left="153"/>
            </w:pPr>
            <w:r>
              <w:rPr>
                <w:spacing w:val="8"/>
              </w:rPr>
              <w:t>攀枝花市</w:t>
            </w:r>
          </w:p>
        </w:tc>
        <w:tc>
          <w:tcPr>
            <w:tcW w:w="1116" w:type="dxa"/>
            <w:vAlign w:val="top"/>
          </w:tcPr>
          <w:p>
            <w:pPr>
              <w:spacing w:before="125" w:line="194" w:lineRule="auto"/>
              <w:ind w:left="34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40.4</w:t>
            </w:r>
          </w:p>
        </w:tc>
        <w:tc>
          <w:tcPr>
            <w:tcW w:w="1144" w:type="dxa"/>
            <w:vAlign w:val="top"/>
          </w:tcPr>
          <w:p>
            <w:pPr>
              <w:spacing w:before="124" w:line="195" w:lineRule="auto"/>
              <w:ind w:left="34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1.5%</w:t>
            </w:r>
          </w:p>
        </w:tc>
        <w:tc>
          <w:tcPr>
            <w:tcW w:w="1266" w:type="dxa"/>
            <w:vAlign w:val="top"/>
          </w:tcPr>
          <w:p>
            <w:pPr>
              <w:spacing w:before="125" w:line="194" w:lineRule="auto"/>
              <w:ind w:left="47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3"/>
                <w:szCs w:val="23"/>
              </w:rPr>
              <w:t>100</w:t>
            </w:r>
          </w:p>
        </w:tc>
        <w:tc>
          <w:tcPr>
            <w:tcW w:w="1701" w:type="dxa"/>
            <w:vAlign w:val="top"/>
          </w:tcPr>
          <w:p>
            <w:pPr>
              <w:spacing w:before="125" w:line="194" w:lineRule="auto"/>
              <w:ind w:left="70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0.0</w:t>
            </w:r>
          </w:p>
        </w:tc>
        <w:tc>
          <w:tcPr>
            <w:tcW w:w="1554" w:type="dxa"/>
            <w:vAlign w:val="top"/>
          </w:tcPr>
          <w:p>
            <w:pPr>
              <w:spacing w:before="125" w:line="194" w:lineRule="auto"/>
              <w:ind w:left="72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701" w:type="dxa"/>
            <w:vAlign w:val="top"/>
          </w:tcPr>
          <w:p>
            <w:pPr>
              <w:spacing w:before="125" w:line="194" w:lineRule="auto"/>
              <w:ind w:left="79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713" w:type="dxa"/>
            <w:vAlign w:val="top"/>
          </w:tcPr>
          <w:p>
            <w:pPr>
              <w:spacing w:before="124" w:line="192" w:lineRule="auto"/>
              <w:ind w:left="64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4.24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80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9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>
            <w:pPr>
              <w:pStyle w:val="6"/>
              <w:spacing w:before="84" w:line="216" w:lineRule="auto"/>
              <w:ind w:left="277"/>
            </w:pPr>
            <w:r>
              <w:rPr>
                <w:spacing w:val="5"/>
              </w:rPr>
              <w:t>凉山州</w:t>
            </w:r>
          </w:p>
        </w:tc>
        <w:tc>
          <w:tcPr>
            <w:tcW w:w="1116" w:type="dxa"/>
            <w:vAlign w:val="top"/>
          </w:tcPr>
          <w:p>
            <w:pPr>
              <w:spacing w:before="125" w:line="194" w:lineRule="auto"/>
              <w:ind w:left="35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35.5</w:t>
            </w:r>
          </w:p>
        </w:tc>
        <w:tc>
          <w:tcPr>
            <w:tcW w:w="1144" w:type="dxa"/>
            <w:vAlign w:val="top"/>
          </w:tcPr>
          <w:p>
            <w:pPr>
              <w:spacing w:before="125" w:line="195" w:lineRule="auto"/>
              <w:ind w:left="26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>27.7%</w:t>
            </w:r>
          </w:p>
        </w:tc>
        <w:tc>
          <w:tcPr>
            <w:tcW w:w="1266" w:type="dxa"/>
            <w:vAlign w:val="top"/>
          </w:tcPr>
          <w:p>
            <w:pPr>
              <w:spacing w:before="126" w:line="194" w:lineRule="auto"/>
              <w:ind w:left="47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3"/>
                <w:szCs w:val="23"/>
              </w:rPr>
              <w:t>100</w:t>
            </w:r>
          </w:p>
        </w:tc>
        <w:tc>
          <w:tcPr>
            <w:tcW w:w="1701" w:type="dxa"/>
            <w:vAlign w:val="top"/>
          </w:tcPr>
          <w:p>
            <w:pPr>
              <w:spacing w:before="125" w:line="194" w:lineRule="auto"/>
              <w:ind w:left="70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0.0</w:t>
            </w:r>
          </w:p>
        </w:tc>
        <w:tc>
          <w:tcPr>
            <w:tcW w:w="1554" w:type="dxa"/>
            <w:vAlign w:val="top"/>
          </w:tcPr>
          <w:p>
            <w:pPr>
              <w:spacing w:before="126" w:line="194" w:lineRule="auto"/>
              <w:ind w:left="72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701" w:type="dxa"/>
            <w:vAlign w:val="top"/>
          </w:tcPr>
          <w:p>
            <w:pPr>
              <w:spacing w:before="126" w:line="194" w:lineRule="auto"/>
              <w:ind w:left="79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713" w:type="dxa"/>
            <w:vAlign w:val="top"/>
          </w:tcPr>
          <w:p>
            <w:pPr>
              <w:spacing w:before="125" w:line="195" w:lineRule="auto"/>
              <w:ind w:left="65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3.29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64" w:hRule="atLeast"/>
        </w:trPr>
        <w:tc>
          <w:tcPr>
            <w:tcW w:w="580" w:type="dxa"/>
            <w:vMerge w:val="restart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9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73" w:line="225" w:lineRule="auto"/>
              <w:ind w:left="277"/>
            </w:pPr>
            <w:r>
              <w:rPr>
                <w:spacing w:val="7"/>
              </w:rPr>
              <w:t>川西高原地区</w:t>
            </w:r>
          </w:p>
        </w:tc>
        <w:tc>
          <w:tcPr>
            <w:tcW w:w="1264" w:type="dxa"/>
            <w:vAlign w:val="top"/>
          </w:tcPr>
          <w:p>
            <w:pPr>
              <w:pStyle w:val="6"/>
              <w:spacing w:before="86" w:line="215" w:lineRule="auto"/>
              <w:ind w:left="292"/>
            </w:pPr>
            <w:r>
              <w:t>阿坝州</w:t>
            </w:r>
          </w:p>
        </w:tc>
        <w:tc>
          <w:tcPr>
            <w:tcW w:w="1116" w:type="dxa"/>
            <w:vAlign w:val="top"/>
          </w:tcPr>
          <w:p>
            <w:pPr>
              <w:spacing w:before="126" w:line="194" w:lineRule="auto"/>
              <w:ind w:left="36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14.6</w:t>
            </w:r>
          </w:p>
        </w:tc>
        <w:tc>
          <w:tcPr>
            <w:tcW w:w="1144" w:type="dxa"/>
            <w:vAlign w:val="top"/>
          </w:tcPr>
          <w:p>
            <w:pPr>
              <w:spacing w:before="125" w:line="195" w:lineRule="auto"/>
              <w:ind w:left="32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2.1%</w:t>
            </w:r>
          </w:p>
        </w:tc>
        <w:tc>
          <w:tcPr>
            <w:tcW w:w="1266" w:type="dxa"/>
            <w:vAlign w:val="top"/>
          </w:tcPr>
          <w:p>
            <w:pPr>
              <w:spacing w:before="126" w:line="194" w:lineRule="auto"/>
              <w:ind w:left="47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3"/>
                <w:szCs w:val="23"/>
              </w:rPr>
              <w:t>100</w:t>
            </w:r>
          </w:p>
        </w:tc>
        <w:tc>
          <w:tcPr>
            <w:tcW w:w="1701" w:type="dxa"/>
            <w:vAlign w:val="top"/>
          </w:tcPr>
          <w:p>
            <w:pPr>
              <w:spacing w:before="126" w:line="194" w:lineRule="auto"/>
              <w:ind w:left="70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0.0</w:t>
            </w:r>
          </w:p>
        </w:tc>
        <w:tc>
          <w:tcPr>
            <w:tcW w:w="1554" w:type="dxa"/>
            <w:vAlign w:val="top"/>
          </w:tcPr>
          <w:p>
            <w:pPr>
              <w:spacing w:before="126" w:line="194" w:lineRule="auto"/>
              <w:ind w:left="72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701" w:type="dxa"/>
            <w:vAlign w:val="top"/>
          </w:tcPr>
          <w:p>
            <w:pPr>
              <w:spacing w:before="126" w:line="194" w:lineRule="auto"/>
              <w:ind w:left="79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713" w:type="dxa"/>
            <w:vAlign w:val="top"/>
          </w:tcPr>
          <w:p>
            <w:pPr>
              <w:spacing w:before="125" w:line="195" w:lineRule="auto"/>
              <w:ind w:left="66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1.78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580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9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>
            <w:pPr>
              <w:pStyle w:val="6"/>
              <w:spacing w:before="89" w:line="215" w:lineRule="auto"/>
              <w:ind w:left="285"/>
            </w:pPr>
            <w:r>
              <w:rPr>
                <w:spacing w:val="3"/>
              </w:rPr>
              <w:t>甘孜州</w:t>
            </w:r>
          </w:p>
        </w:tc>
        <w:tc>
          <w:tcPr>
            <w:tcW w:w="1116" w:type="dxa"/>
            <w:vAlign w:val="top"/>
          </w:tcPr>
          <w:p>
            <w:pPr>
              <w:spacing w:before="133" w:line="191" w:lineRule="auto"/>
              <w:ind w:left="40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7.7</w:t>
            </w:r>
          </w:p>
        </w:tc>
        <w:tc>
          <w:tcPr>
            <w:tcW w:w="1144" w:type="dxa"/>
            <w:vAlign w:val="top"/>
          </w:tcPr>
          <w:p>
            <w:pPr>
              <w:spacing w:before="129" w:line="195" w:lineRule="auto"/>
              <w:ind w:left="22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-23.8%</w:t>
            </w:r>
          </w:p>
        </w:tc>
        <w:tc>
          <w:tcPr>
            <w:tcW w:w="1266" w:type="dxa"/>
            <w:vAlign w:val="top"/>
          </w:tcPr>
          <w:p>
            <w:pPr>
              <w:spacing w:before="130" w:line="194" w:lineRule="auto"/>
              <w:ind w:left="47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3"/>
                <w:szCs w:val="23"/>
              </w:rPr>
              <w:t>100</w:t>
            </w:r>
          </w:p>
        </w:tc>
        <w:tc>
          <w:tcPr>
            <w:tcW w:w="1701" w:type="dxa"/>
            <w:vAlign w:val="top"/>
          </w:tcPr>
          <w:p>
            <w:pPr>
              <w:spacing w:before="129" w:line="194" w:lineRule="auto"/>
              <w:ind w:left="70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0.0</w:t>
            </w:r>
          </w:p>
        </w:tc>
        <w:tc>
          <w:tcPr>
            <w:tcW w:w="1554" w:type="dxa"/>
            <w:vAlign w:val="top"/>
          </w:tcPr>
          <w:p>
            <w:pPr>
              <w:spacing w:before="130" w:line="194" w:lineRule="auto"/>
              <w:ind w:left="72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701" w:type="dxa"/>
            <w:vAlign w:val="top"/>
          </w:tcPr>
          <w:p>
            <w:pPr>
              <w:spacing w:before="130" w:line="194" w:lineRule="auto"/>
              <w:ind w:left="79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713" w:type="dxa"/>
            <w:vAlign w:val="top"/>
          </w:tcPr>
          <w:p>
            <w:pPr>
              <w:spacing w:before="129" w:line="195" w:lineRule="auto"/>
              <w:ind w:left="66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1.74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80" w:type="dxa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43" w:type="dxa"/>
            <w:gridSpan w:val="3"/>
            <w:vAlign w:val="top"/>
          </w:tcPr>
          <w:p>
            <w:pPr>
              <w:pStyle w:val="6"/>
              <w:spacing w:before="86" w:line="215" w:lineRule="auto"/>
              <w:ind w:left="1153"/>
            </w:pPr>
            <w:r>
              <w:rPr>
                <w:b/>
                <w:bCs/>
                <w:spacing w:val="3"/>
              </w:rPr>
              <w:t>重点城市</w:t>
            </w:r>
          </w:p>
        </w:tc>
        <w:tc>
          <w:tcPr>
            <w:tcW w:w="1116" w:type="dxa"/>
            <w:vAlign w:val="top"/>
          </w:tcPr>
          <w:p>
            <w:pPr>
              <w:spacing w:before="127" w:line="194" w:lineRule="auto"/>
              <w:ind w:left="35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64.5</w:t>
            </w:r>
          </w:p>
        </w:tc>
        <w:tc>
          <w:tcPr>
            <w:tcW w:w="1144" w:type="dxa"/>
            <w:vAlign w:val="top"/>
          </w:tcPr>
          <w:p>
            <w:pPr>
              <w:spacing w:before="126" w:line="195" w:lineRule="auto"/>
              <w:ind w:left="22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-14.0%</w:t>
            </w:r>
          </w:p>
        </w:tc>
        <w:tc>
          <w:tcPr>
            <w:tcW w:w="1266" w:type="dxa"/>
            <w:vAlign w:val="top"/>
          </w:tcPr>
          <w:p>
            <w:pPr>
              <w:spacing w:before="126" w:line="195" w:lineRule="auto"/>
              <w:ind w:left="42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66.9</w:t>
            </w:r>
          </w:p>
        </w:tc>
        <w:tc>
          <w:tcPr>
            <w:tcW w:w="1701" w:type="dxa"/>
            <w:vAlign w:val="top"/>
          </w:tcPr>
          <w:p>
            <w:pPr>
              <w:spacing w:before="126" w:line="195" w:lineRule="auto"/>
              <w:ind w:left="70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7.1</w:t>
            </w:r>
          </w:p>
        </w:tc>
        <w:tc>
          <w:tcPr>
            <w:tcW w:w="1554" w:type="dxa"/>
            <w:vAlign w:val="top"/>
          </w:tcPr>
          <w:p>
            <w:pPr>
              <w:spacing w:before="127" w:line="194" w:lineRule="auto"/>
              <w:ind w:left="72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</w:t>
            </w:r>
          </w:p>
        </w:tc>
        <w:tc>
          <w:tcPr>
            <w:tcW w:w="1701" w:type="dxa"/>
            <w:vAlign w:val="top"/>
          </w:tcPr>
          <w:p>
            <w:pPr>
              <w:spacing w:before="127" w:line="194" w:lineRule="auto"/>
              <w:ind w:left="69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-18</w:t>
            </w:r>
          </w:p>
        </w:tc>
        <w:tc>
          <w:tcPr>
            <w:tcW w:w="1713" w:type="dxa"/>
            <w:vAlign w:val="top"/>
          </w:tcPr>
          <w:p>
            <w:pPr>
              <w:spacing w:before="123" w:line="198" w:lineRule="auto"/>
              <w:ind w:left="81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580" w:type="dxa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43" w:type="dxa"/>
            <w:gridSpan w:val="3"/>
            <w:vAlign w:val="top"/>
          </w:tcPr>
          <w:p>
            <w:pPr>
              <w:pStyle w:val="6"/>
              <w:spacing w:before="87" w:line="218" w:lineRule="auto"/>
              <w:ind w:left="1381"/>
            </w:pPr>
            <w:r>
              <w:rPr>
                <w:b/>
                <w:bCs/>
                <w:spacing w:val="4"/>
              </w:rPr>
              <w:t>全省</w:t>
            </w:r>
          </w:p>
        </w:tc>
        <w:tc>
          <w:tcPr>
            <w:tcW w:w="1116" w:type="dxa"/>
            <w:vAlign w:val="top"/>
          </w:tcPr>
          <w:p>
            <w:pPr>
              <w:spacing w:before="127" w:line="194" w:lineRule="auto"/>
              <w:ind w:left="35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55.4</w:t>
            </w:r>
          </w:p>
        </w:tc>
        <w:tc>
          <w:tcPr>
            <w:tcW w:w="1144" w:type="dxa"/>
            <w:vAlign w:val="top"/>
          </w:tcPr>
          <w:p>
            <w:pPr>
              <w:spacing w:before="127" w:line="195" w:lineRule="auto"/>
              <w:ind w:left="22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-12.9%</w:t>
            </w:r>
          </w:p>
        </w:tc>
        <w:tc>
          <w:tcPr>
            <w:tcW w:w="1266" w:type="dxa"/>
            <w:vAlign w:val="top"/>
          </w:tcPr>
          <w:p>
            <w:pPr>
              <w:spacing w:before="127" w:line="195" w:lineRule="auto"/>
              <w:ind w:left="42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74.3</w:t>
            </w:r>
          </w:p>
        </w:tc>
        <w:tc>
          <w:tcPr>
            <w:tcW w:w="1701" w:type="dxa"/>
            <w:vAlign w:val="top"/>
          </w:tcPr>
          <w:p>
            <w:pPr>
              <w:spacing w:before="127" w:line="194" w:lineRule="auto"/>
              <w:ind w:left="70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5.0</w:t>
            </w:r>
          </w:p>
        </w:tc>
        <w:tc>
          <w:tcPr>
            <w:tcW w:w="1554" w:type="dxa"/>
            <w:vAlign w:val="top"/>
          </w:tcPr>
          <w:p>
            <w:pPr>
              <w:spacing w:before="128" w:line="194" w:lineRule="auto"/>
              <w:ind w:left="72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</w:t>
            </w:r>
          </w:p>
        </w:tc>
        <w:tc>
          <w:tcPr>
            <w:tcW w:w="1701" w:type="dxa"/>
            <w:vAlign w:val="top"/>
          </w:tcPr>
          <w:p>
            <w:pPr>
              <w:spacing w:before="128" w:line="194" w:lineRule="auto"/>
              <w:ind w:left="69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-18</w:t>
            </w:r>
          </w:p>
        </w:tc>
        <w:tc>
          <w:tcPr>
            <w:tcW w:w="1713" w:type="dxa"/>
            <w:vAlign w:val="top"/>
          </w:tcPr>
          <w:p>
            <w:pPr>
              <w:spacing w:before="124" w:line="198" w:lineRule="auto"/>
              <w:ind w:left="81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/</w:t>
            </w:r>
          </w:p>
        </w:tc>
      </w:tr>
    </w:tbl>
    <w:p>
      <w:pPr>
        <w:pStyle w:val="2"/>
        <w:spacing w:before="114" w:line="225" w:lineRule="auto"/>
        <w:ind w:left="621"/>
        <w:rPr>
          <w:sz w:val="23"/>
          <w:szCs w:val="23"/>
        </w:rPr>
      </w:pPr>
      <w:r>
        <w:rPr>
          <w:spacing w:val="5"/>
          <w:sz w:val="23"/>
          <w:szCs w:val="23"/>
        </w:rPr>
        <w:t>备注：</w:t>
      </w:r>
      <w:r>
        <w:rPr>
          <w:spacing w:val="-69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>1</w:t>
      </w:r>
      <w:r>
        <w:rPr>
          <w:spacing w:val="5"/>
          <w:sz w:val="23"/>
          <w:szCs w:val="23"/>
        </w:rPr>
        <w:t>．重点城市是指全国</w:t>
      </w:r>
      <w:r>
        <w:rPr>
          <w:spacing w:val="-27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 xml:space="preserve">168 </w:t>
      </w:r>
      <w:r>
        <w:rPr>
          <w:spacing w:val="5"/>
          <w:sz w:val="23"/>
          <w:szCs w:val="23"/>
        </w:rPr>
        <w:t>个重点城</w:t>
      </w:r>
      <w:r>
        <w:rPr>
          <w:spacing w:val="4"/>
          <w:sz w:val="23"/>
          <w:szCs w:val="23"/>
        </w:rPr>
        <w:t>市中我省的</w:t>
      </w:r>
      <w:r>
        <w:rPr>
          <w:spacing w:val="-2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23"/>
          <w:szCs w:val="23"/>
        </w:rPr>
        <w:t xml:space="preserve">15 </w:t>
      </w:r>
      <w:r>
        <w:rPr>
          <w:spacing w:val="4"/>
          <w:sz w:val="23"/>
          <w:szCs w:val="23"/>
        </w:rPr>
        <w:t>个市。</w:t>
      </w:r>
    </w:p>
    <w:p>
      <w:pPr>
        <w:pStyle w:val="2"/>
        <w:spacing w:before="120" w:line="224" w:lineRule="auto"/>
        <w:ind w:left="1334"/>
        <w:rPr>
          <w:sz w:val="23"/>
          <w:szCs w:val="23"/>
        </w:rPr>
        <w:sectPr>
          <w:headerReference r:id="rId8" w:type="default"/>
          <w:pgSz w:w="16837" w:h="11906"/>
          <w:pgMar w:top="400" w:right="2172" w:bottom="400" w:left="638" w:header="0" w:footer="0" w:gutter="0"/>
          <w:cols w:space="720" w:num="1"/>
        </w:sectPr>
      </w:pPr>
      <w:r>
        <w:rPr>
          <w:rFonts w:ascii="Times New Roman" w:hAnsi="Times New Roman" w:eastAsia="Times New Roman" w:cs="Times New Roman"/>
          <w:spacing w:val="8"/>
          <w:sz w:val="23"/>
          <w:szCs w:val="23"/>
        </w:rPr>
        <w:t>2</w:t>
      </w:r>
      <w:r>
        <w:rPr>
          <w:spacing w:val="8"/>
          <w:sz w:val="23"/>
          <w:szCs w:val="23"/>
        </w:rPr>
        <w:t>．数据来源为国控站实测数据</w:t>
      </w:r>
      <w:bookmarkStart w:id="0" w:name="_GoBack"/>
      <w:bookmarkEnd w:id="0"/>
    </w:p>
    <w:p>
      <w:pPr>
        <w:pStyle w:val="2"/>
        <w:spacing w:before="238" w:line="217" w:lineRule="auto"/>
        <w:rPr>
          <w:sz w:val="28"/>
          <w:szCs w:val="28"/>
        </w:rPr>
      </w:pPr>
    </w:p>
    <w:sectPr>
      <w:pgSz w:w="11906" w:h="16837"/>
      <w:pgMar w:top="400" w:right="1453" w:bottom="400" w:left="160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5" w:lineRule="auto"/>
      <w:ind w:left="221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pacing w:val="-8"/>
        <w:sz w:val="28"/>
        <w:szCs w:val="28"/>
      </w:rPr>
      <w:t>—</w:t>
    </w:r>
    <w:r>
      <w:rPr>
        <w:rFonts w:ascii="SimSun" w:hAnsi="SimSun" w:eastAsia="SimSun" w:cs="SimSun"/>
        <w:spacing w:val="16"/>
        <w:sz w:val="28"/>
        <w:szCs w:val="28"/>
      </w:rPr>
      <w:t xml:space="preserve"> </w:t>
    </w:r>
    <w:r>
      <w:rPr>
        <w:rFonts w:ascii="SimSun" w:hAnsi="SimSun" w:eastAsia="SimSun" w:cs="SimSun"/>
        <w:spacing w:val="-8"/>
        <w:sz w:val="28"/>
        <w:szCs w:val="28"/>
      </w:rPr>
      <w:t>2</w:t>
    </w:r>
    <w:r>
      <w:rPr>
        <w:rFonts w:ascii="SimSun" w:hAnsi="SimSun" w:eastAsia="SimSun" w:cs="SimSun"/>
        <w:spacing w:val="12"/>
        <w:sz w:val="28"/>
        <w:szCs w:val="28"/>
      </w:rPr>
      <w:t xml:space="preserve"> </w:t>
    </w:r>
    <w:r>
      <w:rPr>
        <w:rFonts w:ascii="SimSun" w:hAnsi="SimSun" w:eastAsia="SimSun" w:cs="SimSun"/>
        <w:spacing w:val="-8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98" w:line="212" w:lineRule="auto"/>
      <w:ind w:left="610"/>
      <w:rPr>
        <w:rFonts w:ascii="Times New Roman" w:hAnsi="Times New Roman" w:eastAsia="Times New Roman" w:cs="Times New Roman"/>
        <w:sz w:val="31"/>
        <w:szCs w:val="31"/>
      </w:rPr>
    </w:pPr>
    <w:r>
      <w:rPr>
        <w:rFonts w:ascii="SimHei" w:hAnsi="SimHei" w:eastAsia="SimHei" w:cs="SimHei"/>
        <w:spacing w:val="-4"/>
        <w:sz w:val="31"/>
        <w:szCs w:val="31"/>
      </w:rPr>
      <w:t>附件</w:t>
    </w:r>
    <w:r>
      <w:rPr>
        <w:rFonts w:ascii="SimHei" w:hAnsi="SimHei" w:eastAsia="SimHei" w:cs="SimHei"/>
        <w:spacing w:val="-65"/>
        <w:sz w:val="31"/>
        <w:szCs w:val="31"/>
      </w:rPr>
      <w:t xml:space="preserve"> </w:t>
    </w:r>
    <w:r>
      <w:rPr>
        <w:rFonts w:ascii="Times New Roman" w:hAnsi="Times New Roman" w:eastAsia="Times New Roman" w:cs="Times New Roman"/>
        <w:spacing w:val="-4"/>
        <w:sz w:val="31"/>
        <w:szCs w:val="31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EED0E8D"/>
    <w:rsid w:val="11F785E0"/>
    <w:rsid w:val="37ED169E"/>
    <w:rsid w:val="3EEFB9D0"/>
    <w:rsid w:val="3FF7F76D"/>
    <w:rsid w:val="75E72603"/>
    <w:rsid w:val="76FDD2D8"/>
    <w:rsid w:val="7EFC96A4"/>
    <w:rsid w:val="7F6901CF"/>
    <w:rsid w:val="7FDF342C"/>
    <w:rsid w:val="BDEB0258"/>
    <w:rsid w:val="BDFFCFFF"/>
    <w:rsid w:val="D4FE8B93"/>
    <w:rsid w:val="E7FFB0EA"/>
    <w:rsid w:val="EEDFF51C"/>
    <w:rsid w:val="FCFB3B9D"/>
    <w:rsid w:val="FDFFA53A"/>
    <w:rsid w:val="FEF7E1B5"/>
    <w:rsid w:val="FFFC69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" w:hAnsi="FangSong" w:eastAsia="FangSong" w:cs="FangSong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" w:hAnsi="FangSong" w:eastAsia="FangSong" w:cs="FangSong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2.xml"/><Relationship Id="rId7" Type="http://schemas.openxmlformats.org/officeDocument/2006/relationships/header" Target="header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Office_11.8.2.9695_F1E327BC-269C-435d-A152-05C5408002CA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2026-03-04T07:21:00Z</dcterms:created>
  <dc:creator>黄梅</dc:creator>
  <cp:keywords>黄梅</cp:keywords>
  <cp:lastModifiedBy>user</cp:lastModifiedBy>
  <dcterms:modified xsi:type="dcterms:W3CDTF">2026-03-03T15:32:06Z</dcterms:modified>
  <dc:subject>黄梅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2026-03-03T15:24:18Z</vt:filetime>
  </property>
  <property fmtid="{D5CDD505-2E9C-101B-9397-08002B2CF9AE}" pid="4" name="KSOProductBuildVer">
    <vt:lpwstr>2052-11.8.2.9695</vt:lpwstr>
  </property>
</Properties>
</file>