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318" w:firstLine="640" w:firstLineChars="200"/>
        <w:jc w:val="righ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right="0" w:firstLine="0"/>
        <w:jc w:val="center"/>
        <w:textAlignment w:val="auto"/>
        <w:outlineLvl w:val="9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攀枝花市生态环境局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00" w:lineRule="exact"/>
        <w:ind w:left="0" w:firstLine="0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关于盐边发展建设工程有限公司盐边县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00" w:lineRule="exact"/>
        <w:ind w:left="0" w:firstLine="0"/>
        <w:jc w:val="center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sz w:val="44"/>
          <w:szCs w:val="44"/>
          <w:lang w:bidi="ar-SA"/>
        </w:rPr>
        <w:t>红格水库工程环境影响报告表的批复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_GBK" w:eastAsia="方正小标宋_GBK" w:cs="方正小标宋_GBK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盐边发展建设工程有限公司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你公司《盐边县红格水库工程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环境影响报告表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》（以下简称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）收悉，经研究，批复如下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一、项目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位于攀枝花市盐边县红格镇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岩羊河上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开发任务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为防洪、灌溉、维持水生态平衡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主要建设内容包括挡水坝、放空冲砂兼导流设施、枢纽附属建筑、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基础观测设施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、临时工程和环保工程</w:t>
      </w:r>
      <w:r>
        <w:rPr>
          <w:rFonts w:ascii="Times New Roman" w:hAnsi="Times New Roman" w:eastAsia="仿宋_GB2312" w:cs="Times New Roman"/>
          <w:sz w:val="32"/>
          <w:szCs w:val="32"/>
          <w:lang w:eastAsia="zh-CN" w:bidi="ar-SA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水库建设后，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大坝坝顶高程1197m，全长275m，最大坝高20m，坝顶宽8m，水库总库容43.26万m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兴利库容29.59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万m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，设计洪水位1194.85m，设计洪水位库容39.76万m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，正常蓄水位1193m，正常蓄水位库容30.89万m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，死水位1184m，死库容1.3万m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。项目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6941.58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万元，环保投资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二、四川众拓全过程工程设计咨询有限公司受你公司委托对该项</w:t>
      </w:r>
      <w:r>
        <w:rPr>
          <w:rFonts w:hint="eastAsia" w:ascii="Times New Roman" w:hAnsi="Times New Roman" w:eastAsia="仿宋_GB2312"/>
          <w:sz w:val="32"/>
          <w:szCs w:val="32"/>
        </w:rPr>
        <w:t>目开展环境影响评价，编制项目环境影响报告表。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认为项目符合国家</w:t>
      </w:r>
      <w:r>
        <w:rPr>
          <w:rFonts w:hint="default" w:eastAsia="仿宋_GB2312"/>
          <w:sz w:val="32"/>
          <w:szCs w:val="32"/>
        </w:rPr>
        <w:t>现行</w:t>
      </w:r>
      <w:r>
        <w:rPr>
          <w:rFonts w:hint="eastAsia" w:ascii="Times New Roman" w:hAnsi="Times New Roman" w:eastAsia="仿宋_GB2312"/>
          <w:sz w:val="32"/>
          <w:szCs w:val="32"/>
        </w:rPr>
        <w:t>产业政策，选址符合当地规划</w:t>
      </w:r>
      <w:r>
        <w:rPr>
          <w:rFonts w:hint="eastAsia" w:eastAsia="仿宋_GB2312"/>
          <w:sz w:val="32"/>
          <w:szCs w:val="32"/>
          <w:lang w:eastAsia="zh-CN"/>
        </w:rPr>
        <w:t>和生态环境分区管控有关</w:t>
      </w:r>
      <w:r>
        <w:rPr>
          <w:rFonts w:hint="eastAsia" w:ascii="Times New Roman" w:hAnsi="Times New Roman" w:eastAsia="仿宋_GB2312"/>
          <w:sz w:val="32"/>
          <w:szCs w:val="32"/>
        </w:rPr>
        <w:t>要求，在严格落实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提出的环保对策及措施，严格执行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“三同时”</w:t>
      </w:r>
      <w:r>
        <w:rPr>
          <w:rFonts w:hint="eastAsia" w:ascii="Times New Roman" w:hAnsi="Times New Roman" w:eastAsia="仿宋_GB2312"/>
          <w:sz w:val="32"/>
          <w:szCs w:val="32"/>
        </w:rPr>
        <w:t>制度，确保项目污染物达标排放，认真落实环境风险防范措施的前提下，该项目的建设从生态环境角度可行，我局原则同意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的环境影响评价总体结论和拟采取的各项生态环境保护措施。你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</w:rPr>
        <w:t>应严格按照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中所列项目的建设性质、规模、工艺、地点和拟采取的环境保护措施进行建设，以确保对环境的不利影响能够得到缓解和控制。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三、项目建设</w:t>
      </w:r>
      <w:r>
        <w:rPr>
          <w:rFonts w:hint="eastAsia" w:eastAsia="仿宋_GB2312"/>
          <w:sz w:val="32"/>
          <w:szCs w:val="32"/>
          <w:lang w:eastAsia="zh-CN"/>
        </w:rPr>
        <w:t>及运行中</w:t>
      </w:r>
      <w:r>
        <w:rPr>
          <w:rFonts w:hint="eastAsia" w:ascii="Times New Roman" w:hAnsi="Times New Roman" w:eastAsia="仿宋_GB2312"/>
          <w:sz w:val="32"/>
          <w:szCs w:val="32"/>
        </w:rPr>
        <w:t>应做好以下工作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u w:val="none"/>
        </w:rPr>
        <w:t>（一）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加强施工期及运行期的环境保护工作，落实建设单位内部的环境管理机构、人员，认真执行环境保护“三同时”制度。严格按照“报告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”有关要求，落实环保投资，落实施工期及营运期各项污染防治措施、生态保护措施及风险防范措施，确保污染物达标排放</w:t>
      </w:r>
      <w:r>
        <w:rPr>
          <w:rFonts w:hint="eastAsia" w:eastAsia="仿宋_GB2312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（二）严格落实各项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生态保护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措施。施工期，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合理安排施工时间，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基础施工、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涉水工程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尽量选择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枯水期施工，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避开当地水生生物产卵期、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繁殖期；严格限制施工活动范围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de-DE" w:eastAsia="de-DE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做好施工组织，优化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并规范施工方式，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选用低噪声机械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，河道围堰施工时设置导流渠，对围堰内的鱼类及时进行捕捞、放归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加强施工管理，严禁在水体中挖沙、取石、改变水流流向和加重泥沙含量等行为，严禁施工废水、废渣排放进入河流；加强对施工人员的生态保护教育，严禁捕杀野生动物，在施工区设置水生生物保护警示牌，严禁施工人员下河捕捞；施工结束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临时占地采用当地适生物种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进行恢复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 w:bidi="ar-SA"/>
        </w:rPr>
        <w:t>，水库蓄水前对库底进行清理。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运营期，</w:t>
      </w: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放空、冲砂兼导流洞右侧边墙118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0m高程处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设置生态流量放水管，对生态流量进行在线监控及视频监控，确保最小下泄生态流量不低于0.107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/s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，保障岩羊河河道基流</w:t>
      </w:r>
      <w:bookmarkEnd w:id="0"/>
      <w:r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加强水库周边农业面源和生活污水的控制，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加强巡察，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禁止向水库排污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及时清除水库周边及水面垃圾、杂质，减少污染物排入水库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加强库区富营养化的巡查工作，制定富营养化处理应急预案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eastAsia="仿宋_GB2312"/>
          <w:kern w:val="0"/>
          <w:sz w:val="32"/>
          <w:szCs w:val="32"/>
        </w:rPr>
        <w:t>严格</w:t>
      </w:r>
      <w:r>
        <w:rPr>
          <w:rFonts w:hint="eastAsia" w:eastAsia="仿宋_GB2312"/>
          <w:color w:val="auto"/>
          <w:kern w:val="0"/>
          <w:sz w:val="32"/>
          <w:szCs w:val="32"/>
        </w:rPr>
        <w:t>落实施工期各项大气污染防治措施。</w:t>
      </w:r>
      <w:r>
        <w:rPr>
          <w:rFonts w:hint="eastAsia" w:eastAsia="仿宋_GB2312"/>
          <w:color w:val="auto"/>
          <w:sz w:val="32"/>
          <w:szCs w:val="32"/>
        </w:rPr>
        <w:t>严格按照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eastAsia="仿宋_GB2312"/>
          <w:color w:val="auto"/>
          <w:sz w:val="32"/>
          <w:szCs w:val="32"/>
        </w:rPr>
        <w:t>六必须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”“</w:t>
      </w:r>
      <w:r>
        <w:rPr>
          <w:rFonts w:hint="eastAsia" w:eastAsia="仿宋_GB2312"/>
          <w:color w:val="auto"/>
          <w:sz w:val="32"/>
          <w:szCs w:val="32"/>
        </w:rPr>
        <w:t>六不准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eastAsia="仿宋_GB2312"/>
          <w:color w:val="auto"/>
          <w:sz w:val="32"/>
          <w:szCs w:val="32"/>
        </w:rPr>
        <w:t>有关要求，做好项目扬尘污染防治工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土石方开挖和回填扬尘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设置围挡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雾炮机或洒水车对作业面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洒水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控制；土料场扬尘通过喷雾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水控制；通过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道路清扫、洒水、车辆冲洗、封闭运输车辆等措施控制道路运输扬尘。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eastAsia="仿宋_GB2312"/>
          <w:kern w:val="0"/>
          <w:sz w:val="32"/>
          <w:szCs w:val="32"/>
        </w:rPr>
        <w:t>严格落实施工期各项水污染防治措施。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基坑废水经沉淀池处理后用于施工道路和施工区内洒水降尘；车辆冲洗废水经隔油池沉淀后用于施工场地洒水；生活污水经化粪池处理后由吸粪车运至益民污水处理厂处理。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 w:bidi="ar-SA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严格落实施工期各项固体废弃物污染防治措施。施工建筑垃圾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尽可能回收利用，不能回用的建筑垃圾、库底垃圾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运至盐边县指定的建筑垃圾堆放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；沉淀池污泥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、工程弃渣运往岩羊河环境整治工程综合利用；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生活垃圾收集后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当地环卫部门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清运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处置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。含油手套、废机油、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bidi="ar-SA"/>
        </w:rPr>
        <w:t>隔油池废油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等危废依托岩羊河环境整治工程的危废间暂存，定期交由有资质单位处置。</w:t>
      </w: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-SA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 w:bidi="ar-SA"/>
        </w:rPr>
        <w:t>（六）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-SA"/>
        </w:rPr>
        <w:t>严格落实施工期各项噪声治理措施。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-SA"/>
        </w:rPr>
        <w:t>选用低噪声设备、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合理安排施工时间、科学安排运输时间、合理布局、设置围挡、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-SA"/>
        </w:rPr>
        <w:t>加强机械设备的维护和保养等措施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噪声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对周围环境的影响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高度重视环境风险防范工作。严格落实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提出的各项风险防范措施，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-SA"/>
        </w:rPr>
        <w:t>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出现事故能得到及时、有效处理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确保环境安全。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强化环境风险管控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-SA"/>
        </w:rPr>
        <w:t>制定</w:t>
      </w:r>
      <w:r>
        <w:rPr>
          <w:rFonts w:eastAsia="仿宋_GB2312"/>
          <w:sz w:val="32"/>
          <w:szCs w:val="32"/>
          <w:lang w:eastAsia="zh-CN" w:bidi="ar-SA"/>
        </w:rPr>
        <w:t>突发环境事件应急预案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 w:bidi="ar-SA"/>
        </w:rPr>
        <w:t>适时组织演练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）加强公众参与。项目在建设中，应根据公众的反映，进一步加强与公众沟通，以适当、稳妥、有效的方式，切实做好宣传、解释、维稳工作，及时解决公众提出的合理环境诉求，避免因公众参与工作落实不到位、相关环保措施不落实，导致环境纠纷和社会稳定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）其他应注意的事项按国家相关法律法规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-SA"/>
        </w:rPr>
        <w:t>提出的相关要求</w:t>
      </w:r>
      <w:r>
        <w:rPr>
          <w:rFonts w:hint="eastAsia" w:ascii="Times New Roman" w:hAnsi="Times New Roman" w:eastAsia="仿宋_GB2312"/>
          <w:sz w:val="32"/>
          <w:szCs w:val="32"/>
        </w:rPr>
        <w:t>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b w:val="0"/>
          <w:i w:val="0"/>
          <w:color w:val="auto"/>
          <w:spacing w:val="0"/>
          <w:sz w:val="32"/>
          <w:szCs w:val="32"/>
          <w:shd w:val="clear" w:color="auto" w:fill="FFFFFF"/>
        </w:rPr>
        <w:t>项目开工前，应依法完备其他相关行政许可手续。</w:t>
      </w:r>
      <w:r>
        <w:rPr>
          <w:rFonts w:hint="eastAsia" w:ascii="Times New Roman" w:hAnsi="Times New Roman" w:eastAsia="仿宋_GB2312"/>
          <w:sz w:val="32"/>
          <w:szCs w:val="32"/>
        </w:rPr>
        <w:t>项目在实施中必须严格执行环保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“三同时”</w:t>
      </w:r>
      <w:r>
        <w:rPr>
          <w:rFonts w:hint="eastAsia" w:ascii="Times New Roman" w:hAnsi="Times New Roman" w:eastAsia="仿宋_GB2312"/>
          <w:sz w:val="32"/>
          <w:szCs w:val="32"/>
        </w:rPr>
        <w:t>制度。项目竣工后，必须按规定程序开展环境保护验收，验收合格后方可投入使用。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项目环境影响评价文件经批准后，如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的性质、规模、工艺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地点或者防治污染、防止生态破坏的措施发生重大变化的，建设单位应当重新报批环境影响评价文件，否则不得实施。自环评文件批</w:t>
      </w:r>
      <w:r>
        <w:rPr>
          <w:rFonts w:hint="eastAsia" w:eastAsia="仿宋_GB2312"/>
          <w:sz w:val="32"/>
          <w:szCs w:val="32"/>
          <w:lang w:eastAsia="zh-CN"/>
        </w:rPr>
        <w:t>准</w:t>
      </w:r>
      <w:r>
        <w:rPr>
          <w:rFonts w:hint="eastAsia" w:ascii="Times New Roman" w:hAnsi="Times New Roman" w:eastAsia="仿宋_GB2312"/>
          <w:sz w:val="32"/>
          <w:szCs w:val="32"/>
        </w:rPr>
        <w:t>之日起，超过5年方决定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-SA"/>
        </w:rPr>
        <w:t>该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eastAsia="zh-CN" w:bidi="ar-SA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开工建设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，环境影响评价文件应当报我局重新审核。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请市生态环境保护综合行政执法支队和</w:t>
      </w:r>
      <w:r>
        <w:rPr>
          <w:rFonts w:hint="default" w:eastAsia="仿宋_GB2312"/>
          <w:sz w:val="32"/>
          <w:szCs w:val="32"/>
          <w:lang w:eastAsia="zh-CN"/>
        </w:rPr>
        <w:t>攀枝花市</w:t>
      </w:r>
      <w:r>
        <w:rPr>
          <w:rFonts w:hint="eastAsia" w:eastAsia="仿宋_GB2312"/>
          <w:sz w:val="32"/>
          <w:szCs w:val="32"/>
          <w:lang w:eastAsia="zh-CN"/>
        </w:rPr>
        <w:t>盐边</w:t>
      </w:r>
      <w:r>
        <w:rPr>
          <w:rFonts w:hint="eastAsia" w:ascii="Times New Roman" w:hAnsi="Times New Roman" w:eastAsia="仿宋_GB2312"/>
          <w:sz w:val="32"/>
          <w:szCs w:val="32"/>
        </w:rPr>
        <w:t>生态环境局加强对该项目的监督管理。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你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/>
          <w:sz w:val="32"/>
          <w:szCs w:val="32"/>
        </w:rPr>
        <w:t>应在收到本批复15个工作日内将批</w:t>
      </w:r>
      <w:r>
        <w:rPr>
          <w:rFonts w:hint="eastAsia" w:eastAsia="仿宋_GB2312"/>
          <w:sz w:val="32"/>
          <w:szCs w:val="32"/>
          <w:lang w:eastAsia="zh-CN"/>
        </w:rPr>
        <w:t>准</w:t>
      </w:r>
      <w:r>
        <w:rPr>
          <w:rFonts w:hint="eastAsia" w:ascii="Times New Roman" w:hAnsi="Times New Roman" w:eastAsia="仿宋_GB2312"/>
          <w:sz w:val="32"/>
          <w:szCs w:val="32"/>
        </w:rPr>
        <w:t>后的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报告表</w:t>
      </w:r>
      <w:r>
        <w:rPr>
          <w:rFonts w:hint="default" w:eastAsia="仿宋_GB2312"/>
          <w:color w:val="000000"/>
          <w:sz w:val="32"/>
          <w:szCs w:val="32"/>
          <w:u w:val="none"/>
          <w:lang w:val="en-US"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送达</w:t>
      </w:r>
      <w:r>
        <w:rPr>
          <w:rFonts w:hint="default" w:eastAsia="仿宋_GB2312"/>
          <w:sz w:val="32"/>
          <w:szCs w:val="32"/>
          <w:lang w:eastAsia="zh-CN"/>
        </w:rPr>
        <w:t>攀枝花市</w:t>
      </w:r>
      <w:r>
        <w:rPr>
          <w:rFonts w:hint="eastAsia" w:eastAsia="仿宋_GB2312"/>
          <w:sz w:val="32"/>
          <w:szCs w:val="32"/>
          <w:lang w:eastAsia="zh-CN"/>
        </w:rPr>
        <w:t>盐边</w:t>
      </w:r>
      <w:r>
        <w:rPr>
          <w:rFonts w:ascii="Times New Roman" w:hAnsi="Times New Roman" w:eastAsia="仿宋_GB2312"/>
          <w:sz w:val="32"/>
          <w:szCs w:val="32"/>
        </w:rPr>
        <w:t>生态环境局</w:t>
      </w:r>
      <w:r>
        <w:rPr>
          <w:rFonts w:hint="eastAsia" w:ascii="Times New Roman" w:hAnsi="Times New Roman" w:eastAsia="仿宋_GB2312"/>
          <w:sz w:val="32"/>
          <w:szCs w:val="32"/>
        </w:rPr>
        <w:t>备案，并接受各级生态环境主管部门的监管。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攀枝花市生态环境局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202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default" w:eastAsia="仿宋_GB2312"/>
          <w:color w:val="auto"/>
          <w:sz w:val="32"/>
          <w:szCs w:val="32"/>
          <w:lang w:val="en-US" w:eastAsia="en-US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default" w:eastAsia="仿宋_GB2312"/>
          <w:color w:val="auto"/>
          <w:sz w:val="32"/>
          <w:szCs w:val="32"/>
          <w:lang w:val="en-US" w:eastAsia="en-US"/>
        </w:rPr>
        <w:t>23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日</w:t>
      </w: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25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-SA"/>
        </w:rPr>
      </w:pPr>
    </w:p>
    <w:sectPr>
      <w:footerReference r:id="rId7" w:type="first"/>
      <w:footerReference r:id="rId6" w:type="default"/>
      <w:pgSz w:w="11906" w:h="16838"/>
      <w:pgMar w:top="1440" w:right="179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ÃƒÆ’Ã‚Â¥Ãƒâ€šÃ‚Â¯Ãƒâ€šÃ‚Â°ÃƒÆ’Ã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="1603" w:wrap="around" w:vAnchor="text" w:hAnchor="margin" w:xAlign="outside" w:y="1"/>
      <w:ind w:firstLine="280" w:firstLineChars="100"/>
      <w:rPr>
        <w:rStyle w:val="29"/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Style w:val="29"/>
        <w:rFonts w:hint="eastAsia" w:ascii="宋体"/>
        <w:sz w:val="28"/>
        <w:szCs w:val="28"/>
      </w:rPr>
      <w:fldChar w:fldCharType="begin"/>
    </w:r>
    <w:r>
      <w:rPr>
        <w:rStyle w:val="29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29"/>
        <w:rFonts w:hint="eastAsia" w:ascii="宋体"/>
        <w:sz w:val="28"/>
        <w:szCs w:val="28"/>
      </w:rPr>
      <w:t>4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 </w:t>
    </w:r>
  </w:p>
  <w:p>
    <w:pPr>
      <w:pStyle w:val="2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outside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2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3.1.25:80/seeyon/officeservlet"/>
  </w:docVars>
  <w:rsids>
    <w:rsidRoot w:val="00000000"/>
    <w:rsid w:val="2CFF02EE"/>
    <w:rsid w:val="EF5F379C"/>
    <w:rsid w:val="FBEB0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28">
    <w:name w:val="Default Paragraph Font"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eastAsia="宋体"/>
      <w:sz w:val="21"/>
    </w:rPr>
  </w:style>
  <w:style w:type="paragraph" w:styleId="6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4" w:lineRule="auto"/>
      <w:ind w:left="0" w:right="0" w:firstLine="200" w:firstLineChars="20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"/>
    </w:rPr>
  </w:style>
  <w:style w:type="paragraph" w:styleId="7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szCs w:val="24"/>
      <w:lang w:bidi="ar-SA"/>
    </w:rPr>
  </w:style>
  <w:style w:type="paragraph" w:styleId="8">
    <w:name w:val="Document Map"/>
    <w:basedOn w:val="1"/>
    <w:qFormat/>
    <w:uiPriority w:val="0"/>
    <w:pPr>
      <w:shd w:val="clear" w:color="auto" w:fill="00008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Salutation"/>
    <w:basedOn w:val="1"/>
    <w:next w:val="1"/>
    <w:qFormat/>
    <w:uiPriority w:val="0"/>
  </w:style>
  <w:style w:type="paragraph" w:styleId="11">
    <w:name w:val="Body Text"/>
    <w:basedOn w:val="1"/>
    <w:next w:val="1"/>
    <w:qFormat/>
    <w:uiPriority w:val="0"/>
    <w:pPr>
      <w:autoSpaceDE w:val="0"/>
      <w:autoSpaceDN w:val="0"/>
      <w:adjustRightInd w:val="0"/>
      <w:spacing w:line="360" w:lineRule="atLeast"/>
      <w:jc w:val="left"/>
      <w:textAlignment w:val="baseline"/>
    </w:pPr>
    <w:rPr>
      <w:rFonts w:ascii="宋体"/>
      <w:color w:val="000000"/>
      <w:sz w:val="24"/>
    </w:rPr>
  </w:style>
  <w:style w:type="paragraph" w:styleId="12">
    <w:name w:val="Plain Text"/>
    <w:basedOn w:val="1"/>
    <w:next w:val="13"/>
    <w:qFormat/>
    <w:uiPriority w:val="0"/>
    <w:rPr>
      <w:rFonts w:ascii="宋体"/>
    </w:rPr>
  </w:style>
  <w:style w:type="paragraph" w:customStyle="1" w:styleId="13">
    <w:name w:val="Default"/>
    <w:basedOn w:val="14"/>
    <w:next w:val="1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纯文本1"/>
    <w:basedOn w:val="1"/>
    <w:qFormat/>
    <w:uiPriority w:val="0"/>
    <w:rPr>
      <w:rFonts w:ascii="宋体"/>
      <w:kern w:val="0"/>
      <w:sz w:val="20"/>
      <w:szCs w:val="21"/>
    </w:rPr>
  </w:style>
  <w:style w:type="paragraph" w:customStyle="1" w:styleId="15">
    <w:name w:val="样式1"/>
    <w:basedOn w:val="16"/>
    <w:next w:val="1"/>
    <w:qFormat/>
    <w:uiPriority w:val="0"/>
    <w:pPr>
      <w:keepLines/>
      <w:widowControl w:val="0"/>
      <w:overflowPunct/>
      <w:snapToGrid/>
      <w:spacing w:before="100" w:after="100" w:line="360" w:lineRule="auto"/>
      <w:ind w:left="0" w:firstLine="0"/>
    </w:pPr>
    <w:rPr>
      <w:rFonts w:ascii="Times New Roman" w:hAnsi="Times New Roman" w:eastAsia="黑体" w:cs="Times New Roman"/>
      <w:b w:val="0"/>
      <w:kern w:val="44"/>
      <w:sz w:val="36"/>
      <w:szCs w:val="36"/>
      <w:lang w:bidi="ar-SA"/>
    </w:rPr>
  </w:style>
  <w:style w:type="paragraph" w:styleId="16">
    <w:name w:val="index heading"/>
    <w:basedOn w:val="1"/>
    <w:next w:val="17"/>
    <w:qFormat/>
    <w:uiPriority w:val="0"/>
    <w:rPr>
      <w:rFonts w:ascii="Arial" w:hAnsi="Arial" w:cs="Arial"/>
      <w:b/>
      <w:bCs/>
      <w:lang w:bidi="ar-SA"/>
    </w:rPr>
  </w:style>
  <w:style w:type="paragraph" w:styleId="17">
    <w:name w:val="index 1"/>
    <w:basedOn w:val="1"/>
    <w:next w:val="1"/>
    <w:qFormat/>
    <w:uiPriority w:val="0"/>
    <w:pPr>
      <w:tabs>
        <w:tab w:val="left" w:pos="5580"/>
      </w:tabs>
      <w:spacing w:line="280" w:lineRule="exact"/>
    </w:pPr>
    <w:rPr>
      <w:rFonts w:ascii="宋体"/>
      <w:spacing w:val="10"/>
    </w:rPr>
  </w:style>
  <w:style w:type="paragraph" w:styleId="18">
    <w:name w:val="Date"/>
    <w:basedOn w:val="1"/>
    <w:next w:val="1"/>
    <w:qFormat/>
    <w:uiPriority w:val="0"/>
    <w:pPr>
      <w:ind w:left="2500" w:leftChars="2500"/>
    </w:pPr>
  </w:style>
  <w:style w:type="paragraph" w:styleId="19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next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2">
    <w:name w:val="样式5"/>
    <w:basedOn w:val="6"/>
    <w:qFormat/>
    <w:uiPriority w:val="0"/>
    <w:pPr>
      <w:spacing w:before="124" w:after="124" w:line="360" w:lineRule="auto"/>
      <w:jc w:val="left"/>
    </w:pPr>
    <w:rPr>
      <w:rFonts w:ascii="宋体" w:hAnsi="宋体" w:eastAsia="黑体"/>
      <w:b/>
      <w:sz w:val="24"/>
    </w:rPr>
  </w:style>
  <w:style w:type="paragraph" w:styleId="23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4">
    <w:name w:val="toc 2"/>
    <w:basedOn w:val="1"/>
    <w:next w:val="1"/>
    <w:qFormat/>
    <w:uiPriority w:val="0"/>
    <w:pPr>
      <w:tabs>
        <w:tab w:val="right" w:leader="dot" w:pos="8296"/>
      </w:tabs>
      <w:ind w:left="200" w:leftChars="200"/>
    </w:pPr>
  </w:style>
  <w:style w:type="paragraph" w:styleId="25">
    <w:name w:val="Body Text 2"/>
    <w:basedOn w:val="1"/>
    <w:qFormat/>
    <w:uiPriority w:val="0"/>
    <w:pPr>
      <w:spacing w:after="120" w:line="480" w:lineRule="auto"/>
    </w:pPr>
    <w:rPr>
      <w:rFonts w:ascii="Calibri" w:hAnsi="Calibri" w:cs="Calibri"/>
      <w:lang w:bidi="ar-SA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9">
    <w:name w:val="page number"/>
    <w:basedOn w:val="28"/>
    <w:qFormat/>
    <w:uiPriority w:val="0"/>
  </w:style>
  <w:style w:type="character" w:customStyle="1" w:styleId="30">
    <w:name w:val="批注文字 Char"/>
    <w:basedOn w:val="28"/>
    <w:qFormat/>
    <w:uiPriority w:val="0"/>
    <w:rPr>
      <w:rFonts w:ascii="Calibri" w:hAnsi="Calibri" w:eastAsia="宋体" w:cs="Times New Roman"/>
      <w:szCs w:val="24"/>
      <w:lang w:bidi="ar-SA"/>
    </w:rPr>
  </w:style>
  <w:style w:type="character" w:customStyle="1" w:styleId="31">
    <w:name w:val="【正文】 Char Char"/>
    <w:qFormat/>
    <w:uiPriority w:val="0"/>
    <w:rPr>
      <w:rFonts w:ascii="Times New Roman" w:hAnsi="Times New Roman" w:eastAsia="宋体" w:cs="宋体"/>
      <w:color w:val="000000"/>
      <w:kern w:val="2"/>
      <w:sz w:val="24"/>
      <w:lang w:bidi="ar-SA"/>
    </w:rPr>
  </w:style>
  <w:style w:type="paragraph" w:customStyle="1" w:styleId="32">
    <w:name w:val="A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paragraph" w:customStyle="1" w:styleId="33">
    <w:name w:val="xyb自建正文"/>
    <w:basedOn w:val="1"/>
    <w:qFormat/>
    <w:uiPriority w:val="0"/>
    <w:pPr>
      <w:snapToGrid w:val="0"/>
      <w:spacing w:line="360" w:lineRule="auto"/>
      <w:ind w:firstLine="200" w:firstLineChars="200"/>
    </w:pPr>
    <w:rPr>
      <w:color w:val="0000F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5</TotalTime>
  <ScaleCrop>false</ScaleCrop>
  <LinksUpToDate>false</LinksUpToDate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2021-11-10T17:51:00Z</dcterms:created>
  <dc:creator>廖燕</dc:creator>
  <cp:lastModifiedBy>user</cp:lastModifiedBy>
  <dcterms:modified xsi:type="dcterms:W3CDTF">2026-01-26T09:44:38Z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2052-11.8.2.10912</vt:lpwstr>
  </property>
  <property fmtid="{D5CDD505-2E9C-101B-9397-08002B2CF9AE}" pid="3" name="KSOProductBuildVer">
    <vt:lpwstr>2052-11.8.2.10290</vt:lpwstr>
  </property>
  <property fmtid="{D5CDD505-2E9C-101B-9397-08002B2CF9AE}" pid="4" name="ICV">
    <vt:lpwstr>EDEE815529C94112A572A67DC824261F</vt:lpwstr>
  </property>
</Properties>
</file>