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96EAB4">
      <w:pPr>
        <w:keepNext w:val="0"/>
        <w:keepLines w:val="0"/>
        <w:pageBreakBefore w:val="0"/>
        <w:wordWrap/>
        <w:overflowPunct/>
        <w:topLinePunct w:val="0"/>
        <w:bidi w:val="0"/>
        <w:spacing w:before="101" w:line="360" w:lineRule="auto"/>
        <w:ind w:left="17"/>
        <w:rPr>
          <w:rFonts w:hint="eastAsia" w:ascii="仿宋_GB2312" w:hAnsi="仿宋_GB2312" w:eastAsia="仿宋_GB2312" w:cs="仿宋_GB2312"/>
          <w:sz w:val="31"/>
          <w:szCs w:val="31"/>
        </w:rPr>
      </w:pPr>
      <w:r>
        <w:rPr>
          <w:rFonts w:hint="eastAsia" w:ascii="仿宋_GB2312" w:hAnsi="仿宋_GB2312" w:eastAsia="仿宋_GB2312" w:cs="仿宋_GB2312"/>
          <w:spacing w:val="-8"/>
          <w:position w:val="1"/>
          <w:sz w:val="31"/>
          <w:szCs w:val="31"/>
        </w:rPr>
        <w:t>附件</w:t>
      </w:r>
    </w:p>
    <w:p w14:paraId="67CA4B02">
      <w:pPr>
        <w:pStyle w:val="2"/>
        <w:keepNext w:val="0"/>
        <w:keepLines w:val="0"/>
        <w:pageBreakBefore w:val="0"/>
        <w:widowControl/>
        <w:kinsoku w:val="0"/>
        <w:wordWrap/>
        <w:overflowPunct/>
        <w:topLinePunct w:val="0"/>
        <w:autoSpaceDE w:val="0"/>
        <w:autoSpaceDN w:val="0"/>
        <w:bidi w:val="0"/>
        <w:adjustRightInd w:val="0"/>
        <w:snapToGrid w:val="0"/>
        <w:spacing w:before="214" w:line="360" w:lineRule="auto"/>
        <w:ind w:left="6" w:firstLine="561"/>
        <w:jc w:val="center"/>
        <w:textAlignment w:val="baseline"/>
        <w:rPr>
          <w:rFonts w:hint="eastAsia" w:ascii="仿宋_GB2312" w:hAnsi="仿宋_GB2312" w:eastAsia="仿宋_GB2312" w:cs="仿宋_GB2312"/>
          <w:b/>
          <w:bCs/>
          <w:sz w:val="21"/>
        </w:rPr>
      </w:pPr>
      <w:r>
        <w:rPr>
          <w:rFonts w:hint="eastAsia" w:ascii="仿宋_GB2312" w:hAnsi="仿宋_GB2312" w:eastAsia="仿宋_GB2312" w:cs="仿宋_GB2312"/>
          <w:b/>
          <w:bCs/>
          <w:spacing w:val="7"/>
          <w:sz w:val="43"/>
          <w:szCs w:val="43"/>
        </w:rPr>
        <w:t>盐边县桐子林镇桐子林社区村规划（2024—2035年）公示说明及主要图纸</w:t>
      </w:r>
    </w:p>
    <w:p w14:paraId="7B3B39B1">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ascii="Times New Roman" w:hAnsi="Times New Roman" w:eastAsia="仿宋_GB2312" w:cs="仿宋_GB2312"/>
          <w:bCs/>
          <w:snapToGrid/>
          <w:kern w:val="2"/>
          <w:sz w:val="32"/>
          <w:szCs w:val="32"/>
          <w:lang w:eastAsia="zh-CN"/>
        </w:rPr>
      </w:pPr>
      <w:r>
        <w:rPr>
          <w:rFonts w:hint="eastAsia" w:ascii="黑体" w:hAnsi="黑体" w:eastAsia="黑体" w:cs="黑体"/>
          <w:bCs/>
          <w:snapToGrid/>
          <w:kern w:val="2"/>
          <w:sz w:val="32"/>
          <w:szCs w:val="32"/>
          <w:lang w:eastAsia="zh-CN"/>
        </w:rPr>
        <w:t>一、规划范围</w:t>
      </w:r>
    </w:p>
    <w:p w14:paraId="01751B10">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Cs/>
          <w:snapToGrid/>
          <w:kern w:val="2"/>
          <w:sz w:val="32"/>
          <w:szCs w:val="32"/>
          <w:lang w:eastAsia="zh-CN"/>
        </w:rPr>
      </w:pPr>
      <w:r>
        <w:rPr>
          <w:rFonts w:hint="eastAsia" w:ascii="仿宋_GB2312" w:hAnsi="仿宋_GB2312" w:eastAsia="仿宋_GB2312" w:cs="仿宋_GB2312"/>
          <w:bCs/>
          <w:snapToGrid/>
          <w:kern w:val="2"/>
          <w:sz w:val="32"/>
          <w:szCs w:val="32"/>
          <w:lang w:eastAsia="zh-CN"/>
        </w:rPr>
        <w:t>本次规划范围</w:t>
      </w:r>
      <w:r>
        <w:rPr>
          <w:rFonts w:hint="eastAsia" w:ascii="仿宋_GB2312" w:hAnsi="仿宋_GB2312" w:eastAsia="仿宋_GB2312" w:cs="仿宋_GB2312"/>
          <w:bCs/>
          <w:snapToGrid/>
          <w:kern w:val="2"/>
          <w:sz w:val="32"/>
          <w:szCs w:val="32"/>
          <w:lang w:val="en-US" w:eastAsia="zh-CN"/>
        </w:rPr>
        <w:t>桐子林社区下辖桐子林组、芭蕉湾组、大坪地组和湾滩组共计4个村民小组</w:t>
      </w:r>
      <w:r>
        <w:rPr>
          <w:rFonts w:hint="eastAsia" w:ascii="仿宋_GB2312" w:hAnsi="仿宋_GB2312" w:eastAsia="仿宋_GB2312" w:cs="仿宋_GB2312"/>
          <w:bCs/>
          <w:snapToGrid/>
          <w:kern w:val="2"/>
          <w:sz w:val="32"/>
          <w:szCs w:val="32"/>
          <w:lang w:eastAsia="zh-CN"/>
        </w:rPr>
        <w:t>，规划区面积</w:t>
      </w:r>
      <w:r>
        <w:rPr>
          <w:rFonts w:hint="eastAsia" w:ascii="仿宋_GB2312" w:hAnsi="仿宋_GB2312" w:eastAsia="仿宋_GB2312" w:cs="仿宋_GB2312"/>
          <w:bCs/>
          <w:snapToGrid/>
          <w:kern w:val="2"/>
          <w:sz w:val="32"/>
          <w:szCs w:val="32"/>
          <w:lang w:val="en-US" w:eastAsia="zh-CN"/>
        </w:rPr>
        <w:t>33.05</w:t>
      </w:r>
      <w:r>
        <w:rPr>
          <w:rFonts w:hint="eastAsia" w:ascii="仿宋_GB2312" w:hAnsi="仿宋_GB2312" w:eastAsia="仿宋_GB2312" w:cs="仿宋_GB2312"/>
          <w:bCs/>
          <w:snapToGrid/>
          <w:kern w:val="2"/>
          <w:sz w:val="32"/>
          <w:szCs w:val="32"/>
          <w:lang w:eastAsia="zh-CN"/>
        </w:rPr>
        <w:t>平方公里。</w:t>
      </w:r>
    </w:p>
    <w:p w14:paraId="3C492778">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ascii="黑体" w:hAnsi="黑体" w:eastAsia="黑体" w:cs="黑体"/>
          <w:bCs/>
          <w:snapToGrid/>
          <w:kern w:val="2"/>
          <w:sz w:val="32"/>
          <w:szCs w:val="32"/>
          <w:lang w:eastAsia="zh-CN"/>
        </w:rPr>
      </w:pPr>
      <w:r>
        <w:rPr>
          <w:rFonts w:hint="eastAsia" w:ascii="黑体" w:hAnsi="黑体" w:eastAsia="黑体" w:cs="黑体"/>
          <w:bCs/>
          <w:snapToGrid/>
          <w:kern w:val="2"/>
          <w:sz w:val="32"/>
          <w:szCs w:val="32"/>
          <w:lang w:eastAsia="zh-CN"/>
        </w:rPr>
        <w:t>二、目标定位</w:t>
      </w:r>
    </w:p>
    <w:p w14:paraId="27C45CC4">
      <w:pPr>
        <w:keepNext w:val="0"/>
        <w:keepLines w:val="0"/>
        <w:pageBreakBefore w:val="0"/>
        <w:widowControl w:val="0"/>
        <w:kinsoku/>
        <w:wordWrap/>
        <w:overflowPunct/>
        <w:topLinePunct w:val="0"/>
        <w:autoSpaceDE/>
        <w:autoSpaceDN/>
        <w:bidi w:val="0"/>
        <w:adjustRightInd/>
        <w:snapToGrid/>
        <w:spacing w:line="360" w:lineRule="auto"/>
        <w:ind w:firstLine="640"/>
        <w:jc w:val="both"/>
        <w:textAlignment w:val="auto"/>
        <w:rPr>
          <w:rFonts w:ascii="Times New Roman" w:hAnsi="Times New Roman" w:eastAsia="仿宋_GB2312" w:cs="仿宋_GB2312"/>
          <w:b/>
          <w:bCs/>
          <w:snapToGrid/>
          <w:color w:val="000000"/>
          <w:kern w:val="2"/>
          <w:sz w:val="32"/>
          <w:szCs w:val="32"/>
          <w:lang w:eastAsia="zh-CN"/>
        </w:rPr>
      </w:pPr>
      <w:r>
        <w:rPr>
          <w:rFonts w:hint="eastAsia" w:ascii="Times New Roman" w:hAnsi="Times New Roman" w:eastAsia="仿宋_GB2312" w:cs="Times New Roman"/>
          <w:snapToGrid/>
          <w:color w:val="auto"/>
          <w:kern w:val="2"/>
          <w:sz w:val="32"/>
          <w:szCs w:val="24"/>
          <w:lang w:eastAsia="zh-CN"/>
        </w:rPr>
        <w:t>结合攀枝花、盐边县发展战略和上位规划定位，按照“产业兴旺、生态宜居、乡风文明、治理有效、生活富裕”的总体要求，立足乡村自然资源禀赋、产业经济基础，确定桐子林社区发展定位为：</w:t>
      </w:r>
      <w:r>
        <w:rPr>
          <w:rFonts w:hint="eastAsia" w:ascii="Times New Roman" w:hAnsi="Times New Roman" w:eastAsia="仿宋_GB2312" w:cs="Times New Roman"/>
          <w:b/>
          <w:bCs/>
          <w:snapToGrid/>
          <w:color w:val="auto"/>
          <w:kern w:val="2"/>
          <w:sz w:val="32"/>
          <w:szCs w:val="24"/>
          <w:lang w:eastAsia="zh-CN"/>
        </w:rPr>
        <w:t>以品质果蔬种植为基础，以</w:t>
      </w:r>
      <w:bookmarkStart w:id="1" w:name="_GoBack"/>
      <w:bookmarkEnd w:id="1"/>
      <w:r>
        <w:rPr>
          <w:rFonts w:hint="eastAsia" w:ascii="Times New Roman" w:hAnsi="Times New Roman" w:eastAsia="仿宋_GB2312" w:cs="Times New Roman"/>
          <w:b/>
          <w:bCs/>
          <w:snapToGrid/>
          <w:color w:val="auto"/>
          <w:kern w:val="2"/>
          <w:sz w:val="32"/>
          <w:szCs w:val="24"/>
          <w:lang w:eastAsia="zh-CN"/>
        </w:rPr>
        <w:t>林下生态农业为特色，近郊康养旅游为引领的共富共美示范社区</w:t>
      </w:r>
      <w:r>
        <w:rPr>
          <w:rFonts w:hint="eastAsia" w:ascii="Times New Roman" w:hAnsi="Times New Roman" w:eastAsia="仿宋_GB2312" w:cs="仿宋_GB2312"/>
          <w:b/>
          <w:bCs/>
          <w:snapToGrid/>
          <w:color w:val="000000"/>
          <w:kern w:val="2"/>
          <w:sz w:val="32"/>
          <w:szCs w:val="32"/>
          <w:lang w:eastAsia="zh-CN"/>
        </w:rPr>
        <w:t>。</w:t>
      </w:r>
    </w:p>
    <w:p w14:paraId="4C4B4619">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0" w:firstLineChars="200"/>
        <w:jc w:val="left"/>
        <w:textAlignment w:val="auto"/>
        <w:rPr>
          <w:rFonts w:hint="eastAsia" w:ascii="黑体" w:hAnsi="黑体" w:eastAsia="黑体" w:cs="黑体"/>
          <w:bCs/>
          <w:snapToGrid/>
          <w:kern w:val="2"/>
          <w:sz w:val="32"/>
          <w:szCs w:val="32"/>
          <w:lang w:eastAsia="zh-CN"/>
        </w:rPr>
      </w:pPr>
      <w:r>
        <w:rPr>
          <w:rFonts w:hint="eastAsia" w:ascii="黑体" w:hAnsi="黑体" w:eastAsia="黑体" w:cs="黑体"/>
          <w:bCs/>
          <w:snapToGrid/>
          <w:kern w:val="2"/>
          <w:sz w:val="32"/>
          <w:szCs w:val="32"/>
          <w:lang w:eastAsia="zh-CN"/>
        </w:rPr>
        <w:t>产业结构</w:t>
      </w:r>
    </w:p>
    <w:p w14:paraId="55F2EAAB">
      <w:pPr>
        <w:keepNext w:val="0"/>
        <w:keepLines w:val="0"/>
        <w:pageBreakBefore w:val="0"/>
        <w:widowControl w:val="0"/>
        <w:kinsoku/>
        <w:wordWrap/>
        <w:overflowPunct/>
        <w:topLinePunct w:val="0"/>
        <w:autoSpaceDE/>
        <w:autoSpaceDN/>
        <w:bidi w:val="0"/>
        <w:adjustRightInd/>
        <w:snapToGrid/>
        <w:spacing w:line="360" w:lineRule="auto"/>
        <w:ind w:firstLine="640"/>
        <w:jc w:val="both"/>
        <w:textAlignment w:val="auto"/>
        <w:rPr>
          <w:rFonts w:ascii="Times New Roman" w:hAnsi="Times New Roman" w:eastAsia="仿宋_GB2312" w:cs="Times New Roman"/>
          <w:snapToGrid/>
          <w:color w:val="auto"/>
          <w:kern w:val="2"/>
          <w:sz w:val="32"/>
          <w:szCs w:val="24"/>
          <w:lang w:eastAsia="zh-CN"/>
        </w:rPr>
      </w:pPr>
      <w:r>
        <w:rPr>
          <w:rFonts w:hint="eastAsia" w:ascii="Times New Roman" w:hAnsi="Times New Roman" w:eastAsia="仿宋_GB2312" w:cs="Times New Roman"/>
          <w:snapToGrid/>
          <w:color w:val="auto"/>
          <w:kern w:val="2"/>
          <w:sz w:val="32"/>
          <w:szCs w:val="24"/>
          <w:lang w:eastAsia="zh-CN"/>
        </w:rPr>
        <w:t>规划形成“一轴三区多点”的产业融合发展结构。</w:t>
      </w:r>
    </w:p>
    <w:p w14:paraId="372B45B3">
      <w:pPr>
        <w:keepNext w:val="0"/>
        <w:keepLines w:val="0"/>
        <w:pageBreakBefore w:val="0"/>
        <w:widowControl w:val="0"/>
        <w:kinsoku/>
        <w:wordWrap/>
        <w:overflowPunct/>
        <w:topLinePunct w:val="0"/>
        <w:autoSpaceDE/>
        <w:autoSpaceDN/>
        <w:bidi w:val="0"/>
        <w:adjustRightInd/>
        <w:snapToGrid/>
        <w:spacing w:line="360" w:lineRule="auto"/>
        <w:ind w:firstLine="643"/>
        <w:jc w:val="both"/>
        <w:textAlignment w:val="auto"/>
        <w:rPr>
          <w:rFonts w:ascii="Times New Roman" w:hAnsi="Times New Roman" w:eastAsia="仿宋_GB2312" w:cs="Times New Roman"/>
          <w:snapToGrid/>
          <w:color w:val="auto"/>
          <w:kern w:val="2"/>
          <w:sz w:val="32"/>
          <w:szCs w:val="24"/>
          <w:lang w:eastAsia="zh-CN"/>
        </w:rPr>
      </w:pPr>
      <w:r>
        <w:rPr>
          <w:rFonts w:hint="eastAsia" w:ascii="Times New Roman" w:hAnsi="Times New Roman" w:eastAsia="仿宋_GB2312" w:cs="Times New Roman"/>
          <w:b/>
          <w:bCs/>
          <w:snapToGrid/>
          <w:color w:val="auto"/>
          <w:kern w:val="2"/>
          <w:sz w:val="32"/>
          <w:szCs w:val="24"/>
          <w:lang w:eastAsia="zh-CN"/>
        </w:rPr>
        <w:t>一轴。</w:t>
      </w:r>
      <w:r>
        <w:rPr>
          <w:rFonts w:hint="eastAsia" w:ascii="Times New Roman" w:hAnsi="Times New Roman" w:eastAsia="仿宋_GB2312" w:cs="Times New Roman"/>
          <w:snapToGrid/>
          <w:color w:val="auto"/>
          <w:kern w:val="2"/>
          <w:sz w:val="32"/>
          <w:szCs w:val="24"/>
          <w:lang w:eastAsia="zh-CN"/>
        </w:rPr>
        <w:t>依托国道G227形成的农旅融合发展轴。</w:t>
      </w:r>
    </w:p>
    <w:p w14:paraId="75E9492C">
      <w:pPr>
        <w:keepNext w:val="0"/>
        <w:keepLines w:val="0"/>
        <w:pageBreakBefore w:val="0"/>
        <w:widowControl w:val="0"/>
        <w:kinsoku/>
        <w:wordWrap/>
        <w:overflowPunct/>
        <w:topLinePunct w:val="0"/>
        <w:autoSpaceDE/>
        <w:autoSpaceDN/>
        <w:bidi w:val="0"/>
        <w:adjustRightInd/>
        <w:snapToGrid/>
        <w:spacing w:line="360" w:lineRule="auto"/>
        <w:ind w:firstLine="643"/>
        <w:jc w:val="both"/>
        <w:textAlignment w:val="auto"/>
        <w:rPr>
          <w:rFonts w:ascii="Times New Roman" w:hAnsi="Times New Roman" w:eastAsia="仿宋_GB2312" w:cs="Times New Roman"/>
          <w:b/>
          <w:bCs/>
          <w:snapToGrid/>
          <w:color w:val="auto"/>
          <w:kern w:val="2"/>
          <w:sz w:val="32"/>
          <w:szCs w:val="24"/>
          <w:lang w:eastAsia="zh-CN"/>
        </w:rPr>
      </w:pPr>
      <w:r>
        <w:rPr>
          <w:rFonts w:hint="eastAsia" w:ascii="Times New Roman" w:hAnsi="Times New Roman" w:eastAsia="仿宋_GB2312" w:cs="Times New Roman"/>
          <w:b/>
          <w:bCs/>
          <w:snapToGrid/>
          <w:color w:val="auto"/>
          <w:kern w:val="2"/>
          <w:sz w:val="32"/>
          <w:szCs w:val="24"/>
          <w:lang w:eastAsia="zh-CN"/>
        </w:rPr>
        <w:t>三区。</w:t>
      </w:r>
      <w:r>
        <w:rPr>
          <w:rFonts w:hint="eastAsia" w:ascii="Times New Roman" w:hAnsi="Times New Roman" w:eastAsia="仿宋_GB2312" w:cs="Times New Roman"/>
          <w:snapToGrid/>
          <w:color w:val="auto"/>
          <w:kern w:val="2"/>
          <w:sz w:val="32"/>
          <w:szCs w:val="24"/>
          <w:lang w:eastAsia="zh-CN"/>
        </w:rPr>
        <w:t>精品水果种植区，落实上位规划产业定位，以千亩优质水果为依托，打造集水果种质培育、水果采摘、观光露营于一体的农旅融合示范区。马鞍山林下种养区，依托优良的生态本底、林下跑山羊、跑山鸡养殖等，丰富村域产业覆盖范围，为城区提供优质农副产品。城郊田园融合区，以农文旅深度融合为核心，串联农业生产、文旅体验与研学活动，形成城乡互动、产城融合的多功能田园。</w:t>
      </w:r>
    </w:p>
    <w:p w14:paraId="50A1084D">
      <w:pPr>
        <w:keepNext w:val="0"/>
        <w:keepLines w:val="0"/>
        <w:pageBreakBefore w:val="0"/>
        <w:widowControl w:val="0"/>
        <w:kinsoku/>
        <w:wordWrap/>
        <w:overflowPunct/>
        <w:topLinePunct w:val="0"/>
        <w:autoSpaceDE/>
        <w:autoSpaceDN/>
        <w:bidi w:val="0"/>
        <w:adjustRightInd/>
        <w:snapToGrid/>
        <w:spacing w:line="360" w:lineRule="auto"/>
        <w:ind w:firstLine="643"/>
        <w:jc w:val="both"/>
        <w:textAlignment w:val="auto"/>
        <w:rPr>
          <w:rFonts w:hint="eastAsia" w:ascii="黑体" w:hAnsi="黑体" w:eastAsia="黑体" w:cs="黑体"/>
          <w:bCs/>
          <w:snapToGrid/>
          <w:kern w:val="2"/>
          <w:sz w:val="32"/>
          <w:szCs w:val="32"/>
          <w:lang w:eastAsia="zh-CN"/>
        </w:rPr>
      </w:pPr>
      <w:r>
        <w:rPr>
          <w:rFonts w:hint="eastAsia" w:ascii="Times New Roman" w:hAnsi="Times New Roman" w:eastAsia="仿宋_GB2312" w:cs="Times New Roman"/>
          <w:b/>
          <w:bCs/>
          <w:snapToGrid/>
          <w:color w:val="auto"/>
          <w:kern w:val="2"/>
          <w:sz w:val="32"/>
          <w:szCs w:val="24"/>
          <w:lang w:eastAsia="zh-CN"/>
        </w:rPr>
        <w:t>多点。</w:t>
      </w:r>
      <w:r>
        <w:rPr>
          <w:rFonts w:hint="eastAsia" w:ascii="Times New Roman" w:hAnsi="Times New Roman" w:eastAsia="仿宋_GB2312" w:cs="Times New Roman"/>
          <w:snapToGrid/>
          <w:color w:val="auto"/>
          <w:kern w:val="2"/>
          <w:sz w:val="32"/>
          <w:szCs w:val="24"/>
          <w:lang w:eastAsia="zh-CN"/>
        </w:rPr>
        <w:t>村域内多个种植养殖生产基地、旅游服务驿站等产业项目。</w:t>
      </w:r>
    </w:p>
    <w:p w14:paraId="07B02621">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ascii="黑体" w:hAnsi="黑体" w:eastAsia="黑体" w:cs="黑体"/>
          <w:bCs/>
          <w:snapToGrid/>
          <w:kern w:val="2"/>
          <w:sz w:val="32"/>
          <w:szCs w:val="32"/>
          <w:lang w:eastAsia="zh-CN"/>
        </w:rPr>
      </w:pPr>
      <w:r>
        <w:rPr>
          <w:rFonts w:hint="eastAsia" w:ascii="黑体" w:hAnsi="黑体" w:eastAsia="黑体" w:cs="黑体"/>
          <w:bCs/>
          <w:snapToGrid/>
          <w:kern w:val="2"/>
          <w:sz w:val="32"/>
          <w:szCs w:val="32"/>
          <w:lang w:eastAsia="zh-CN"/>
        </w:rPr>
        <w:t>四、用地布局</w:t>
      </w:r>
    </w:p>
    <w:p w14:paraId="5A403B67">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Cs/>
          <w:snapToGrid/>
          <w:kern w:val="2"/>
          <w:sz w:val="32"/>
          <w:szCs w:val="32"/>
          <w:lang w:eastAsia="zh-CN"/>
        </w:rPr>
      </w:pPr>
      <w:r>
        <w:rPr>
          <w:rFonts w:hint="eastAsia" w:ascii="仿宋_GB2312" w:hAnsi="仿宋_GB2312" w:eastAsia="仿宋_GB2312" w:cs="仿宋_GB2312"/>
          <w:bCs/>
          <w:snapToGrid/>
          <w:kern w:val="2"/>
          <w:sz w:val="32"/>
          <w:szCs w:val="32"/>
          <w:lang w:eastAsia="zh-CN"/>
        </w:rPr>
        <w:t>（一）优化农用地布局</w:t>
      </w:r>
    </w:p>
    <w:p w14:paraId="698F9705">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仿宋_GB2312" w:hAnsi="仿宋_GB2312" w:eastAsia="仿宋_GB2312" w:cs="仿宋_GB2312"/>
          <w:b/>
          <w:bCs/>
          <w:snapToGrid/>
          <w:kern w:val="2"/>
          <w:sz w:val="32"/>
          <w:szCs w:val="32"/>
          <w:lang w:eastAsia="zh-CN"/>
        </w:rPr>
      </w:pPr>
      <w:r>
        <w:rPr>
          <w:rFonts w:hint="eastAsia" w:ascii="仿宋_GB2312" w:hAnsi="仿宋_GB2312" w:eastAsia="仿宋_GB2312" w:cs="仿宋_GB2312"/>
          <w:b/>
          <w:bCs/>
          <w:snapToGrid/>
          <w:kern w:val="2"/>
          <w:sz w:val="32"/>
          <w:szCs w:val="32"/>
          <w:lang w:eastAsia="zh-CN"/>
        </w:rPr>
        <w:t>1.耕地优化。</w:t>
      </w:r>
      <w:r>
        <w:rPr>
          <w:rFonts w:hint="eastAsia" w:ascii="仿宋_GB2312" w:hAnsi="仿宋_GB2312" w:eastAsia="仿宋_GB2312" w:cs="仿宋_GB2312"/>
          <w:b w:val="0"/>
          <w:bCs w:val="0"/>
          <w:snapToGrid/>
          <w:kern w:val="2"/>
          <w:sz w:val="32"/>
          <w:szCs w:val="32"/>
          <w:lang w:val="en-US" w:eastAsia="zh-CN"/>
        </w:rPr>
        <w:t>在严格落实上位规划下达耕地保护目标基础上通过农用地整治、宅基地复垦等土地整治措施进一步优化耕地布局，补充 耕地数量，提高耕地质量与连片度。至规划期末，村域耕地</w:t>
      </w:r>
      <w:r>
        <w:rPr>
          <w:rFonts w:hint="default" w:ascii="仿宋_GB2312" w:hAnsi="仿宋_GB2312" w:eastAsia="仿宋_GB2312" w:cs="仿宋_GB2312"/>
          <w:b w:val="0"/>
          <w:bCs w:val="0"/>
          <w:snapToGrid/>
          <w:kern w:val="2"/>
          <w:sz w:val="32"/>
          <w:szCs w:val="32"/>
          <w:lang w:val="en-US" w:eastAsia="zh-CN"/>
        </w:rPr>
        <w:t>81.12</w:t>
      </w:r>
      <w:r>
        <w:rPr>
          <w:rFonts w:hint="eastAsia" w:ascii="仿宋_GB2312" w:hAnsi="仿宋_GB2312" w:eastAsia="仿宋_GB2312" w:cs="仿宋_GB2312"/>
          <w:b w:val="0"/>
          <w:bCs w:val="0"/>
          <w:snapToGrid/>
          <w:kern w:val="2"/>
          <w:sz w:val="32"/>
          <w:szCs w:val="32"/>
          <w:lang w:val="en-US" w:eastAsia="zh-CN"/>
        </w:rPr>
        <w:t>公顷，较现状新增</w:t>
      </w:r>
      <w:r>
        <w:rPr>
          <w:rFonts w:hint="default" w:ascii="仿宋_GB2312" w:hAnsi="仿宋_GB2312" w:eastAsia="仿宋_GB2312" w:cs="仿宋_GB2312"/>
          <w:b w:val="0"/>
          <w:bCs w:val="0"/>
          <w:snapToGrid/>
          <w:kern w:val="2"/>
          <w:sz w:val="32"/>
          <w:szCs w:val="32"/>
          <w:lang w:val="en-US" w:eastAsia="zh-CN"/>
        </w:rPr>
        <w:t>20.22</w:t>
      </w:r>
      <w:r>
        <w:rPr>
          <w:rFonts w:hint="eastAsia" w:ascii="仿宋_GB2312" w:hAnsi="仿宋_GB2312" w:eastAsia="仿宋_GB2312" w:cs="仿宋_GB2312"/>
          <w:b w:val="0"/>
          <w:bCs w:val="0"/>
          <w:snapToGrid/>
          <w:kern w:val="2"/>
          <w:sz w:val="32"/>
          <w:szCs w:val="32"/>
          <w:lang w:val="en-US" w:eastAsia="zh-CN"/>
        </w:rPr>
        <w:t>公顷，占村域</w:t>
      </w:r>
      <w:r>
        <w:rPr>
          <w:rFonts w:hint="default" w:ascii="仿宋_GB2312" w:hAnsi="仿宋_GB2312" w:eastAsia="仿宋_GB2312" w:cs="仿宋_GB2312"/>
          <w:b w:val="0"/>
          <w:bCs w:val="0"/>
          <w:snapToGrid/>
          <w:kern w:val="2"/>
          <w:sz w:val="32"/>
          <w:szCs w:val="32"/>
          <w:lang w:val="en-US" w:eastAsia="zh-CN"/>
        </w:rPr>
        <w:t>2.46%</w:t>
      </w:r>
      <w:r>
        <w:rPr>
          <w:rFonts w:hint="eastAsia" w:ascii="仿宋_GB2312" w:hAnsi="仿宋_GB2312" w:eastAsia="仿宋_GB2312" w:cs="仿宋_GB2312"/>
          <w:b w:val="0"/>
          <w:bCs w:val="0"/>
          <w:snapToGrid/>
          <w:kern w:val="2"/>
          <w:sz w:val="32"/>
          <w:szCs w:val="32"/>
          <w:lang w:val="en-US" w:eastAsia="zh-CN"/>
        </w:rPr>
        <w:t>，满足耕地保有量不低于</w:t>
      </w:r>
      <w:r>
        <w:rPr>
          <w:rFonts w:hint="default" w:ascii="仿宋_GB2312" w:hAnsi="仿宋_GB2312" w:eastAsia="仿宋_GB2312" w:cs="仿宋_GB2312"/>
          <w:b w:val="0"/>
          <w:bCs w:val="0"/>
          <w:snapToGrid/>
          <w:kern w:val="2"/>
          <w:sz w:val="32"/>
          <w:szCs w:val="32"/>
          <w:lang w:val="en-US" w:eastAsia="zh-CN"/>
        </w:rPr>
        <w:t>58.77</w:t>
      </w:r>
      <w:r>
        <w:rPr>
          <w:rFonts w:hint="eastAsia" w:ascii="仿宋_GB2312" w:hAnsi="仿宋_GB2312" w:eastAsia="仿宋_GB2312" w:cs="仿宋_GB2312"/>
          <w:b w:val="0"/>
          <w:bCs w:val="0"/>
          <w:snapToGrid/>
          <w:kern w:val="2"/>
          <w:sz w:val="32"/>
          <w:szCs w:val="32"/>
          <w:lang w:val="en-US" w:eastAsia="zh-CN"/>
        </w:rPr>
        <w:t>公顷的要求</w:t>
      </w:r>
      <w:r>
        <w:rPr>
          <w:rFonts w:hint="eastAsia" w:ascii="仿宋_GB2312" w:hAnsi="仿宋_GB2312" w:eastAsia="仿宋_GB2312" w:cs="仿宋_GB2312"/>
          <w:b w:val="0"/>
          <w:bCs w:val="0"/>
          <w:snapToGrid/>
          <w:kern w:val="2"/>
          <w:sz w:val="32"/>
          <w:szCs w:val="32"/>
          <w:lang w:eastAsia="zh-CN"/>
        </w:rPr>
        <w:t>。</w:t>
      </w:r>
    </w:p>
    <w:p w14:paraId="077361CF">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ascii="Times New Roman" w:hAnsi="Times New Roman" w:eastAsia="仿宋_GB2312" w:cs="仿宋_GB2312"/>
          <w:snapToGrid/>
          <w:kern w:val="2"/>
          <w:sz w:val="32"/>
          <w:szCs w:val="32"/>
          <w:lang w:eastAsia="zh-CN"/>
        </w:rPr>
      </w:pPr>
      <w:r>
        <w:rPr>
          <w:rFonts w:hint="eastAsia" w:ascii="仿宋_GB2312" w:hAnsi="仿宋_GB2312" w:eastAsia="仿宋_GB2312" w:cs="仿宋_GB2312"/>
          <w:b/>
          <w:bCs/>
          <w:snapToGrid/>
          <w:kern w:val="2"/>
          <w:sz w:val="32"/>
          <w:szCs w:val="32"/>
          <w:lang w:eastAsia="zh-CN"/>
        </w:rPr>
        <w:t>2.园地优化。</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结合村域产业布局，尊重现有园地分布规律，对园地进行提质优化，规划园地</w:t>
      </w:r>
      <w:r>
        <w:rPr>
          <w:rFonts w:hint="eastAsia" w:ascii="Times New Roman" w:hAnsi="Times New Roman" w:eastAsia="仿宋_GB2312" w:cs="Times New Roman"/>
          <w:snapToGrid/>
          <w:color w:val="000000" w:themeColor="text1"/>
          <w:kern w:val="2"/>
          <w:sz w:val="32"/>
          <w:szCs w:val="24"/>
          <w:lang w:val="en-US" w:eastAsia="zh-CN"/>
          <w14:textFill>
            <w14:solidFill>
              <w14:schemeClr w14:val="tx1"/>
            </w14:solidFill>
          </w14:textFill>
        </w:rPr>
        <w:t>213.55</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公顷，占村域</w:t>
      </w:r>
      <w:r>
        <w:rPr>
          <w:rFonts w:hint="eastAsia" w:ascii="Times New Roman" w:hAnsi="Times New Roman" w:eastAsia="仿宋_GB2312" w:cs="Times New Roman"/>
          <w:snapToGrid/>
          <w:color w:val="000000" w:themeColor="text1"/>
          <w:kern w:val="2"/>
          <w:sz w:val="32"/>
          <w:szCs w:val="24"/>
          <w:lang w:val="en-US" w:eastAsia="zh-CN"/>
          <w14:textFill>
            <w14:solidFill>
              <w14:schemeClr w14:val="tx1"/>
            </w14:solidFill>
          </w14:textFill>
        </w:rPr>
        <w:t>6.48</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%，较现状减少</w:t>
      </w:r>
      <w:r>
        <w:rPr>
          <w:rFonts w:hint="eastAsia" w:ascii="Times New Roman" w:hAnsi="Times New Roman" w:eastAsia="仿宋_GB2312" w:cs="Times New Roman"/>
          <w:snapToGrid/>
          <w:color w:val="000000" w:themeColor="text1"/>
          <w:kern w:val="2"/>
          <w:sz w:val="32"/>
          <w:szCs w:val="24"/>
          <w:lang w:val="en-US" w:eastAsia="zh-CN"/>
          <w14:textFill>
            <w14:solidFill>
              <w14:schemeClr w14:val="tx1"/>
            </w14:solidFill>
          </w14:textFill>
        </w:rPr>
        <w:t>16.59</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公顷</w:t>
      </w:r>
      <w:r>
        <w:rPr>
          <w:rFonts w:hint="eastAsia" w:ascii="Times New Roman" w:hAnsi="Times New Roman" w:eastAsia="仿宋_GB2312" w:cs="仿宋_GB2312"/>
          <w:snapToGrid/>
          <w:kern w:val="2"/>
          <w:sz w:val="32"/>
          <w:szCs w:val="32"/>
          <w:lang w:eastAsia="zh-CN"/>
        </w:rPr>
        <w:t>。</w:t>
      </w:r>
    </w:p>
    <w:p w14:paraId="5D36D1F4">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ascii="Times New Roman" w:hAnsi="Times New Roman" w:eastAsia="仿宋_GB2312" w:cs="仿宋_GB2312"/>
          <w:snapToGrid/>
          <w:color w:val="000000"/>
          <w:kern w:val="2"/>
          <w:sz w:val="32"/>
          <w:szCs w:val="24"/>
          <w:lang w:eastAsia="zh-CN"/>
        </w:rPr>
      </w:pPr>
      <w:r>
        <w:rPr>
          <w:rFonts w:hint="eastAsia" w:ascii="仿宋_GB2312" w:hAnsi="仿宋_GB2312" w:eastAsia="仿宋_GB2312" w:cs="仿宋_GB2312"/>
          <w:b/>
          <w:bCs/>
          <w:snapToGrid/>
          <w:kern w:val="2"/>
          <w:sz w:val="32"/>
          <w:szCs w:val="32"/>
          <w:lang w:eastAsia="zh-CN"/>
        </w:rPr>
        <w:t>3.林地优化。</w:t>
      </w:r>
      <w:bookmarkStart w:id="0" w:name="_Hlk209546860"/>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按照“宜林则林、宜耕则耕”的原则，</w:t>
      </w:r>
      <w:bookmarkEnd w:id="0"/>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对与现状耕地不集中连片的废弃工矿用地、农村宅基地进行腾退并加强零散林地整合，优化村域林地布局。规划至2035年，村域林地面积2752.</w:t>
      </w:r>
      <w:r>
        <w:rPr>
          <w:rFonts w:hint="eastAsia" w:ascii="Times New Roman" w:hAnsi="Times New Roman" w:eastAsia="仿宋_GB2312" w:cs="Times New Roman"/>
          <w:snapToGrid/>
          <w:color w:val="000000" w:themeColor="text1"/>
          <w:kern w:val="2"/>
          <w:sz w:val="32"/>
          <w:szCs w:val="24"/>
          <w:lang w:val="en-US" w:eastAsia="zh-CN"/>
          <w14:textFill>
            <w14:solidFill>
              <w14:schemeClr w14:val="tx1"/>
            </w14:solidFill>
          </w14:textFill>
        </w:rPr>
        <w:t>38</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公顷，占村域83.5</w:t>
      </w:r>
      <w:r>
        <w:rPr>
          <w:rFonts w:hint="eastAsia" w:ascii="Times New Roman" w:hAnsi="Times New Roman" w:eastAsia="仿宋_GB2312" w:cs="Times New Roman"/>
          <w:snapToGrid/>
          <w:color w:val="000000" w:themeColor="text1"/>
          <w:kern w:val="2"/>
          <w:sz w:val="32"/>
          <w:szCs w:val="24"/>
          <w:lang w:val="en-US" w:eastAsia="zh-CN"/>
          <w14:textFill>
            <w14:solidFill>
              <w14:schemeClr w14:val="tx1"/>
            </w14:solidFill>
          </w14:textFill>
        </w:rPr>
        <w:t>1</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%，较现状增加0.</w:t>
      </w:r>
      <w:r>
        <w:rPr>
          <w:rFonts w:hint="eastAsia" w:ascii="Times New Roman" w:hAnsi="Times New Roman" w:eastAsia="仿宋_GB2312" w:cs="Times New Roman"/>
          <w:snapToGrid/>
          <w:color w:val="000000" w:themeColor="text1"/>
          <w:kern w:val="2"/>
          <w:sz w:val="32"/>
          <w:szCs w:val="24"/>
          <w:lang w:val="en-US" w:eastAsia="zh-CN"/>
          <w14:textFill>
            <w14:solidFill>
              <w14:schemeClr w14:val="tx1"/>
            </w14:solidFill>
          </w14:textFill>
        </w:rPr>
        <w:t>02</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公顷</w:t>
      </w:r>
      <w:r>
        <w:rPr>
          <w:rFonts w:hint="eastAsia" w:ascii="Times New Roman" w:hAnsi="Times New Roman" w:eastAsia="仿宋_GB2312" w:cs="仿宋_GB2312"/>
          <w:snapToGrid/>
          <w:color w:val="000000"/>
          <w:kern w:val="2"/>
          <w:sz w:val="32"/>
          <w:szCs w:val="24"/>
          <w:lang w:eastAsia="zh-CN"/>
        </w:rPr>
        <w:t>。</w:t>
      </w:r>
    </w:p>
    <w:p w14:paraId="4B563DE2">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Times New Roman" w:hAnsi="Times New Roman" w:eastAsia="仿宋_GB2312" w:cs="仿宋_GB2312"/>
          <w:snapToGrid/>
          <w:color w:val="000000"/>
          <w:kern w:val="2"/>
          <w:sz w:val="32"/>
          <w:szCs w:val="24"/>
          <w:lang w:eastAsia="zh-CN"/>
        </w:rPr>
      </w:pPr>
      <w:r>
        <w:rPr>
          <w:rFonts w:hint="eastAsia" w:ascii="仿宋_GB2312" w:hAnsi="仿宋_GB2312" w:eastAsia="仿宋_GB2312" w:cs="仿宋_GB2312"/>
          <w:b/>
          <w:bCs/>
          <w:snapToGrid/>
          <w:kern w:val="2"/>
          <w:sz w:val="32"/>
          <w:szCs w:val="32"/>
          <w:lang w:eastAsia="zh-CN"/>
        </w:rPr>
        <w:t>4.草地优化。</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规划至2035年，村域草地22.97公顷，占村域0.70%，较现状保持不变。</w:t>
      </w:r>
    </w:p>
    <w:p w14:paraId="3D0C653E">
      <w:pPr>
        <w:keepNext w:val="0"/>
        <w:keepLines w:val="0"/>
        <w:pageBreakBefore w:val="0"/>
        <w:widowControl w:val="0"/>
        <w:kinsoku/>
        <w:wordWrap/>
        <w:overflowPunct/>
        <w:topLinePunct w:val="0"/>
        <w:autoSpaceDE/>
        <w:autoSpaceDN/>
        <w:bidi w:val="0"/>
        <w:adjustRightInd/>
        <w:snapToGrid/>
        <w:spacing w:line="360" w:lineRule="auto"/>
        <w:ind w:firstLine="640"/>
        <w:jc w:val="both"/>
        <w:textAlignment w:val="auto"/>
        <w:rPr>
          <w:rFonts w:ascii="Times New Roman" w:hAnsi="Times New Roman" w:eastAsia="仿宋_GB2312" w:cs="Times New Roman"/>
          <w:snapToGrid/>
          <w:color w:val="000000" w:themeColor="text1"/>
          <w:kern w:val="2"/>
          <w:sz w:val="32"/>
          <w:szCs w:val="24"/>
          <w:lang w:eastAsia="zh-CN"/>
          <w14:textFill>
            <w14:solidFill>
              <w14:schemeClr w14:val="tx1"/>
            </w14:solidFill>
          </w14:textFill>
        </w:rPr>
      </w:pPr>
      <w:r>
        <w:rPr>
          <w:rFonts w:hint="eastAsia" w:ascii="仿宋_GB2312" w:hAnsi="仿宋_GB2312" w:eastAsia="仿宋_GB2312" w:cs="仿宋_GB2312"/>
          <w:b/>
          <w:bCs/>
          <w:snapToGrid/>
          <w:kern w:val="2"/>
          <w:sz w:val="32"/>
          <w:szCs w:val="32"/>
          <w:lang w:eastAsia="zh-CN"/>
        </w:rPr>
        <w:t>5.农业设施建设用地优化。</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按照《四川省自然资源厅四川省农业农村厅进一步完善设施农业用地管理有关问题的通知》的相关要求，根据产业发展诉求，结合产业用地及居民点合理布置农业设施建设用地，对农业基础设施进行细化，以助推农业经济高效发展，满足现代化农业发展要求，规划农业设施建设用地23.53公顷。其中：</w:t>
      </w:r>
    </w:p>
    <w:p w14:paraId="77AA5E19">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ascii="Times New Roman" w:hAnsi="Times New Roman" w:eastAsia="仿宋_GB2312" w:cs="仿宋_GB2312"/>
          <w:snapToGrid/>
          <w:kern w:val="2"/>
          <w:sz w:val="32"/>
          <w:szCs w:val="32"/>
          <w:lang w:eastAsia="zh-CN"/>
        </w:rPr>
      </w:pP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整治现有道路，打通断头路，强化内部交通联系，规划村道用地21.12公顷；保障水果种植基地、种养循环基地产业配套，规划种植设施建设用地0.98公顷，较现状增加0.38公顷；保障生态养殖基地建设，规划畜禽养殖建设用地1.43公顷，较现状增加0.46公顷</w:t>
      </w:r>
      <w:r>
        <w:rPr>
          <w:rFonts w:hint="eastAsia" w:ascii="Times New Roman" w:hAnsi="Times New Roman" w:eastAsia="仿宋_GB2312" w:cs="仿宋_GB2312"/>
          <w:snapToGrid/>
          <w:kern w:val="2"/>
          <w:sz w:val="32"/>
          <w:szCs w:val="32"/>
          <w:lang w:eastAsia="zh-CN"/>
        </w:rPr>
        <w:t>。</w:t>
      </w:r>
    </w:p>
    <w:p w14:paraId="504CF791">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Cs/>
          <w:snapToGrid/>
          <w:kern w:val="2"/>
          <w:sz w:val="32"/>
          <w:szCs w:val="32"/>
          <w:lang w:eastAsia="zh-CN"/>
        </w:rPr>
      </w:pPr>
      <w:r>
        <w:rPr>
          <w:rFonts w:hint="eastAsia" w:ascii="仿宋_GB2312" w:hAnsi="仿宋_GB2312" w:eastAsia="仿宋_GB2312" w:cs="仿宋_GB2312"/>
          <w:bCs/>
          <w:snapToGrid/>
          <w:kern w:val="2"/>
          <w:sz w:val="32"/>
          <w:szCs w:val="32"/>
          <w:lang w:eastAsia="zh-CN"/>
        </w:rPr>
        <w:t>（二）建设用地布局</w:t>
      </w:r>
    </w:p>
    <w:p w14:paraId="3A97538E">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ascii="Times New Roman" w:hAnsi="Times New Roman" w:eastAsia="仿宋_GB2312" w:cs="仿宋_GB2312"/>
          <w:snapToGrid/>
          <w:kern w:val="2"/>
          <w:sz w:val="32"/>
          <w:szCs w:val="32"/>
          <w:lang w:eastAsia="zh-CN"/>
        </w:rPr>
      </w:pPr>
      <w:r>
        <w:rPr>
          <w:rFonts w:hint="eastAsia" w:ascii="仿宋_GB2312" w:hAnsi="仿宋_GB2312" w:eastAsia="仿宋_GB2312" w:cs="仿宋_GB2312"/>
          <w:b/>
          <w:bCs/>
          <w:snapToGrid/>
          <w:kern w:val="2"/>
          <w:sz w:val="32"/>
          <w:szCs w:val="32"/>
          <w:lang w:eastAsia="zh-CN"/>
        </w:rPr>
        <w:t>1.村庄建设用地布局</w:t>
      </w:r>
    </w:p>
    <w:p w14:paraId="07E5F14B">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ascii="Times New Roman" w:hAnsi="Times New Roman" w:eastAsia="仿宋_GB2312" w:cs="仿宋_GB2312"/>
          <w:snapToGrid/>
          <w:kern w:val="2"/>
          <w:sz w:val="32"/>
          <w:szCs w:val="32"/>
          <w:lang w:eastAsia="zh-CN"/>
        </w:rPr>
      </w:pPr>
      <w:r>
        <w:rPr>
          <w:rFonts w:hint="eastAsia" w:ascii="Times New Roman" w:hAnsi="Times New Roman" w:eastAsia="仿宋_GB2312" w:cs="仿宋_GB2312"/>
          <w:b/>
          <w:bCs/>
          <w:snapToGrid/>
          <w:kern w:val="2"/>
          <w:sz w:val="32"/>
          <w:szCs w:val="32"/>
          <w:lang w:eastAsia="zh-CN"/>
        </w:rPr>
        <w:t>（1）农村居民点建设用地。</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坚持“一户一宅”原则，结合村域实际，在充分尊重民意基础上不新建聚点。至规划期末，村域农村宅基地面积26.8</w:t>
      </w:r>
      <w:r>
        <w:rPr>
          <w:rFonts w:hint="eastAsia" w:ascii="Times New Roman" w:hAnsi="Times New Roman" w:eastAsia="仿宋_GB2312" w:cs="Times New Roman"/>
          <w:snapToGrid/>
          <w:color w:val="000000" w:themeColor="text1"/>
          <w:kern w:val="2"/>
          <w:sz w:val="32"/>
          <w:szCs w:val="24"/>
          <w:lang w:val="en-US" w:eastAsia="zh-CN"/>
          <w14:textFill>
            <w14:solidFill>
              <w14:schemeClr w14:val="tx1"/>
            </w14:solidFill>
          </w14:textFill>
        </w:rPr>
        <w:t>3</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公顷，占村域总用地面积的0.8</w:t>
      </w:r>
      <w:r>
        <w:rPr>
          <w:rFonts w:hint="eastAsia" w:ascii="Times New Roman" w:hAnsi="Times New Roman" w:eastAsia="仿宋_GB2312" w:cs="Times New Roman"/>
          <w:snapToGrid/>
          <w:color w:val="000000" w:themeColor="text1"/>
          <w:kern w:val="2"/>
          <w:sz w:val="32"/>
          <w:szCs w:val="24"/>
          <w:lang w:val="en-US" w:eastAsia="zh-CN"/>
          <w14:textFill>
            <w14:solidFill>
              <w14:schemeClr w14:val="tx1"/>
            </w14:solidFill>
          </w14:textFill>
        </w:rPr>
        <w:t>1</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%，较现状减少2.09公顷，村域人均宅基地</w:t>
      </w:r>
      <w:r>
        <w:rPr>
          <w:rFonts w:ascii="Times New Roman" w:hAnsi="Times New Roman" w:eastAsia="仿宋_GB2312" w:cs="Times New Roman"/>
          <w:snapToGrid/>
          <w:color w:val="000000" w:themeColor="text1"/>
          <w:kern w:val="2"/>
          <w:sz w:val="32"/>
          <w:szCs w:val="24"/>
          <w:lang w:eastAsia="zh-CN"/>
          <w14:textFill>
            <w14:solidFill>
              <w14:schemeClr w14:val="tx1"/>
            </w14:solidFill>
          </w14:textFill>
        </w:rPr>
        <w:t>15</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5.58平米，较现状有所降低</w:t>
      </w:r>
      <w:r>
        <w:rPr>
          <w:rFonts w:hint="eastAsia" w:ascii="Times New Roman" w:hAnsi="Times New Roman" w:eastAsia="仿宋_GB2312" w:cs="仿宋_GB2312"/>
          <w:snapToGrid/>
          <w:kern w:val="2"/>
          <w:sz w:val="32"/>
          <w:szCs w:val="32"/>
          <w:lang w:eastAsia="zh-CN"/>
        </w:rPr>
        <w:t>。</w:t>
      </w:r>
    </w:p>
    <w:p w14:paraId="6ED1D6BE">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ascii="Times New Roman" w:hAnsi="Times New Roman" w:eastAsia="仿宋_GB2312" w:cs="仿宋_GB2312"/>
          <w:snapToGrid/>
          <w:kern w:val="2"/>
          <w:sz w:val="32"/>
          <w:szCs w:val="32"/>
          <w:lang w:eastAsia="zh-CN"/>
        </w:rPr>
      </w:pPr>
      <w:r>
        <w:rPr>
          <w:rFonts w:hint="eastAsia" w:ascii="Times New Roman" w:hAnsi="Times New Roman" w:eastAsia="仿宋_GB2312" w:cs="仿宋_GB2312"/>
          <w:b/>
          <w:bCs/>
          <w:snapToGrid/>
          <w:kern w:val="2"/>
          <w:sz w:val="32"/>
          <w:szCs w:val="32"/>
          <w:lang w:eastAsia="zh-CN"/>
        </w:rPr>
        <w:t>（2）公共管理与公共服务用地。</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保留现状社区居委会。至规划期末，公共管理与公共服务用地面积0.07公顷，教育、医疗卫生等公共服务设施与城区共用</w:t>
      </w:r>
      <w:r>
        <w:rPr>
          <w:rFonts w:hint="eastAsia" w:ascii="Times New Roman" w:hAnsi="Times New Roman" w:eastAsia="仿宋_GB2312" w:cs="仿宋_GB2312"/>
          <w:snapToGrid/>
          <w:kern w:val="2"/>
          <w:sz w:val="32"/>
          <w:szCs w:val="32"/>
          <w:lang w:eastAsia="zh-CN"/>
        </w:rPr>
        <w:t>。</w:t>
      </w:r>
    </w:p>
    <w:p w14:paraId="2448AE9C">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ascii="Times New Roman" w:hAnsi="Times New Roman" w:eastAsia="仿宋_GB2312" w:cs="仿宋_GB2312"/>
          <w:snapToGrid/>
          <w:kern w:val="2"/>
          <w:sz w:val="32"/>
          <w:szCs w:val="32"/>
          <w:lang w:eastAsia="zh-CN"/>
        </w:rPr>
      </w:pPr>
      <w:r>
        <w:rPr>
          <w:rFonts w:hint="eastAsia" w:ascii="Times New Roman" w:hAnsi="Times New Roman" w:eastAsia="仿宋_GB2312" w:cs="仿宋_GB2312"/>
          <w:b/>
          <w:bCs/>
          <w:snapToGrid/>
          <w:kern w:val="2"/>
          <w:sz w:val="32"/>
          <w:szCs w:val="32"/>
          <w:lang w:eastAsia="zh-CN"/>
        </w:rPr>
        <w:t>（3）商业服务业用地。</w:t>
      </w:r>
      <w:r>
        <w:rPr>
          <w:rFonts w:hint="eastAsia" w:ascii="Times New Roman" w:hAnsi="Times New Roman" w:eastAsia="仿宋_GB2312" w:cs="Times New Roman"/>
          <w:snapToGrid/>
          <w:color w:val="auto"/>
          <w:kern w:val="2"/>
          <w:sz w:val="32"/>
          <w:szCs w:val="24"/>
          <w:lang w:eastAsia="zh-CN"/>
        </w:rPr>
        <w:t>结合近郊休闲、康养旅居、商务接待等发展需求，通过盘活闲置农村宅基地、低效工矿用地用作商业用途，新增餐饮、住宿娱乐设施等旅游配套设施用地，逐步完善村域乡村旅游商业配套。至规划期末，村域商业服务业用地面积5.21公顷，较现状增加1.75公顷</w:t>
      </w:r>
      <w:r>
        <w:rPr>
          <w:rFonts w:hint="eastAsia" w:ascii="Times New Roman" w:hAnsi="Times New Roman" w:eastAsia="仿宋_GB2312" w:cs="仿宋_GB2312"/>
          <w:snapToGrid/>
          <w:kern w:val="2"/>
          <w:sz w:val="32"/>
          <w:szCs w:val="32"/>
          <w:lang w:eastAsia="zh-CN"/>
        </w:rPr>
        <w:t>。</w:t>
      </w:r>
    </w:p>
    <w:p w14:paraId="229682F5">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ascii="Times New Roman" w:hAnsi="Times New Roman" w:eastAsia="仿宋_GB2312" w:cs="仿宋_GB2312"/>
          <w:snapToGrid/>
          <w:kern w:val="2"/>
          <w:sz w:val="32"/>
          <w:szCs w:val="32"/>
          <w:lang w:eastAsia="zh-CN"/>
        </w:rPr>
      </w:pPr>
      <w:r>
        <w:rPr>
          <w:rFonts w:hint="eastAsia" w:ascii="Times New Roman" w:hAnsi="Times New Roman" w:eastAsia="仿宋_GB2312" w:cs="仿宋_GB2312"/>
          <w:b/>
          <w:bCs/>
          <w:snapToGrid/>
          <w:kern w:val="2"/>
          <w:sz w:val="32"/>
          <w:szCs w:val="32"/>
          <w:lang w:eastAsia="zh-CN"/>
        </w:rPr>
        <w:t>（</w:t>
      </w:r>
      <w:r>
        <w:rPr>
          <w:rFonts w:hint="eastAsia" w:ascii="Times New Roman" w:hAnsi="Times New Roman" w:eastAsia="仿宋_GB2312" w:cs="仿宋_GB2312"/>
          <w:b/>
          <w:bCs/>
          <w:snapToGrid/>
          <w:kern w:val="2"/>
          <w:sz w:val="32"/>
          <w:szCs w:val="32"/>
          <w:lang w:val="en-US" w:eastAsia="zh-CN"/>
        </w:rPr>
        <w:t>4</w:t>
      </w:r>
      <w:r>
        <w:rPr>
          <w:rFonts w:hint="eastAsia" w:ascii="Times New Roman" w:hAnsi="Times New Roman" w:eastAsia="仿宋_GB2312" w:cs="仿宋_GB2312"/>
          <w:b/>
          <w:bCs/>
          <w:snapToGrid/>
          <w:kern w:val="2"/>
          <w:sz w:val="32"/>
          <w:szCs w:val="32"/>
          <w:lang w:eastAsia="zh-CN"/>
        </w:rPr>
        <w:t>）交通运输用地。</w:t>
      </w:r>
      <w:r>
        <w:rPr>
          <w:rFonts w:hint="eastAsia" w:ascii="Times New Roman" w:hAnsi="Times New Roman" w:eastAsia="仿宋_GB2312" w:cs="Times New Roman"/>
          <w:snapToGrid/>
          <w:color w:val="auto"/>
          <w:kern w:val="2"/>
          <w:sz w:val="32"/>
          <w:szCs w:val="24"/>
          <w:lang w:eastAsia="zh-CN"/>
        </w:rPr>
        <w:t>至规划期末，并在广场旁建设生态停车场，占地面积约0.04公顷，以提升公共活动区的交通便利性与服务能力。村庄建设边界内城镇村道路用地面积1.97公顷，较现状增加0.04公顷</w:t>
      </w:r>
      <w:r>
        <w:rPr>
          <w:rFonts w:hint="eastAsia" w:ascii="Times New Roman" w:hAnsi="Times New Roman" w:eastAsia="仿宋_GB2312" w:cs="仿宋_GB2312"/>
          <w:snapToGrid/>
          <w:kern w:val="2"/>
          <w:sz w:val="32"/>
          <w:szCs w:val="32"/>
          <w:lang w:eastAsia="zh-CN"/>
        </w:rPr>
        <w:t>。</w:t>
      </w:r>
    </w:p>
    <w:p w14:paraId="2843ED6C">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ascii="Times New Roman" w:hAnsi="Times New Roman" w:eastAsia="仿宋_GB2312" w:cs="仿宋_GB2312"/>
          <w:snapToGrid/>
          <w:kern w:val="2"/>
          <w:sz w:val="32"/>
          <w:szCs w:val="32"/>
          <w:lang w:eastAsia="zh-CN"/>
        </w:rPr>
      </w:pPr>
      <w:r>
        <w:rPr>
          <w:rFonts w:hint="eastAsia" w:ascii="Times New Roman" w:hAnsi="Times New Roman" w:eastAsia="仿宋_GB2312" w:cs="仿宋_GB2312"/>
          <w:b/>
          <w:bCs/>
          <w:snapToGrid/>
          <w:kern w:val="2"/>
          <w:sz w:val="32"/>
          <w:szCs w:val="32"/>
          <w:lang w:eastAsia="zh-CN"/>
        </w:rPr>
        <w:t>（</w:t>
      </w:r>
      <w:r>
        <w:rPr>
          <w:rFonts w:hint="eastAsia" w:ascii="Times New Roman" w:hAnsi="Times New Roman" w:eastAsia="仿宋_GB2312" w:cs="仿宋_GB2312"/>
          <w:b/>
          <w:bCs/>
          <w:snapToGrid/>
          <w:kern w:val="2"/>
          <w:sz w:val="32"/>
          <w:szCs w:val="32"/>
          <w:lang w:val="en-US" w:eastAsia="zh-CN"/>
        </w:rPr>
        <w:t>5</w:t>
      </w:r>
      <w:r>
        <w:rPr>
          <w:rFonts w:hint="eastAsia" w:ascii="Times New Roman" w:hAnsi="Times New Roman" w:eastAsia="仿宋_GB2312" w:cs="仿宋_GB2312"/>
          <w:b/>
          <w:bCs/>
          <w:snapToGrid/>
          <w:kern w:val="2"/>
          <w:sz w:val="32"/>
          <w:szCs w:val="32"/>
          <w:lang w:eastAsia="zh-CN"/>
        </w:rPr>
        <w:t>）公用设施用地。</w:t>
      </w:r>
      <w:r>
        <w:rPr>
          <w:rFonts w:hint="eastAsia" w:ascii="Times New Roman" w:hAnsi="Times New Roman" w:eastAsia="仿宋_GB2312" w:cs="Times New Roman"/>
          <w:snapToGrid/>
          <w:color w:val="auto"/>
          <w:kern w:val="2"/>
          <w:sz w:val="32"/>
          <w:szCs w:val="24"/>
          <w:lang w:eastAsia="zh-CN"/>
        </w:rPr>
        <w:t>保留村域现状供水用地0.42公顷。至规划期末，村域村庄建设边界内公用设施用地面积0.42公顷</w:t>
      </w:r>
      <w:r>
        <w:rPr>
          <w:rFonts w:hint="eastAsia" w:ascii="Times New Roman" w:hAnsi="Times New Roman" w:eastAsia="仿宋_GB2312" w:cs="仿宋_GB2312"/>
          <w:snapToGrid/>
          <w:kern w:val="2"/>
          <w:sz w:val="32"/>
          <w:szCs w:val="32"/>
          <w:lang w:eastAsia="zh-CN"/>
        </w:rPr>
        <w:t>。</w:t>
      </w:r>
    </w:p>
    <w:p w14:paraId="5E907251">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ascii="Times New Roman" w:hAnsi="Times New Roman" w:eastAsia="仿宋_GB2312" w:cs="仿宋_GB2312"/>
          <w:snapToGrid/>
          <w:kern w:val="2"/>
          <w:sz w:val="32"/>
          <w:szCs w:val="24"/>
          <w:lang w:eastAsia="zh-CN"/>
        </w:rPr>
      </w:pPr>
      <w:r>
        <w:rPr>
          <w:rFonts w:hint="eastAsia" w:ascii="Times New Roman" w:hAnsi="Times New Roman" w:eastAsia="仿宋_GB2312" w:cs="仿宋_GB2312"/>
          <w:b/>
          <w:bCs/>
          <w:snapToGrid/>
          <w:kern w:val="2"/>
          <w:sz w:val="32"/>
          <w:szCs w:val="32"/>
          <w:lang w:eastAsia="zh-CN"/>
        </w:rPr>
        <w:t>（</w:t>
      </w:r>
      <w:r>
        <w:rPr>
          <w:rFonts w:hint="eastAsia" w:ascii="Times New Roman" w:hAnsi="Times New Roman" w:eastAsia="仿宋_GB2312" w:cs="仿宋_GB2312"/>
          <w:b/>
          <w:bCs/>
          <w:snapToGrid/>
          <w:kern w:val="2"/>
          <w:sz w:val="32"/>
          <w:szCs w:val="32"/>
          <w:lang w:val="en-US" w:eastAsia="zh-CN"/>
        </w:rPr>
        <w:t>6</w:t>
      </w:r>
      <w:r>
        <w:rPr>
          <w:rFonts w:hint="eastAsia" w:ascii="Times New Roman" w:hAnsi="Times New Roman" w:eastAsia="仿宋_GB2312" w:cs="仿宋_GB2312"/>
          <w:b/>
          <w:bCs/>
          <w:snapToGrid/>
          <w:kern w:val="2"/>
          <w:sz w:val="32"/>
          <w:szCs w:val="32"/>
          <w:lang w:eastAsia="zh-CN"/>
        </w:rPr>
        <w:t>）绿地与开敞空间用地。</w:t>
      </w:r>
      <w:r>
        <w:rPr>
          <w:rFonts w:hint="eastAsia" w:ascii="仿宋_GB2312" w:hAnsi="仿宋_GB2312" w:eastAsia="仿宋_GB2312" w:cs="仿宋_GB2312"/>
          <w:snapToGrid/>
          <w:color w:val="auto"/>
          <w:kern w:val="2"/>
          <w:sz w:val="32"/>
          <w:szCs w:val="32"/>
          <w:lang w:eastAsia="zh-CN"/>
        </w:rPr>
        <w:t>在村域南部大坪地组村民聚集区布置文化活动健身广场，占地面积约0.22公顷，为居民日常休闲、文化交流及体育锻炼提供空间支持</w:t>
      </w:r>
      <w:r>
        <w:rPr>
          <w:rFonts w:hint="eastAsia" w:ascii="Times New Roman" w:hAnsi="Times New Roman" w:eastAsia="仿宋_GB2312" w:cs="仿宋_GB2312"/>
          <w:snapToGrid/>
          <w:kern w:val="2"/>
          <w:sz w:val="32"/>
          <w:szCs w:val="32"/>
          <w:lang w:eastAsia="zh-CN"/>
        </w:rPr>
        <w:t>。</w:t>
      </w:r>
    </w:p>
    <w:p w14:paraId="5F976F94">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ascii="Times New Roman" w:hAnsi="Times New Roman" w:eastAsia="仿宋_GB2312" w:cs="仿宋_GB2312"/>
          <w:snapToGrid/>
          <w:kern w:val="2"/>
          <w:sz w:val="32"/>
          <w:szCs w:val="32"/>
          <w:lang w:eastAsia="zh-CN"/>
        </w:rPr>
      </w:pPr>
      <w:r>
        <w:rPr>
          <w:rFonts w:hint="eastAsia" w:ascii="仿宋_GB2312" w:hAnsi="仿宋_GB2312" w:eastAsia="仿宋_GB2312" w:cs="仿宋_GB2312"/>
          <w:b/>
          <w:bCs/>
          <w:snapToGrid/>
          <w:kern w:val="2"/>
          <w:sz w:val="32"/>
          <w:szCs w:val="32"/>
          <w:lang w:eastAsia="zh-CN"/>
        </w:rPr>
        <w:t>2.区域基础设施用地布局。</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保留现状铁路、公路和水工设施布局，至规划期末，区域基础设施用地面积39.61公顷</w:t>
      </w:r>
      <w:r>
        <w:rPr>
          <w:rFonts w:hint="eastAsia" w:ascii="Times New Roman" w:hAnsi="Times New Roman" w:eastAsia="仿宋_GB2312" w:cs="仿宋_GB2312"/>
          <w:snapToGrid/>
          <w:kern w:val="2"/>
          <w:sz w:val="32"/>
          <w:szCs w:val="32"/>
          <w:lang w:eastAsia="zh-CN"/>
        </w:rPr>
        <w:t>。</w:t>
      </w:r>
    </w:p>
    <w:p w14:paraId="03DED507">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ascii="Times New Roman" w:hAnsi="Times New Roman" w:eastAsia="仿宋_GB2312" w:cs="仿宋_GB2312"/>
          <w:snapToGrid/>
          <w:kern w:val="2"/>
          <w:sz w:val="32"/>
          <w:szCs w:val="32"/>
          <w:lang w:eastAsia="zh-CN"/>
        </w:rPr>
      </w:pPr>
      <w:r>
        <w:rPr>
          <w:rFonts w:hint="eastAsia" w:ascii="仿宋_GB2312" w:hAnsi="仿宋_GB2312" w:eastAsia="仿宋_GB2312" w:cs="仿宋_GB2312"/>
          <w:b/>
          <w:bCs/>
          <w:snapToGrid/>
          <w:kern w:val="2"/>
          <w:sz w:val="32"/>
          <w:szCs w:val="32"/>
          <w:lang w:eastAsia="zh-CN"/>
        </w:rPr>
        <w:t>3.其他建设用地布局。</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按照“宜林则林、宜园则园”的原则，整治低效采矿用地用于复园和旅游配套，规划采矿用地4.97顷，较现状减少4.26公顷。保留现状殡葬用地0.23公顷</w:t>
      </w:r>
      <w:r>
        <w:rPr>
          <w:rFonts w:hint="eastAsia" w:ascii="Times New Roman" w:hAnsi="Times New Roman" w:eastAsia="仿宋_GB2312" w:cs="仿宋_GB2312"/>
          <w:snapToGrid/>
          <w:kern w:val="2"/>
          <w:sz w:val="32"/>
          <w:szCs w:val="32"/>
          <w:lang w:eastAsia="zh-CN"/>
        </w:rPr>
        <w:t>。</w:t>
      </w:r>
    </w:p>
    <w:p w14:paraId="21ACBE64">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Cs/>
          <w:snapToGrid/>
          <w:kern w:val="2"/>
          <w:sz w:val="32"/>
          <w:szCs w:val="32"/>
          <w:lang w:eastAsia="zh-CN"/>
        </w:rPr>
      </w:pPr>
      <w:r>
        <w:rPr>
          <w:rFonts w:hint="eastAsia" w:ascii="仿宋_GB2312" w:hAnsi="仿宋_GB2312" w:eastAsia="仿宋_GB2312" w:cs="仿宋_GB2312"/>
          <w:bCs/>
          <w:snapToGrid/>
          <w:kern w:val="2"/>
          <w:sz w:val="32"/>
          <w:szCs w:val="32"/>
          <w:lang w:eastAsia="zh-CN"/>
        </w:rPr>
        <w:t>（三）未利用地布局</w:t>
      </w:r>
    </w:p>
    <w:p w14:paraId="13CE46A9">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Times New Roman" w:hAnsi="Times New Roman" w:eastAsia="仿宋_GB2312" w:cs="仿宋_GB2312"/>
          <w:snapToGrid/>
          <w:kern w:val="2"/>
          <w:sz w:val="32"/>
          <w:szCs w:val="32"/>
          <w:lang w:eastAsia="zh-CN"/>
        </w:rPr>
      </w:pPr>
      <w:r>
        <w:rPr>
          <w:rFonts w:hint="eastAsia" w:ascii="仿宋_GB2312" w:hAnsi="仿宋_GB2312" w:eastAsia="仿宋_GB2312" w:cs="仿宋_GB2312"/>
          <w:b/>
          <w:bCs/>
          <w:snapToGrid/>
          <w:kern w:val="2"/>
          <w:sz w:val="32"/>
          <w:szCs w:val="32"/>
          <w:lang w:val="en-US" w:eastAsia="zh-CN"/>
        </w:rPr>
        <w:t>1.河流水面。</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严格落实河道范围管理有关要求，保护河流生态环境，禁止新增除区域基础设施以外的建设用地。规划河流水面48.72公顷，占村域总用地面积的1.48%</w:t>
      </w:r>
      <w:r>
        <w:rPr>
          <w:rFonts w:hint="eastAsia" w:ascii="Times New Roman" w:hAnsi="Times New Roman" w:eastAsia="仿宋_GB2312" w:cs="仿宋_GB2312"/>
          <w:snapToGrid/>
          <w:kern w:val="2"/>
          <w:sz w:val="32"/>
          <w:szCs w:val="32"/>
          <w:lang w:eastAsia="zh-CN"/>
        </w:rPr>
        <w:t>。</w:t>
      </w:r>
    </w:p>
    <w:p w14:paraId="081C9BA3">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pPr>
      <w:r>
        <w:rPr>
          <w:rFonts w:hint="eastAsia" w:ascii="仿宋_GB2312" w:hAnsi="仿宋_GB2312" w:eastAsia="仿宋_GB2312" w:cs="仿宋_GB2312"/>
          <w:b/>
          <w:bCs/>
          <w:snapToGrid/>
          <w:kern w:val="2"/>
          <w:sz w:val="32"/>
          <w:szCs w:val="32"/>
          <w:lang w:val="en-US" w:eastAsia="zh-CN"/>
        </w:rPr>
        <w:t>2.湿地。</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村域内湿地主要为雅砻江沿岸形成的滩涂地，属于内陆滩涂，规划湿地1.35公顷，占村域总用地面积的0.04%，与现状保持一致。</w:t>
      </w:r>
    </w:p>
    <w:p w14:paraId="66BC5F24">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left"/>
        <w:textAlignment w:val="auto"/>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pPr>
      <w:r>
        <w:rPr>
          <w:rFonts w:hint="eastAsia" w:ascii="仿宋_GB2312" w:hAnsi="仿宋_GB2312" w:eastAsia="仿宋_GB2312" w:cs="仿宋_GB2312"/>
          <w:b/>
          <w:bCs/>
          <w:snapToGrid/>
          <w:kern w:val="2"/>
          <w:sz w:val="32"/>
          <w:szCs w:val="32"/>
          <w:lang w:val="en-US" w:eastAsia="zh-CN"/>
        </w:rPr>
        <w:t>3</w:t>
      </w:r>
      <w:r>
        <w:rPr>
          <w:rFonts w:hint="eastAsia" w:ascii="仿宋_GB2312" w:hAnsi="仿宋_GB2312" w:eastAsia="仿宋_GB2312" w:cs="仿宋_GB2312"/>
          <w:b/>
          <w:bCs/>
          <w:snapToGrid/>
          <w:kern w:val="2"/>
          <w:sz w:val="32"/>
          <w:szCs w:val="32"/>
          <w:lang w:eastAsia="zh-CN"/>
        </w:rPr>
        <w:t>.其他土地。</w:t>
      </w:r>
      <w:r>
        <w:rPr>
          <w:rFonts w:hint="eastAsia" w:ascii="Times New Roman" w:hAnsi="Times New Roman" w:eastAsia="仿宋_GB2312" w:cs="Times New Roman"/>
          <w:snapToGrid/>
          <w:color w:val="000000" w:themeColor="text1"/>
          <w:kern w:val="2"/>
          <w:sz w:val="32"/>
          <w:szCs w:val="24"/>
          <w:lang w:eastAsia="zh-CN"/>
          <w14:textFill>
            <w14:solidFill>
              <w14:schemeClr w14:val="tx1"/>
            </w14:solidFill>
          </w14:textFill>
        </w:rPr>
        <w:t>集约节约利用土地，将现状其他土地作为潜力土地，规划至2035年村域裸土地面积0.89公顷，较现状无变化</w:t>
      </w:r>
      <w:r>
        <w:rPr>
          <w:rFonts w:hint="eastAsia" w:ascii="Times New Roman" w:hAnsi="Times New Roman" w:eastAsia="仿宋_GB2312" w:cs="仿宋_GB2312"/>
          <w:snapToGrid/>
          <w:kern w:val="2"/>
          <w:sz w:val="32"/>
          <w:szCs w:val="32"/>
          <w:lang w:eastAsia="zh-CN"/>
        </w:rPr>
        <w:t>。</w:t>
      </w:r>
    </w:p>
    <w:p w14:paraId="7C21B13B">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ascii="黑体" w:hAnsi="黑体" w:eastAsia="黑体" w:cs="黑体"/>
          <w:bCs/>
          <w:snapToGrid/>
          <w:kern w:val="2"/>
          <w:sz w:val="32"/>
          <w:szCs w:val="32"/>
          <w:lang w:eastAsia="zh-CN"/>
        </w:rPr>
      </w:pPr>
      <w:r>
        <w:rPr>
          <w:rFonts w:hint="eastAsia" w:ascii="黑体" w:hAnsi="黑体" w:eastAsia="黑体" w:cs="黑体"/>
          <w:bCs/>
          <w:snapToGrid/>
          <w:kern w:val="2"/>
          <w:sz w:val="32"/>
          <w:szCs w:val="32"/>
          <w:lang w:eastAsia="zh-CN"/>
        </w:rPr>
        <w:t>五、道路交通</w:t>
      </w:r>
    </w:p>
    <w:p w14:paraId="4430BD2A">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snapToGrid/>
          <w:kern w:val="2"/>
          <w:sz w:val="32"/>
          <w:szCs w:val="32"/>
          <w:lang w:val="en-US" w:eastAsia="zh-CN"/>
        </w:rPr>
      </w:pPr>
      <w:r>
        <w:rPr>
          <w:rFonts w:hint="eastAsia" w:ascii="仿宋_GB2312" w:hAnsi="仿宋_GB2312" w:eastAsia="仿宋_GB2312" w:cs="仿宋_GB2312"/>
          <w:b/>
          <w:bCs/>
          <w:snapToGrid/>
          <w:kern w:val="2"/>
          <w:sz w:val="32"/>
          <w:szCs w:val="32"/>
          <w:lang w:val="en-US" w:eastAsia="zh-CN"/>
        </w:rPr>
        <w:t>（一）对外交通</w:t>
      </w:r>
    </w:p>
    <w:p w14:paraId="449AE7A3">
      <w:pPr>
        <w:keepNext w:val="0"/>
        <w:keepLines w:val="0"/>
        <w:pageBreakBefore w:val="0"/>
        <w:widowControl w:val="0"/>
        <w:kinsoku/>
        <w:wordWrap/>
        <w:overflowPunct/>
        <w:topLinePunct w:val="0"/>
        <w:autoSpaceDE/>
        <w:autoSpaceDN/>
        <w:bidi w:val="0"/>
        <w:adjustRightInd/>
        <w:snapToGrid/>
        <w:spacing w:line="360" w:lineRule="auto"/>
        <w:ind w:firstLine="643"/>
        <w:jc w:val="both"/>
        <w:textAlignment w:val="auto"/>
        <w:rPr>
          <w:rFonts w:ascii="Times New Roman" w:hAnsi="Times New Roman" w:eastAsia="仿宋_GB2312" w:cs="Times New Roman"/>
          <w:snapToGrid/>
          <w:color w:val="auto"/>
          <w:kern w:val="2"/>
          <w:sz w:val="32"/>
          <w:szCs w:val="24"/>
          <w:lang w:eastAsia="zh-CN"/>
        </w:rPr>
      </w:pPr>
      <w:r>
        <w:rPr>
          <w:rFonts w:hint="eastAsia" w:ascii="Times New Roman" w:hAnsi="Times New Roman" w:eastAsia="仿宋_GB2312" w:cs="Times New Roman"/>
          <w:b/>
          <w:snapToGrid/>
          <w:color w:val="auto"/>
          <w:kern w:val="2"/>
          <w:sz w:val="32"/>
          <w:szCs w:val="24"/>
          <w:lang w:eastAsia="zh-CN"/>
        </w:rPr>
        <w:t>主干公路。</w:t>
      </w:r>
      <w:r>
        <w:rPr>
          <w:rFonts w:hint="eastAsia" w:ascii="Times New Roman" w:hAnsi="Times New Roman" w:eastAsia="仿宋_GB2312" w:cs="Times New Roman"/>
          <w:snapToGrid/>
          <w:color w:val="auto"/>
          <w:kern w:val="2"/>
          <w:sz w:val="32"/>
          <w:szCs w:val="24"/>
          <w:lang w:eastAsia="zh-CN"/>
        </w:rPr>
        <w:t>提升区域对外交通品质，以G227作为对外交通主线，北至米易城区，南接攀枝花城区，是村域与外部联系的主要通道。</w:t>
      </w:r>
    </w:p>
    <w:p w14:paraId="38B80391">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snapToGrid/>
          <w:kern w:val="2"/>
          <w:sz w:val="32"/>
          <w:szCs w:val="32"/>
          <w:lang w:val="en-US" w:eastAsia="zh-CN"/>
        </w:rPr>
      </w:pPr>
      <w:r>
        <w:rPr>
          <w:rFonts w:hint="eastAsia" w:ascii="仿宋_GB2312" w:hAnsi="仿宋_GB2312" w:eastAsia="仿宋_GB2312" w:cs="仿宋_GB2312"/>
          <w:b/>
          <w:bCs/>
          <w:snapToGrid/>
          <w:kern w:val="2"/>
          <w:sz w:val="32"/>
          <w:szCs w:val="32"/>
          <w:lang w:val="en-US" w:eastAsia="zh-CN"/>
        </w:rPr>
        <w:t>（二）内部交通</w:t>
      </w:r>
    </w:p>
    <w:p w14:paraId="3B4B8E75">
      <w:pPr>
        <w:keepNext w:val="0"/>
        <w:keepLines w:val="0"/>
        <w:pageBreakBefore w:val="0"/>
        <w:widowControl w:val="0"/>
        <w:kinsoku/>
        <w:wordWrap/>
        <w:overflowPunct/>
        <w:topLinePunct w:val="0"/>
        <w:autoSpaceDE/>
        <w:autoSpaceDN/>
        <w:bidi w:val="0"/>
        <w:adjustRightInd/>
        <w:snapToGrid/>
        <w:spacing w:line="360" w:lineRule="auto"/>
        <w:ind w:firstLine="643"/>
        <w:jc w:val="both"/>
        <w:textAlignment w:val="auto"/>
        <w:rPr>
          <w:rFonts w:ascii="Times New Roman" w:hAnsi="Times New Roman" w:eastAsia="仿宋_GB2312" w:cs="Times New Roman"/>
          <w:snapToGrid/>
          <w:color w:val="auto"/>
          <w:kern w:val="2"/>
          <w:sz w:val="32"/>
          <w:szCs w:val="24"/>
          <w:lang w:eastAsia="zh-CN"/>
        </w:rPr>
      </w:pPr>
      <w:r>
        <w:rPr>
          <w:rFonts w:hint="eastAsia" w:ascii="Times New Roman" w:hAnsi="Times New Roman" w:eastAsia="仿宋_GB2312" w:cs="Times New Roman"/>
          <w:b/>
          <w:bCs/>
          <w:snapToGrid/>
          <w:color w:val="auto"/>
          <w:kern w:val="2"/>
          <w:sz w:val="32"/>
          <w:szCs w:val="24"/>
          <w:lang w:eastAsia="zh-CN"/>
        </w:rPr>
        <w:t>村组道路。</w:t>
      </w:r>
      <w:r>
        <w:rPr>
          <w:rFonts w:hint="eastAsia" w:ascii="Times New Roman" w:hAnsi="Times New Roman" w:eastAsia="仿宋_GB2312" w:cs="Times New Roman"/>
          <w:snapToGrid/>
          <w:color w:val="auto"/>
          <w:kern w:val="2"/>
          <w:sz w:val="32"/>
          <w:szCs w:val="24"/>
          <w:lang w:eastAsia="zh-CN"/>
        </w:rPr>
        <w:t>对社区现有受损、不达标村组道路进行提升；村组路按照不低于四级水泥公路标准建设，村道路基宽度4.5米—6.5米，通组路路基宽度3.5米—4.5米，路面宽度小于5米的村组路错车道数量每公里不少于3处。</w:t>
      </w:r>
    </w:p>
    <w:p w14:paraId="07558627">
      <w:pPr>
        <w:keepNext w:val="0"/>
        <w:keepLines w:val="0"/>
        <w:pageBreakBefore w:val="0"/>
        <w:widowControl w:val="0"/>
        <w:kinsoku/>
        <w:wordWrap/>
        <w:overflowPunct/>
        <w:topLinePunct w:val="0"/>
        <w:autoSpaceDE/>
        <w:autoSpaceDN/>
        <w:bidi w:val="0"/>
        <w:adjustRightInd/>
        <w:snapToGrid/>
        <w:spacing w:line="360" w:lineRule="auto"/>
        <w:ind w:firstLine="643"/>
        <w:jc w:val="both"/>
        <w:textAlignment w:val="auto"/>
        <w:rPr>
          <w:rFonts w:ascii="Times New Roman" w:hAnsi="Times New Roman" w:eastAsia="仿宋_GB2312" w:cs="Times New Roman"/>
          <w:snapToGrid/>
          <w:color w:val="auto"/>
          <w:kern w:val="2"/>
          <w:sz w:val="32"/>
          <w:szCs w:val="24"/>
          <w:lang w:eastAsia="zh-CN"/>
        </w:rPr>
      </w:pPr>
      <w:r>
        <w:rPr>
          <w:rFonts w:hint="eastAsia" w:ascii="Times New Roman" w:hAnsi="Times New Roman" w:eastAsia="仿宋_GB2312" w:cs="Times New Roman"/>
          <w:b/>
          <w:bCs/>
          <w:snapToGrid/>
          <w:color w:val="auto"/>
          <w:kern w:val="2"/>
          <w:sz w:val="32"/>
          <w:szCs w:val="24"/>
          <w:lang w:eastAsia="zh-CN"/>
        </w:rPr>
        <w:t>机耕路、产业路。</w:t>
      </w:r>
      <w:r>
        <w:rPr>
          <w:rFonts w:hint="eastAsia" w:ascii="Times New Roman" w:hAnsi="Times New Roman" w:eastAsia="仿宋_GB2312" w:cs="Times New Roman"/>
          <w:snapToGrid/>
          <w:color w:val="auto"/>
          <w:kern w:val="2"/>
          <w:sz w:val="32"/>
          <w:szCs w:val="24"/>
          <w:lang w:eastAsia="zh-CN"/>
        </w:rPr>
        <w:t>结合土地整治和高标准农田建设，提升乡村产业道路，规划机耕路宽宜3—6米，生产路宽一般不超过3米。</w:t>
      </w:r>
    </w:p>
    <w:p w14:paraId="662278C2">
      <w:pPr>
        <w:keepNext w:val="0"/>
        <w:keepLines w:val="0"/>
        <w:pageBreakBefore w:val="0"/>
        <w:widowControl w:val="0"/>
        <w:kinsoku/>
        <w:wordWrap/>
        <w:overflowPunct/>
        <w:topLinePunct w:val="0"/>
        <w:autoSpaceDE/>
        <w:autoSpaceDN/>
        <w:bidi w:val="0"/>
        <w:adjustRightInd/>
        <w:snapToGrid/>
        <w:spacing w:line="360" w:lineRule="auto"/>
        <w:ind w:firstLine="643"/>
        <w:jc w:val="both"/>
        <w:textAlignment w:val="auto"/>
        <w:rPr>
          <w:rFonts w:ascii="Times New Roman" w:hAnsi="Times New Roman" w:eastAsia="仿宋_GB2312" w:cs="Times New Roman"/>
          <w:snapToGrid/>
          <w:color w:val="auto"/>
          <w:kern w:val="2"/>
          <w:sz w:val="32"/>
          <w:szCs w:val="24"/>
          <w:lang w:eastAsia="zh-CN"/>
        </w:rPr>
      </w:pPr>
      <w:r>
        <w:rPr>
          <w:rFonts w:hint="eastAsia" w:ascii="Times New Roman" w:hAnsi="Times New Roman" w:eastAsia="仿宋_GB2312" w:cs="Times New Roman"/>
          <w:b/>
          <w:bCs/>
          <w:snapToGrid/>
          <w:color w:val="auto"/>
          <w:kern w:val="2"/>
          <w:sz w:val="32"/>
          <w:szCs w:val="24"/>
          <w:lang w:eastAsia="zh-CN"/>
        </w:rPr>
        <w:t>入户道路。</w:t>
      </w:r>
      <w:r>
        <w:rPr>
          <w:rFonts w:hint="eastAsia" w:ascii="Times New Roman" w:hAnsi="Times New Roman" w:eastAsia="仿宋_GB2312" w:cs="Times New Roman"/>
          <w:snapToGrid/>
          <w:color w:val="auto"/>
          <w:kern w:val="2"/>
          <w:sz w:val="32"/>
          <w:szCs w:val="24"/>
          <w:lang w:eastAsia="zh-CN"/>
        </w:rPr>
        <w:t>户户通道路，覆盖各居民点，路面宽度2.5—3.5米。其余道路及机耕路酌情对路面进行提质和拓宽，为农业生产提供基础保障。</w:t>
      </w:r>
    </w:p>
    <w:p w14:paraId="13FAA9C0">
      <w:pPr>
        <w:keepNext w:val="0"/>
        <w:keepLines w:val="0"/>
        <w:pageBreakBefore w:val="0"/>
        <w:widowControl w:val="0"/>
        <w:kinsoku/>
        <w:wordWrap/>
        <w:overflowPunct/>
        <w:topLinePunct w:val="0"/>
        <w:autoSpaceDE/>
        <w:autoSpaceDN/>
        <w:bidi w:val="0"/>
        <w:adjustRightInd/>
        <w:snapToGrid/>
        <w:spacing w:line="360" w:lineRule="auto"/>
        <w:ind w:firstLine="640"/>
        <w:jc w:val="both"/>
        <w:textAlignment w:val="auto"/>
        <w:rPr>
          <w:rFonts w:ascii="Times New Roman" w:hAnsi="Times New Roman" w:eastAsia="仿宋_GB2312" w:cs="Times New Roman"/>
          <w:snapToGrid/>
          <w:color w:val="auto"/>
          <w:kern w:val="2"/>
          <w:sz w:val="32"/>
          <w:szCs w:val="24"/>
          <w:lang w:eastAsia="zh-CN"/>
        </w:rPr>
      </w:pPr>
      <w:r>
        <w:rPr>
          <w:rFonts w:hint="eastAsia" w:ascii="Times New Roman" w:hAnsi="Times New Roman" w:eastAsia="仿宋_GB2312" w:cs="Times New Roman"/>
          <w:snapToGrid/>
          <w:color w:val="auto"/>
          <w:kern w:val="2"/>
          <w:sz w:val="32"/>
          <w:szCs w:val="24"/>
          <w:lang w:eastAsia="zh-CN"/>
        </w:rPr>
        <w:t>对于拓宽的道路，受底线管控限制的，只对局部进行拓宽，符合用地政策的再进行调整。</w:t>
      </w:r>
    </w:p>
    <w:p w14:paraId="254AAD2D">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snapToGrid/>
          <w:kern w:val="2"/>
          <w:sz w:val="32"/>
          <w:szCs w:val="32"/>
          <w:lang w:val="en-US" w:eastAsia="zh-CN"/>
        </w:rPr>
      </w:pPr>
      <w:r>
        <w:rPr>
          <w:rFonts w:hint="eastAsia" w:ascii="仿宋_GB2312" w:hAnsi="仿宋_GB2312" w:eastAsia="仿宋_GB2312" w:cs="仿宋_GB2312"/>
          <w:b/>
          <w:bCs/>
          <w:snapToGrid/>
          <w:kern w:val="2"/>
          <w:sz w:val="32"/>
          <w:szCs w:val="32"/>
          <w:lang w:val="en-US" w:eastAsia="zh-CN"/>
        </w:rPr>
        <w:t>（三）公共交通规划</w:t>
      </w:r>
    </w:p>
    <w:p w14:paraId="35016721">
      <w:pPr>
        <w:keepNext w:val="0"/>
        <w:keepLines w:val="0"/>
        <w:pageBreakBefore w:val="0"/>
        <w:widowControl w:val="0"/>
        <w:kinsoku/>
        <w:wordWrap/>
        <w:overflowPunct/>
        <w:topLinePunct w:val="0"/>
        <w:autoSpaceDE/>
        <w:autoSpaceDN/>
        <w:bidi w:val="0"/>
        <w:adjustRightInd/>
        <w:snapToGrid/>
        <w:spacing w:line="360" w:lineRule="auto"/>
        <w:ind w:firstLine="640"/>
        <w:jc w:val="both"/>
        <w:textAlignment w:val="auto"/>
        <w:rPr>
          <w:rFonts w:ascii="Times New Roman" w:hAnsi="Times New Roman" w:eastAsia="仿宋_GB2312" w:cs="Times New Roman"/>
          <w:snapToGrid/>
          <w:color w:val="auto"/>
          <w:kern w:val="2"/>
          <w:sz w:val="32"/>
          <w:szCs w:val="24"/>
          <w:lang w:eastAsia="zh-CN"/>
        </w:rPr>
      </w:pPr>
      <w:r>
        <w:rPr>
          <w:rFonts w:hint="eastAsia" w:ascii="Times New Roman" w:hAnsi="Times New Roman" w:eastAsia="仿宋_GB2312" w:cs="Times New Roman"/>
          <w:snapToGrid/>
          <w:color w:val="auto"/>
          <w:kern w:val="2"/>
          <w:sz w:val="32"/>
          <w:szCs w:val="24"/>
          <w:lang w:eastAsia="zh-CN"/>
        </w:rPr>
        <w:t>推广客货兼具功能型车辆，因地制宜发展“乡村网约车”，推行点（县城）对点（聚居点）乡村客运线路，最大限度满足群众出行需求。</w:t>
      </w:r>
    </w:p>
    <w:p w14:paraId="140AC12D">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snapToGrid/>
          <w:kern w:val="2"/>
          <w:sz w:val="32"/>
          <w:szCs w:val="32"/>
          <w:lang w:val="en-US" w:eastAsia="zh-CN"/>
        </w:rPr>
      </w:pPr>
      <w:r>
        <w:rPr>
          <w:rFonts w:hint="eastAsia" w:ascii="仿宋_GB2312" w:hAnsi="仿宋_GB2312" w:eastAsia="仿宋_GB2312" w:cs="仿宋_GB2312"/>
          <w:b/>
          <w:bCs/>
          <w:snapToGrid/>
          <w:kern w:val="2"/>
          <w:sz w:val="32"/>
          <w:szCs w:val="32"/>
          <w:lang w:val="en-US" w:eastAsia="zh-CN"/>
        </w:rPr>
        <w:t>（四）停车场规划</w:t>
      </w:r>
    </w:p>
    <w:p w14:paraId="625CECE4">
      <w:pPr>
        <w:keepNext w:val="0"/>
        <w:keepLines w:val="0"/>
        <w:pageBreakBefore w:val="0"/>
        <w:widowControl w:val="0"/>
        <w:kinsoku/>
        <w:wordWrap/>
        <w:overflowPunct/>
        <w:topLinePunct w:val="0"/>
        <w:autoSpaceDE/>
        <w:autoSpaceDN/>
        <w:bidi w:val="0"/>
        <w:adjustRightInd/>
        <w:snapToGrid/>
        <w:spacing w:line="360" w:lineRule="auto"/>
        <w:ind w:firstLine="640"/>
        <w:jc w:val="both"/>
        <w:textAlignment w:val="auto"/>
        <w:rPr>
          <w:rFonts w:hint="eastAsia" w:ascii="仿宋_GB2312" w:hAnsi="仿宋_GB2312" w:eastAsia="仿宋_GB2312" w:cs="仿宋_GB2312"/>
          <w:spacing w:val="-8"/>
        </w:rPr>
        <w:sectPr>
          <w:headerReference r:id="rId5" w:type="default"/>
          <w:footerReference r:id="rId6" w:type="default"/>
          <w:pgSz w:w="11907" w:h="16840"/>
          <w:pgMar w:top="400" w:right="1360" w:bottom="1443" w:left="1474" w:header="0" w:footer="1077" w:gutter="0"/>
          <w:cols w:space="720" w:num="1"/>
        </w:sectPr>
      </w:pPr>
      <w:r>
        <w:rPr>
          <w:rFonts w:hint="eastAsia" w:ascii="Times New Roman" w:hAnsi="Times New Roman" w:eastAsia="仿宋_GB2312" w:cs="Times New Roman"/>
          <w:snapToGrid/>
          <w:color w:val="auto"/>
          <w:kern w:val="2"/>
          <w:sz w:val="32"/>
          <w:szCs w:val="24"/>
          <w:lang w:eastAsia="zh-CN"/>
        </w:rPr>
        <w:t>规划在大坪地组文化活动健身广场旁新建生态停车场，占地面积约413㎡，可提供约16个小型机动车停车位，满足周边居民日常活动及集体性活动期间的停车需求。同时在桐香果廊共享农园配建停车场，规划不少于5个小型机动车停车位，以提升游客到访便利性，改善农文旅融合片区的交通承载能力。</w:t>
      </w:r>
    </w:p>
    <w:p w14:paraId="0294B759">
      <w:pPr>
        <w:pStyle w:val="9"/>
        <w:keepNext w:val="0"/>
        <w:keepLines w:val="0"/>
        <w:pageBreakBefore w:val="0"/>
        <w:kinsoku/>
        <w:overflowPunct/>
        <w:topLinePunct w:val="0"/>
        <w:bidi w:val="0"/>
        <w:spacing w:line="240" w:lineRule="auto"/>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7781925" cy="5503545"/>
            <wp:effectExtent l="0" t="0" r="9525" b="1905"/>
            <wp:docPr id="1" name="图片 1" descr="F:/村规/盐边村规/过程文件/11.21/图纸/桐子林/01区位关系图.jpg01区位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村规/盐边村规/过程文件/11.21/图纸/桐子林/01区位关系图.jpg01区位关系图"/>
                    <pic:cNvPicPr>
                      <a:picLocks noChangeAspect="1"/>
                    </pic:cNvPicPr>
                  </pic:nvPicPr>
                  <pic:blipFill>
                    <a:blip r:embed="rId10"/>
                    <a:srcRect l="6" r="6"/>
                    <a:stretch>
                      <a:fillRect/>
                    </a:stretch>
                  </pic:blipFill>
                  <pic:spPr>
                    <a:xfrm>
                      <a:off x="0" y="0"/>
                      <a:ext cx="7781925" cy="5503545"/>
                    </a:xfrm>
                    <a:prstGeom prst="rect">
                      <a:avLst/>
                    </a:prstGeom>
                  </pic:spPr>
                </pic:pic>
              </a:graphicData>
            </a:graphic>
          </wp:inline>
        </w:drawing>
      </w:r>
    </w:p>
    <w:p w14:paraId="2F20406E">
      <w:pPr>
        <w:pStyle w:val="9"/>
        <w:keepNext w:val="0"/>
        <w:keepLines w:val="0"/>
        <w:pageBreakBefore w:val="0"/>
        <w:kinsoku/>
        <w:overflowPunct/>
        <w:topLinePunct w:val="0"/>
        <w:bidi w:val="0"/>
        <w:spacing w:line="240" w:lineRule="auto"/>
        <w:jc w:val="center"/>
        <w:rPr>
          <w:rFonts w:hint="eastAsia" w:ascii="Times New Roman" w:hAnsi="Times New Roman" w:eastAsia="宋体" w:cs="Times New Roman"/>
          <w:lang w:eastAsia="zh-CN"/>
        </w:rPr>
        <w:sectPr>
          <w:footerReference r:id="rId7" w:type="default"/>
          <w:pgSz w:w="16838" w:h="11906" w:orient="landscape"/>
          <w:pgMar w:top="1588" w:right="2098" w:bottom="1474" w:left="1985" w:header="851" w:footer="992" w:gutter="0"/>
          <w:pgNumType w:fmt="numberInDash" w:start="1"/>
          <w:cols w:space="425" w:num="1"/>
          <w:docGrid w:type="linesAndChars" w:linePitch="579" w:charSpace="-849"/>
        </w:sectPr>
      </w:pPr>
      <w:r>
        <w:rPr>
          <w:rFonts w:hint="eastAsia" w:ascii="Times New Roman" w:hAnsi="Times New Roman" w:eastAsia="宋体" w:cs="Times New Roman"/>
          <w:lang w:eastAsia="zh-CN"/>
        </w:rPr>
        <w:drawing>
          <wp:inline distT="0" distB="0" distL="114300" distR="114300">
            <wp:extent cx="7781925" cy="5503545"/>
            <wp:effectExtent l="0" t="0" r="9525" b="1905"/>
            <wp:docPr id="11" name="图片 11" descr="03用地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3用地布局规划图"/>
                    <pic:cNvPicPr>
                      <a:picLocks noChangeAspect="1"/>
                    </pic:cNvPicPr>
                  </pic:nvPicPr>
                  <pic:blipFill>
                    <a:blip r:embed="rId11"/>
                    <a:stretch>
                      <a:fillRect/>
                    </a:stretch>
                  </pic:blipFill>
                  <pic:spPr>
                    <a:xfrm>
                      <a:off x="0" y="0"/>
                      <a:ext cx="7781925" cy="5503545"/>
                    </a:xfrm>
                    <a:prstGeom prst="rect">
                      <a:avLst/>
                    </a:prstGeom>
                  </pic:spPr>
                </pic:pic>
              </a:graphicData>
            </a:graphic>
          </wp:inline>
        </w:drawing>
      </w:r>
    </w:p>
    <w:p w14:paraId="43316E70">
      <w:pPr>
        <w:pStyle w:val="9"/>
        <w:keepNext w:val="0"/>
        <w:keepLines w:val="0"/>
        <w:pageBreakBefore w:val="0"/>
        <w:kinsoku/>
        <w:overflowPunct/>
        <w:topLinePunct w:val="0"/>
        <w:bidi w:val="0"/>
        <w:spacing w:line="240" w:lineRule="auto"/>
        <w:jc w:val="center"/>
        <w:rPr>
          <w:rFonts w:hint="eastAsia" w:ascii="Times New Roman" w:hAnsi="Times New Roman" w:eastAsia="宋体" w:cs="Times New Roman"/>
          <w:lang w:eastAsia="zh-CN"/>
        </w:rPr>
        <w:sectPr>
          <w:pgSz w:w="16838" w:h="11906" w:orient="landscape"/>
          <w:pgMar w:top="1588" w:right="2098" w:bottom="1474" w:left="1985" w:header="851" w:footer="992" w:gutter="0"/>
          <w:pgNumType w:fmt="numberInDash" w:start="1"/>
          <w:cols w:space="425" w:num="1"/>
          <w:docGrid w:type="linesAndChars" w:linePitch="579" w:charSpace="-849"/>
        </w:sectPr>
      </w:pPr>
      <w:r>
        <w:rPr>
          <w:rFonts w:hint="eastAsia" w:ascii="Times New Roman" w:hAnsi="Times New Roman" w:eastAsia="宋体" w:cs="Times New Roman"/>
          <w:lang w:eastAsia="zh-CN"/>
        </w:rPr>
        <w:drawing>
          <wp:inline distT="0" distB="0" distL="114300" distR="114300">
            <wp:extent cx="7781925" cy="5503545"/>
            <wp:effectExtent l="0" t="0" r="9525" b="1905"/>
            <wp:docPr id="12" name="图片 12" descr="F:/村规/盐边村规/过程文件/11.21/图纸/桐子林/10产业发展用地规划图.jpg10产业发展用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村规/盐边村规/过程文件/11.21/图纸/桐子林/10产业发展用地规划图.jpg10产业发展用地规划图"/>
                    <pic:cNvPicPr>
                      <a:picLocks noChangeAspect="1"/>
                    </pic:cNvPicPr>
                  </pic:nvPicPr>
                  <pic:blipFill>
                    <a:blip r:embed="rId12"/>
                    <a:srcRect l="6" r="6"/>
                    <a:stretch>
                      <a:fillRect/>
                    </a:stretch>
                  </pic:blipFill>
                  <pic:spPr>
                    <a:xfrm>
                      <a:off x="0" y="0"/>
                      <a:ext cx="7781925" cy="5503545"/>
                    </a:xfrm>
                    <a:prstGeom prst="rect">
                      <a:avLst/>
                    </a:prstGeom>
                  </pic:spPr>
                </pic:pic>
              </a:graphicData>
            </a:graphic>
          </wp:inline>
        </w:drawing>
      </w:r>
    </w:p>
    <w:p w14:paraId="3D67D71F">
      <w:pPr>
        <w:pStyle w:val="9"/>
        <w:keepNext w:val="0"/>
        <w:keepLines w:val="0"/>
        <w:pageBreakBefore w:val="0"/>
        <w:kinsoku/>
        <w:overflowPunct/>
        <w:topLinePunct w:val="0"/>
        <w:bidi w:val="0"/>
        <w:spacing w:line="240" w:lineRule="auto"/>
        <w:jc w:val="center"/>
        <w:rPr>
          <w:rFonts w:hint="eastAsia" w:ascii="Times New Roman" w:hAnsi="Times New Roman" w:eastAsia="宋体" w:cs="Times New Roman"/>
          <w:lang w:eastAsia="zh-CN"/>
        </w:rPr>
        <w:sectPr>
          <w:pgSz w:w="16838" w:h="11906" w:orient="landscape"/>
          <w:pgMar w:top="1588" w:right="2098" w:bottom="1474" w:left="1985" w:header="851" w:footer="992" w:gutter="0"/>
          <w:pgNumType w:fmt="numberInDash" w:start="1"/>
          <w:cols w:space="425" w:num="1"/>
          <w:docGrid w:type="linesAndChars" w:linePitch="579" w:charSpace="-849"/>
        </w:sectPr>
      </w:pPr>
      <w:r>
        <w:rPr>
          <w:rFonts w:hint="eastAsia" w:ascii="Times New Roman" w:hAnsi="Times New Roman" w:eastAsia="宋体" w:cs="Times New Roman"/>
          <w:lang w:eastAsia="zh-CN"/>
        </w:rPr>
        <w:drawing>
          <wp:inline distT="0" distB="0" distL="114300" distR="114300">
            <wp:extent cx="7781925" cy="5503545"/>
            <wp:effectExtent l="0" t="0" r="9525" b="1905"/>
            <wp:docPr id="13" name="图片 13" descr="F:/村规/盐边村规/过程文件/11.21/图纸/桐子林/11公共服务设施规划图.jpg11公共服务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村规/盐边村规/过程文件/11.21/图纸/桐子林/11公共服务设施规划图.jpg11公共服务设施规划图"/>
                    <pic:cNvPicPr>
                      <a:picLocks noChangeAspect="1"/>
                    </pic:cNvPicPr>
                  </pic:nvPicPr>
                  <pic:blipFill>
                    <a:blip r:embed="rId13"/>
                    <a:srcRect l="6" r="6"/>
                    <a:stretch>
                      <a:fillRect/>
                    </a:stretch>
                  </pic:blipFill>
                  <pic:spPr>
                    <a:xfrm>
                      <a:off x="0" y="0"/>
                      <a:ext cx="7781925" cy="5503545"/>
                    </a:xfrm>
                    <a:prstGeom prst="rect">
                      <a:avLst/>
                    </a:prstGeom>
                  </pic:spPr>
                </pic:pic>
              </a:graphicData>
            </a:graphic>
          </wp:inline>
        </w:drawing>
      </w:r>
    </w:p>
    <w:p w14:paraId="34FB3EB8">
      <w:pPr>
        <w:pStyle w:val="9"/>
        <w:keepNext w:val="0"/>
        <w:keepLines w:val="0"/>
        <w:pageBreakBefore w:val="0"/>
        <w:kinsoku/>
        <w:overflowPunct/>
        <w:topLinePunct w:val="0"/>
        <w:bidi w:val="0"/>
        <w:spacing w:line="240" w:lineRule="auto"/>
        <w:jc w:val="center"/>
        <w:rPr>
          <w:rFonts w:hint="eastAsia" w:ascii="仿宋_GB2312" w:hAnsi="仿宋_GB2312" w:eastAsia="仿宋_GB2312" w:cs="仿宋_GB2312"/>
        </w:rPr>
      </w:pPr>
      <w:r>
        <w:rPr>
          <w:rFonts w:hint="eastAsia" w:ascii="Times New Roman" w:hAnsi="Times New Roman" w:eastAsia="宋体" w:cs="Times New Roman"/>
          <w:lang w:eastAsia="zh-CN"/>
        </w:rPr>
        <w:drawing>
          <wp:inline distT="0" distB="0" distL="114300" distR="114300">
            <wp:extent cx="7781925" cy="5503545"/>
            <wp:effectExtent l="0" t="0" r="9525" b="1905"/>
            <wp:docPr id="14" name="图片 14" descr="F:/村规/盐边村规/过程文件/11.21/图纸/桐子林/12道路交通设施规划图.jpg12道路交通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村规/盐边村规/过程文件/11.21/图纸/桐子林/12道路交通设施规划图.jpg12道路交通设施规划图"/>
                    <pic:cNvPicPr>
                      <a:picLocks noChangeAspect="1"/>
                    </pic:cNvPicPr>
                  </pic:nvPicPr>
                  <pic:blipFill>
                    <a:blip r:embed="rId14"/>
                    <a:srcRect l="6" r="6"/>
                    <a:stretch>
                      <a:fillRect/>
                    </a:stretch>
                  </pic:blipFill>
                  <pic:spPr>
                    <a:xfrm>
                      <a:off x="0" y="0"/>
                      <a:ext cx="7781925" cy="5503545"/>
                    </a:xfrm>
                    <a:prstGeom prst="rect">
                      <a:avLst/>
                    </a:prstGeom>
                  </pic:spPr>
                </pic:pic>
              </a:graphicData>
            </a:graphic>
          </wp:inline>
        </w:drawing>
      </w:r>
    </w:p>
    <w:sectPr>
      <w:footerReference r:id="rId8" w:type="default"/>
      <w:pgSz w:w="16838" w:h="11906" w:orient="landscape"/>
      <w:pgMar w:top="1587" w:right="2098" w:bottom="1474" w:left="1984" w:header="0" w:footer="115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5B32B">
    <w:pPr>
      <w:spacing w:line="234" w:lineRule="auto"/>
      <w:ind w:left="7986"/>
      <w:rPr>
        <w:rFonts w:ascii="宋体" w:hAnsi="宋体" w:eastAsia="宋体" w:cs="宋体"/>
        <w:sz w:val="28"/>
        <w:szCs w:val="28"/>
      </w:rPr>
    </w:pPr>
    <w:r>
      <w:rPr>
        <w:rFonts w:ascii="宋体" w:hAnsi="宋体" w:eastAsia="宋体" w:cs="宋体"/>
        <w:spacing w:val="-9"/>
        <w:sz w:val="28"/>
        <w:szCs w:val="28"/>
      </w:rPr>
      <w:t>—</w:t>
    </w:r>
    <w:r>
      <w:rPr>
        <w:rFonts w:ascii="宋体" w:hAnsi="宋体" w:eastAsia="宋体" w:cs="宋体"/>
        <w:spacing w:val="17"/>
        <w:sz w:val="28"/>
        <w:szCs w:val="28"/>
      </w:rPr>
      <w:t xml:space="preserve"> </w:t>
    </w:r>
    <w:r>
      <w:rPr>
        <w:rFonts w:ascii="宋体" w:hAnsi="宋体" w:eastAsia="宋体" w:cs="宋体"/>
        <w:spacing w:val="-9"/>
        <w:sz w:val="28"/>
        <w:szCs w:val="28"/>
      </w:rPr>
      <w:t>7</w:t>
    </w:r>
    <w:r>
      <w:rPr>
        <w:rFonts w:ascii="宋体" w:hAnsi="宋体" w:eastAsia="宋体" w:cs="宋体"/>
        <w:spacing w:val="9"/>
        <w:sz w:val="28"/>
        <w:szCs w:val="28"/>
      </w:rPr>
      <w:t xml:space="preserve"> </w:t>
    </w:r>
    <w:r>
      <w:rPr>
        <w:rFonts w:ascii="宋体" w:hAnsi="宋体" w:eastAsia="宋体" w:cs="宋体"/>
        <w:spacing w:val="-9"/>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FCB5">
    <w:pPr>
      <w:pStyle w:val="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39701">
    <w:pPr>
      <w:spacing w:before="1" w:line="235" w:lineRule="auto"/>
      <w:ind w:left="8"/>
      <w:rPr>
        <w:rFonts w:ascii="宋体" w:hAnsi="宋体" w:eastAsia="宋体" w:cs="宋体"/>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6DB9D">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A1081D"/>
    <w:multiLevelType w:val="singleLevel"/>
    <w:tmpl w:val="C0A1081D"/>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GQzZDVmMTI1ZWI2YWFjMjQ1MzJhMzY5MTg2YjQ2OTQifQ=="/>
  </w:docVars>
  <w:rsids>
    <w:rsidRoot w:val="00000000"/>
    <w:rsid w:val="00F71186"/>
    <w:rsid w:val="067A63F4"/>
    <w:rsid w:val="0D996408"/>
    <w:rsid w:val="0E0D3C55"/>
    <w:rsid w:val="106F41CC"/>
    <w:rsid w:val="11BD2243"/>
    <w:rsid w:val="11FC6BD3"/>
    <w:rsid w:val="1DD66D38"/>
    <w:rsid w:val="31CB65DF"/>
    <w:rsid w:val="39A64751"/>
    <w:rsid w:val="41C435FD"/>
    <w:rsid w:val="50DD4549"/>
    <w:rsid w:val="521B663F"/>
    <w:rsid w:val="681C6DDC"/>
    <w:rsid w:val="693F23B7"/>
    <w:rsid w:val="6E8D294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1"/>
      <w:szCs w:val="31"/>
      <w:lang w:val="en-US" w:eastAsia="en-US" w:bidi="ar-SA"/>
    </w:rPr>
  </w:style>
  <w:style w:type="paragraph" w:styleId="3">
    <w:name w:val="footer"/>
    <w:basedOn w:val="1"/>
    <w:qFormat/>
    <w:uiPriority w:val="99"/>
    <w:pPr>
      <w:tabs>
        <w:tab w:val="center" w:pos="4153"/>
        <w:tab w:val="right" w:pos="8306"/>
      </w:tabs>
      <w:snapToGrid w:val="0"/>
      <w:jc w:val="left"/>
    </w:pPr>
    <w:rPr>
      <w:rFonts w:ascii="Calibri" w:hAnsi="Calibri" w:eastAsia="宋体"/>
      <w:kern w:val="0"/>
      <w:sz w:val="18"/>
      <w:szCs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Arial" w:hAnsi="Arial" w:eastAsia="Arial" w:cs="Arial"/>
      <w:sz w:val="24"/>
      <w:szCs w:val="24"/>
      <w:lang w:val="en-US" w:eastAsia="en-US" w:bidi="ar-SA"/>
    </w:rPr>
  </w:style>
  <w:style w:type="paragraph" w:customStyle="1" w:styleId="8">
    <w:name w:val="CM16"/>
    <w:next w:val="9"/>
    <w:qFormat/>
    <w:uiPriority w:val="99"/>
    <w:pPr>
      <w:widowControl w:val="0"/>
      <w:autoSpaceDE w:val="0"/>
      <w:autoSpaceDN w:val="0"/>
      <w:adjustRightInd w:val="0"/>
      <w:spacing w:line="626" w:lineRule="atLeast"/>
    </w:pPr>
    <w:rPr>
      <w:rFonts w:ascii="黑体" w:hAnsi="等线" w:eastAsia="黑体" w:cs="Times New Roman"/>
      <w:color w:val="auto"/>
      <w:kern w:val="0"/>
      <w:sz w:val="24"/>
      <w:szCs w:val="24"/>
      <w:lang w:val="en-US" w:eastAsia="zh-CN" w:bidi="ar-SA"/>
    </w:rPr>
  </w:style>
  <w:style w:type="paragraph" w:customStyle="1" w:styleId="9">
    <w:name w:val="Default"/>
    <w:qFormat/>
    <w:uiPriority w:val="0"/>
    <w:pPr>
      <w:widowControl w:val="0"/>
      <w:autoSpaceDE w:val="0"/>
      <w:autoSpaceDN w:val="0"/>
    </w:pPr>
    <w:rPr>
      <w:rFonts w:ascii="Calibri" w:hAnsi="Calibri" w:eastAsia="宋体" w:cs="Calibri"/>
      <w:color w:val="000000"/>
      <w:kern w:val="2"/>
      <w:sz w:val="24"/>
      <w:szCs w:val="24"/>
      <w:lang w:val="en-US" w:eastAsia="zh-CN" w:bidi="ar-SA"/>
    </w:rPr>
  </w:style>
  <w:style w:type="paragraph" w:customStyle="1" w:styleId="10">
    <w:name w:val="CM2"/>
    <w:next w:val="9"/>
    <w:qFormat/>
    <w:uiPriority w:val="99"/>
    <w:pPr>
      <w:widowControl w:val="0"/>
      <w:autoSpaceDE w:val="0"/>
      <w:autoSpaceDN w:val="0"/>
      <w:adjustRightInd w:val="0"/>
      <w:spacing w:line="626" w:lineRule="atLeast"/>
    </w:pPr>
    <w:rPr>
      <w:rFonts w:ascii="黑体" w:hAnsi="等线" w:eastAsia="黑体" w:cs="Times New Roman"/>
      <w:color w:val="auto"/>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def33907-db6e-4d42-8bb8-c86d502c78ba</errorID>
      <errorWord>“后半篇”文章</errorWord>
      <group>L1_Political</group>
      <groupName>政治性问题</groupName>
      <ability>L2_Keyword</ability>
      <abilityName>固定表述</abilityName>
      <candidateList>
        <item>“后半篇文章”</item>
      </candidateList>
      <explain>注意检查当前固定表述标点是否使用规范。</explain>
      <paraID>3D4D1B1E</paraID>
      <start>30</start>
      <end>37</end>
      <status>unmodified</status>
      <modifiedWord/>
      <trackRevisions>false</trackRevisions>
    </reviewItem>
    <reviewItem>
      <errorID>3db31e64-9ea1-439d-bc16-b9100f6b913e</errorID>
      <errorWord>“后半篇”文章</errorWord>
      <group>L1_Political</group>
      <groupName>政治性问题</groupName>
      <ability>L2_Keyword</ability>
      <abilityName>固定表述</abilityName>
      <candidateList>
        <item>“后半篇文章”</item>
      </candidateList>
      <explain>注意检查当前固定表述标点是否使用规范。</explain>
      <paraID>14DE8A4F</paraID>
      <start>168</start>
      <end>175</end>
      <status>unmodified</status>
      <modifiedWord/>
      <trackRevisions>false</trackRevisions>
    </reviewItem>
    <reviewItem>
      <errorID>370e56c4-b93e-4b09-8b72-b74ddc675064</errorID>
      <errorWord>统筹发展与安全</errorWord>
      <group>L1_Political</group>
      <groupName>政治性问题</groupName>
      <ability>L2_Unpolitical</ability>
      <abilityName>政治敏感错误</abilityName>
      <candidateList>
        <item>统筹发展和安全</item>
      </candidateList>
      <explain/>
      <paraID>14DE8A4F</paraID>
      <start>237</start>
      <end>244</end>
      <status>unmodified</status>
      <modifiedWord/>
      <trackRevisions>false</trackRevisions>
    </reviewItem>
    <reviewItem>
      <errorID>b92101ad-119a-40fe-897e-41687b02d9da</errorID>
      <errorWord>，</errorWord>
      <group>L1_Word</group>
      <groupName>字词问题</groupName>
      <ability>L2_Typo</ability>
      <abilityName>字词错误</abilityName>
      <candidateList>
        <item>，以</item>
      </candidateList>
      <explain/>
      <paraID>27C45CC4</paraID>
      <start>96</start>
      <end>97</end>
      <status>unmodified</status>
      <modifiedWord/>
      <trackRevisions>false</trackRevisions>
    </reviewItem>
    <reviewItem>
      <errorID>1db590b8-5b0d-49ed-8cb8-e53224d93ec8</errorID>
      <errorWord>基本公共服务等值化</errorWord>
      <group>L1_Political</group>
      <groupName>政治性问题</groupName>
      <ability>L2_Keyword</ability>
      <abilityName>固定表述</abilityName>
      <candidateList>
        <item>基本公共服务均等化</item>
      </candidateList>
      <explain>词汇“基本公共服务均等化”在特定场景下为固定表述形式，请确认此处的“基本公共服务等值化”是否存在不当。</explain>
      <paraID>31A743C2</paraID>
      <start>90</start>
      <end>99</end>
      <status>unmodified</status>
      <modifiedWord/>
      <trackRevisions>false</trackRevisions>
    </reviewItem>
    <reviewItem>
      <errorID>77e43ce4-0920-4f28-bb40-f3602d2447ae</errorID>
      <errorWord>须</errorWord>
      <group>L1_Word</group>
      <groupName>字词问题</groupName>
      <ability>L2_Typo</ability>
      <abilityName>字词错误</abilityName>
      <candidateList>
        <item>需</item>
      </candidateList>
      <explain>存在发音相同字词的误用。</explain>
      <paraID> 60BAFBD</paraID>
      <start>15</start>
      <end>16</end>
      <status>modified</status>
      <modifiedWord>需</modifiedWord>
      <trackRevisions>false</trackRevisions>
    </reviewItem>
    <reviewItem>
      <errorID>e6503434-4a42-4cdf-bd81-7b620fb322cf</errorID>
      <errorWord>西南部</errorWord>
      <group>L1_Word</group>
      <groupName>字词问题</groupName>
      <ability>L2_Typo</ability>
      <abilityName>字词错误</abilityName>
      <candidateList>
        <item>南部</item>
      </candidateList>
      <explain/>
      <paraID>4F2C8CE1</paraID>
      <start>93</start>
      <end>95</end>
      <status>modified</status>
      <modifiedWord>南部</modifiedWord>
      <trackRevisions>false</trackRevisions>
    </reviewItem>
    <reviewItem>
      <errorID>63f333f5-15cc-415d-8eda-7b08f08abd92</errorID>
      <errorWord>种养殖</errorWord>
      <group>L1_Word</group>
      <groupName>字词问题</groupName>
      <ability>L2_Typo</ability>
      <abilityName>字词错误</abilityName>
      <candidateList>
        <item>种植养殖</item>
      </candidateList>
      <explain/>
      <paraID>229C4EA7</paraID>
      <start>8</start>
      <end>11</end>
      <status>unmodified</status>
      <modifiedWord/>
      <trackRevisions>false</trackRevisions>
    </reviewItem>
    <reviewItem>
      <errorID>97fcfa71-1488-431d-b531-04125408c67f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2CF131B5</paraID>
      <start>62</start>
      <end>63</end>
      <status>unmodified</status>
      <modifiedWord/>
      <trackRevisions>false</trackRevisions>
    </reviewItem>
    <reviewItem>
      <errorID>a7a8cbc2-12e7-48b0-b7e0-6c43aea432c2</errorID>
      <errorWord>规划化</errorWord>
      <group>L1_Political</group>
      <groupName>政治性问题</groupName>
      <ability>L2_Unpolitical</ability>
      <abilityName>政治敏感错误</abilityName>
      <candidateList/>
      <explain>有错</explain>
      <paraID>2D408BD0</paraID>
      <start>66</start>
      <end>69</end>
      <status>unmodified</status>
      <modifiedWord/>
      <trackRevisions>false</trackRevisions>
    </reviewItem>
    <reviewItem>
      <errorID>15d1c87a-a34d-4bf9-8f07-940eb9efdeca</errorID>
      <errorWord>最大程度满足</errorWord>
      <group>L1_Word</group>
      <groupName>字词问题</groupName>
      <ability>L2_Typo</ability>
      <abilityName>字词错误</abilityName>
      <candidateList>
        <item>最大限度满足</item>
      </candidateList>
      <explain/>
      <paraID>35016721</paraID>
      <start>47</start>
      <end>53</end>
      <status>unmodified</status>
      <modifiedWord/>
      <trackRevisions>false</trackRevisions>
    </reviewItem>
    <reviewItem>
      <errorID>0fdf7b6d-be1a-4347-87fb-51c1ace38e54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19C83EFC</paraID>
      <start>85</start>
      <end>86</end>
      <status>unmodified</status>
      <modifiedWord/>
      <trackRevisions>false</trackRevisions>
    </reviewItem>
    <reviewItem>
      <errorID>779d87c2-8fb7-4b8a-ba0e-c7b070762141</errorID>
      <errorWord>》</errorWord>
      <group>L1_Word</group>
      <groupName>字词问题</groupName>
      <ability>L2_Typo</ability>
      <abilityName>字词错误</abilityName>
      <candidateList>
        <item>》和</item>
      </candidateList>
      <explain/>
      <paraID>19C83EFC</paraID>
      <start>92</start>
      <end>93</end>
      <status>unmodified</status>
      <modifiedWord/>
      <trackRevisions>false</trackRevisions>
    </reviewItem>
    <reviewItem>
      <errorID>a60b1835-aa3b-4b51-9915-0eb8208cb552</errorID>
      <errorWord>个</errorWord>
      <group>L1_Knowledge</group>
      <groupName>知识性问题</groupName>
      <ability>L2_Knowledge</ability>
      <abilityName>其他知识</abilityName>
      <candidateList>
        <item>座</item>
      </candidateList>
      <explain>请检查“个”是否为量词使用错误，建议修改为“座”。</explain>
      <paraID>27BEFAB7</paraID>
      <start>49</start>
      <end>50</end>
      <status>unmodified</status>
      <modifiedWord/>
      <trackRevisions>false</trackRevisions>
    </reviewItem>
    <reviewItem>
      <errorID>56eb336f-2a37-4305-a2a6-cb1a4b28311c</errorID>
      <errorWord>(</errorWord>
      <group>L1_Format</group>
      <groupName>格式问题</groupName>
      <ability>L2_HalfPunc</ability>
      <abilityName>全半角检查</abilityName>
      <candidateList>
        <item>（</item>
      </candidateList>
      <explain>文本全半角错误。</explain>
      <paraID>137EB137</paraID>
      <start>13</start>
      <end>14</end>
      <status>unmodified</status>
      <modifiedWord/>
      <trackRevisions>false</trackRevisions>
    </reviewItem>
    <reviewItem>
      <errorID>79b9a505-b934-40ae-90d9-1556f0a2410b</errorID>
      <errorWord>)</errorWord>
      <group>L1_Format</group>
      <groupName>格式问题</groupName>
      <ability>L2_HalfPunc</ability>
      <abilityName>全半角检查</abilityName>
      <candidateList>
        <item>）</item>
      </candidateList>
      <explain>文本全半角错误。</explain>
      <paraID>137EB137</paraID>
      <start>26</start>
      <end>27</end>
      <status>unmodified</status>
      <modifiedWord/>
      <trackRevisions>false</trackRevisions>
    </reviewItem>
    <reviewItem>
      <errorID>03a02ae5-1ca5-477c-ada1-7350a8f87f6a</errorID>
      <errorWord>(</errorWord>
      <group>L1_Format</group>
      <groupName>格式问题</groupName>
      <ability>L2_HalfPunc</ability>
      <abilityName>全半角检查</abilityName>
      <candidateList>
        <item>（</item>
      </candidateList>
      <explain>文本全半角错误。</explain>
      <paraID>137EB137</paraID>
      <start>101</start>
      <end>102</end>
      <status>unmodified</status>
      <modifiedWord/>
      <trackRevisions>false</trackRevisions>
    </reviewItem>
    <reviewItem>
      <errorID>1c9c868c-220a-4fbb-acdf-8b173078ecc2</errorID>
      <errorWord>(</errorWord>
      <group>L1_Punc</group>
      <groupName>标点问题</groupName>
      <ability>L2_Punc</ability>
      <abilityName>标点符号检查</abilityName>
      <candidateList/>
      <explain>同一形式括号套用。</explain>
      <paraID>137EB137</paraID>
      <start>114</start>
      <end>115</end>
      <status>unmodified</status>
      <modifiedWord/>
      <trackRevisions>false</trackRevisions>
    </reviewItem>
    <reviewItem>
      <errorID>2a24606f-7191-4647-98e6-bdb7f59d534e</errorID>
      <errorWord>)</errorWord>
      <group>L1_Punc</group>
      <groupName>标点问题</groupName>
      <ability>L2_Punc</ability>
      <abilityName>标点符号检查</abilityName>
      <candidateList/>
      <explain>同一形式括号套用。</explain>
      <paraID>137EB137</paraID>
      <start>121</start>
      <end>122</end>
      <status>unmodified</status>
      <modifiedWord/>
      <trackRevisions>false</trackRevisions>
    </reviewItem>
    <reviewItem>
      <errorID>af0ac286-a887-460b-b9a3-e8cefc2b9223</errorID>
      <errorWord>(</errorWord>
      <group>L1_Format</group>
      <groupName>格式问题</groupName>
      <ability>L2_HalfPunc</ability>
      <abilityName>全半角检查</abilityName>
      <candidateList>
        <item>（</item>
      </candidateList>
      <explain>文本全半角错误。</explain>
      <paraID>35281E61</paraID>
      <start>81</start>
      <end>82</end>
      <status>unmodified</status>
      <modifiedWord/>
      <trackRevisions>false</trackRevisions>
    </reviewItem>
    <reviewItem>
      <errorID>db0bcd2b-ecdb-446c-8567-6ec7b8fda7a0</errorID>
      <errorWord>)</errorWord>
      <group>L1_Format</group>
      <groupName>格式问题</groupName>
      <ability>L2_HalfPunc</ability>
      <abilityName>全半角检查</abilityName>
      <candidateList>
        <item>）</item>
      </candidateList>
      <explain>文本全半角错误。</explain>
      <paraID>35281E61</paraID>
      <start>83</start>
      <end>84</end>
      <status>unmodified</status>
      <modifiedWord/>
      <trackRevisions>false</trackRevisions>
    </reviewItem>
    <reviewItem>
      <errorID>b76072c2-6977-4d6c-bc25-bbe1380777a4</errorID>
      <errorWord>地址灾害</errorWord>
      <group>L1_Word</group>
      <groupName>字词问题</groupName>
      <ability>L2_Typo</ability>
      <abilityName>字词错误</abilityName>
      <candidateList>
        <item>地质灾害</item>
      </candidateList>
      <explain/>
      <paraID>504BA0DC</paraID>
      <start>25</start>
      <end>29</end>
      <status>modified</status>
      <modifiedWord>地质灾害</modifiedWord>
      <trackRevisions>false</trackRevisions>
    </reviewItem>
    <reviewItem>
      <errorID>7d252c92-3129-4b1f-86cd-670cbc79cb39</errorID>
      <errorWord>集体经营性用地</errorWord>
      <group>L1_Word</group>
      <groupName>字词问题</groupName>
      <ability>L2_Typo</ability>
      <abilityName>字词错误</abilityName>
      <candidateList>
        <item>集体经营性建设用地</item>
      </candidateList>
      <explain/>
      <paraID>268CDF46</paraID>
      <start>77</start>
      <end>84</end>
      <status>unmodified</status>
      <modifiedWord/>
      <trackRevisions>false</trackRevisions>
    </reviewItem>
    <reviewItem>
      <errorID>e19b05a5-7ca3-4846-bf6c-bbb8bad4c199</errorID>
      <errorWord>市场主题</errorWord>
      <group>L1_Knowledge</group>
      <groupName>知识性问题</groupName>
      <ability>L2_Term</ability>
      <abilityName>专业术语</abilityName>
      <candidateList>
        <item>市场主体</item>
      </candidateList>
      <explain/>
      <paraID>46E6B104</paraID>
      <start>43</start>
      <end>47</end>
      <status>modified</status>
      <modifiedWord>市场主体</modifiedWord>
      <trackRevisions>false</trackRevisions>
    </reviewItem>
    <reviewItem>
      <errorID>eaea3722-1554-4e08-aaee-12c833404428</errorID>
      <errorWord>“三权分置”</errorWord>
      <group>L1_Word</group>
      <groupName>字词问题</groupName>
      <ability>L2_Typo</ability>
      <abilityName>字词错误</abilityName>
      <candidateList>
        <item>“三权”分置</item>
      </candidateList>
      <explain/>
      <paraID>608CEF6A</paraID>
      <start>22</start>
      <end>28</end>
      <status>unmodified</status>
      <modifiedWord/>
      <trackRevisions>false</trackRevisions>
    </reviewItem>
    <reviewItem>
      <errorID>515010de-0414-462d-9ea2-37883d8f3143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45D3A611</paraID>
      <start>27</start>
      <end>28</end>
      <status>unmodified</status>
      <modifiedWord/>
      <trackRevisions>false</trackRevisions>
    </reviewItem>
    <reviewItem>
      <errorID>17e0c8d3-9e6d-4f2a-8e13-6a3df368527d</errorID>
      <errorWord>成</errorWord>
      <group>L1_Word</group>
      <groupName>字词问题</groupName>
      <ability>L2_Typo</ability>
      <abilityName>字词错误</abilityName>
      <candidateList>
        <item>成的</item>
      </candidateList>
      <explain/>
      <paraID>45D3A611</paraID>
      <start>80</start>
      <end>81</end>
      <status>unmodified</status>
      <modifiedWord/>
      <trackRevisions>false</trackRevisions>
    </reviewItem>
    <reviewItem>
      <errorID>f745daf9-17e0-4c15-a5e6-bbc0168427ae</errorID>
      <errorWord>“后半篇”文章</errorWord>
      <group>L1_Political</group>
      <groupName>政治性问题</groupName>
      <ability>L2_Keyword</ability>
      <abilityName>固定表述</abilityName>
      <candidateList>
        <item>“后半篇文章”</item>
      </candidateList>
      <explain>注意检查当前固定表述标点是否使用规范。</explain>
      <paraID>55A87070</paraID>
      <start>21</start>
      <end>28</end>
      <status>unmodified</status>
      <modifiedWord/>
      <trackRevisions>false</trackRevisions>
    </reviewItem>
  </reviewItems>
  <config/>
</contractReview>
</file>

<file path=customXml/itemProps1.xml><?xml version="1.0" encoding="utf-8"?>
<ds:datastoreItem xmlns:ds="http://schemas.openxmlformats.org/officeDocument/2006/customXml" ds:itemID="{893c3e38-b114-40fe-bd82-d907ca429953}">
  <ds:schemaRefs/>
</ds:datastoreItem>
</file>

<file path=docProps/app.xml><?xml version="1.0" encoding="utf-8"?>
<Properties xmlns="http://schemas.openxmlformats.org/officeDocument/2006/extended-properties" xmlns:vt="http://schemas.openxmlformats.org/officeDocument/2006/docPropsVTypes">
  <Pages>10</Pages>
  <Words>2418</Words>
  <Characters>2614</Characters>
  <TotalTime>2</TotalTime>
  <ScaleCrop>false</ScaleCrop>
  <LinksUpToDate>false</LinksUpToDate>
  <CharactersWithSpaces>2615</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2025-10-11T18:16:00Z</dcterms:created>
  <dc:creator>微软用户</dc:creator>
  <cp:lastModifiedBy>Just Do It</cp:lastModifiedBy>
  <dcterms:modified xsi:type="dcterms:W3CDTF">2025-12-16T09:40:29Z</dcterms:modified>
  <dc:title>四川省攀枝花市丽攀高速公路瓜子坪和高粱坪出入口控制性详细规划及城市设计简介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2025-11-23T19:17:08Z</vt:filetime>
  </property>
  <property fmtid="{D5CDD505-2E9C-101B-9397-08002B2CF9AE}" pid="4" name="KSOProductBuildVer">
    <vt:lpwstr>2052-12.1.0.18608</vt:lpwstr>
  </property>
  <property fmtid="{D5CDD505-2E9C-101B-9397-08002B2CF9AE}" pid="5" name="ICV">
    <vt:lpwstr>B1200F37B2A64E7D875BB656A963133F_13</vt:lpwstr>
  </property>
  <property fmtid="{D5CDD505-2E9C-101B-9397-08002B2CF9AE}" pid="6" name="KSOTemplateDocerSaveRecord">
    <vt:lpwstr>eyJoZGlkIjoiNjE5ODY0ZWM5NmUwOGVmNWUxMDk3ZTQ2MzNjMDY3MTEiLCJ1c2VySWQiOiIxMTM1MDk3NjM5In0=</vt:lpwstr>
  </property>
</Properties>
</file>