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imes New Roman" w:hAnsi="Times New Roman" w:eastAsia="方正小标宋简体" w:cs="Times New Roman"/>
          <w:color w:val="auto"/>
          <w:kern w:val="2"/>
          <w:sz w:val="72"/>
          <w:szCs w:val="72"/>
          <w:highlight w:val="none"/>
          <w:lang w:val="en-US" w:eastAsia="zh-CN" w:bidi="ar-SA"/>
        </w:rPr>
      </w:pPr>
      <w:bookmarkStart w:id="0" w:name="_Toc15396475"/>
      <w:bookmarkStart w:id="1" w:name="_Toc15396597"/>
      <w:bookmarkStart w:id="2" w:name="_Toc15377193"/>
      <w:bookmarkStart w:id="3" w:name="_Toc15377425"/>
      <w:bookmarkStart w:id="4" w:name="_Toc15378441"/>
      <w:bookmarkStart w:id="5" w:name="_Toc15306267"/>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市级单位</w:t>
      </w:r>
      <w:r>
        <w:rPr>
          <w:rFonts w:hint="eastAsia" w:ascii="Times New Roman" w:hAnsi="Times New Roman" w:eastAsia="方正小标宋简体" w:cs="Times New Roman"/>
          <w:color w:val="auto"/>
          <w:kern w:val="2"/>
          <w:sz w:val="44"/>
          <w:szCs w:val="44"/>
          <w:highlight w:val="none"/>
          <w:lang w:val="en-US" w:eastAsia="zh-CN" w:bidi="ar-SA"/>
        </w:rPr>
        <w:t>决算</w:t>
      </w: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公开文字说明</w:t>
      </w:r>
    </w:p>
    <w:p>
      <w:pPr>
        <w:spacing w:line="600" w:lineRule="exact"/>
        <w:jc w:val="center"/>
        <w:outlineLvl w:val="0"/>
        <w:rPr>
          <w:rFonts w:ascii="Times New Roman" w:hAnsi="Times New Roman" w:eastAsia="方正小标宋简体"/>
          <w:color w:val="auto"/>
          <w:sz w:val="72"/>
          <w:szCs w:val="72"/>
          <w:highlight w:val="none"/>
        </w:rPr>
      </w:pPr>
    </w:p>
    <w:p>
      <w:pPr>
        <w:pStyle w:val="1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rPr>
          <w:rFonts w:ascii="Times New Roman" w:hAnsi="Times New Roman"/>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96476"/>
      <w:bookmarkStart w:id="7" w:name="_Toc15377426"/>
      <w:bookmarkStart w:id="8" w:name="_Toc15378442"/>
      <w:bookmarkStart w:id="9" w:name="_Toc15377194"/>
      <w:bookmarkStart w:id="10" w:name="_Toc15396598"/>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hAnsi="Times New Roman" w:eastAsia="方正小标宋简体" w:cs="Times New Roman"/>
          <w:color w:val="auto"/>
          <w:kern w:val="2"/>
          <w:sz w:val="44"/>
          <w:szCs w:val="44"/>
          <w:highlight w:val="none"/>
          <w:lang w:val="en-US" w:eastAsia="zh-CN" w:bidi="ar-SA"/>
        </w:rPr>
        <w:t>攀枝花市地方志编纂中心单位决算</w:t>
      </w:r>
      <w:bookmarkEnd w:id="6"/>
      <w:bookmarkEnd w:id="7"/>
      <w:bookmarkEnd w:id="8"/>
      <w:bookmarkEnd w:id="9"/>
      <w:bookmarkEnd w:id="10"/>
      <w:bookmarkEnd w:id="11"/>
    </w:p>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17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lang w:eastAsia="zh-CN"/>
        </w:rPr>
        <w:t>职责</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4</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决算情况说明</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6</w:t>
      </w:r>
      <w:bookmarkStart w:id="67" w:name="_GoBack"/>
      <w:bookmarkEnd w:id="67"/>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ascii="Times New Roman" w:hAnsi="Times New Roman" w:eastAsia="黑体" w:cs="黑体"/>
          <w:color w:val="auto"/>
          <w:sz w:val="32"/>
          <w:szCs w:val="32"/>
          <w:highlight w:val="none"/>
        </w:rPr>
        <w:tab/>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ascii="Times New Roman" w:hAnsi="Times New Roman" w:eastAsia="黑体" w:cs="黑体"/>
          <w:color w:val="auto"/>
          <w:sz w:val="32"/>
          <w:szCs w:val="32"/>
          <w:highlight w:val="none"/>
        </w:rPr>
        <w:tab/>
      </w:r>
      <w:r>
        <w:rPr>
          <w:rFonts w:hint="eastAsia" w:eastAsia="黑体" w:cs="黑体"/>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ascii="Times New Roman" w:hAnsi="Times New Roman" w:eastAsia="黑体" w:cs="黑体"/>
          <w:color w:val="auto"/>
          <w:sz w:val="32"/>
          <w:szCs w:val="32"/>
          <w:highlight w:val="none"/>
        </w:rPr>
        <w:tab/>
      </w:r>
      <w:r>
        <w:rPr>
          <w:rFonts w:hint="eastAsia" w:eastAsia="黑体" w:cs="黑体"/>
          <w:color w:val="auto"/>
          <w:sz w:val="32"/>
          <w:szCs w:val="32"/>
          <w:highlight w:val="none"/>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ascii="Times New Roman" w:hAnsi="Times New Roman" w:eastAsia="黑体" w:cs="黑体"/>
          <w:color w:val="auto"/>
          <w:sz w:val="32"/>
          <w:szCs w:val="32"/>
          <w:highlight w:val="none"/>
        </w:rPr>
        <w:tab/>
      </w:r>
      <w:r>
        <w:rPr>
          <w:rFonts w:hint="eastAsia" w:eastAsia="黑体" w:cs="黑体"/>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ascii="Times New Roman" w:hAnsi="Times New Roman" w:eastAsia="黑体" w:cs="黑体"/>
          <w:color w:val="auto"/>
          <w:sz w:val="32"/>
          <w:szCs w:val="32"/>
          <w:highlight w:val="none"/>
        </w:rPr>
        <w:tab/>
      </w:r>
      <w:r>
        <w:rPr>
          <w:rFonts w:hint="eastAsia" w:eastAsia="黑体" w:cs="黑体"/>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ascii="Times New Roman" w:hAnsi="Times New Roman" w:eastAsia="黑体" w:cs="黑体"/>
          <w:color w:val="auto"/>
          <w:sz w:val="32"/>
          <w:szCs w:val="32"/>
          <w:highlight w:val="none"/>
        </w:rPr>
        <w:tab/>
      </w:r>
      <w:r>
        <w:rPr>
          <w:rFonts w:hint="eastAsia" w:eastAsia="黑体" w:cs="黑体"/>
          <w:color w:val="auto"/>
          <w:sz w:val="32"/>
          <w:szCs w:val="32"/>
          <w:highlight w:val="none"/>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ascii="Times New Roman" w:hAnsi="Times New Roman" w:eastAsia="黑体" w:cs="黑体"/>
          <w:color w:val="auto"/>
          <w:sz w:val="32"/>
          <w:szCs w:val="32"/>
          <w:highlight w:val="none"/>
        </w:rPr>
        <w:tab/>
      </w:r>
      <w:r>
        <w:rPr>
          <w:rFonts w:hint="eastAsia" w:eastAsia="黑体" w:cs="黑体"/>
          <w:color w:val="auto"/>
          <w:sz w:val="32"/>
          <w:szCs w:val="32"/>
          <w:highlight w:val="none"/>
          <w:lang w:val="en-US" w:eastAsia="zh-CN"/>
        </w:rPr>
        <w:t>14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ascii="Times New Roman" w:hAnsi="Times New Roman" w:eastAsia="黑体" w:cs="黑体"/>
          <w:color w:val="auto"/>
          <w:sz w:val="32"/>
          <w:szCs w:val="32"/>
          <w:highlight w:val="none"/>
        </w:rPr>
        <w:tab/>
      </w:r>
      <w:r>
        <w:rPr>
          <w:rFonts w:hint="eastAsia" w:eastAsia="黑体" w:cs="黑体"/>
          <w:color w:val="auto"/>
          <w:sz w:val="32"/>
          <w:szCs w:val="32"/>
          <w:highlight w:val="none"/>
          <w:lang w:val="en-US" w:eastAsia="zh-CN"/>
        </w:rPr>
        <w:t>14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ascii="Times New Roman" w:hAnsi="Times New Roman" w:eastAsia="黑体" w:cs="黑体"/>
          <w:color w:val="auto"/>
          <w:sz w:val="32"/>
          <w:szCs w:val="32"/>
          <w:highlight w:val="none"/>
        </w:rPr>
        <w:tab/>
      </w:r>
      <w:r>
        <w:rPr>
          <w:rFonts w:hint="eastAsia" w:eastAsia="黑体" w:cs="黑体"/>
          <w:color w:val="auto"/>
          <w:sz w:val="32"/>
          <w:szCs w:val="32"/>
          <w:highlight w:val="none"/>
          <w:lang w:val="en-US" w:eastAsia="zh-CN"/>
        </w:rPr>
        <w:t>14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黑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ascii="Times New Roman" w:hAnsi="Times New Roman" w:eastAsia="黑体" w:cs="黑体"/>
          <w:color w:val="auto"/>
          <w:sz w:val="32"/>
          <w:szCs w:val="32"/>
          <w:highlight w:val="none"/>
        </w:rPr>
        <w:tab/>
      </w:r>
      <w:r>
        <w:rPr>
          <w:rFonts w:hint="eastAsia" w:eastAsia="黑体" w:cs="黑体"/>
          <w:color w:val="auto"/>
          <w:sz w:val="32"/>
          <w:szCs w:val="32"/>
          <w:highlight w:val="none"/>
          <w:lang w:val="en-US" w:eastAsia="zh-CN"/>
        </w:rPr>
        <w:t>14</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15</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19</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20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77196"/>
      <w:bookmarkStart w:id="13" w:name="_Toc15396599"/>
      <w:r>
        <w:rPr>
          <w:rFonts w:hint="eastAsia" w:ascii="Times New Roman" w:hAnsi="Times New Roman" w:eastAsia="仿宋_GB2312" w:cs="仿宋_GB2312"/>
          <w:b/>
          <w:color w:val="auto"/>
          <w:sz w:val="32"/>
          <w:szCs w:val="32"/>
          <w:highlight w:val="none"/>
        </w:rPr>
        <w:br w:type="page"/>
      </w:r>
    </w:p>
    <w:p>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eastAsia="方正小标宋简体" w:cs="方正小标宋简体"/>
          <w:b w:val="0"/>
          <w:bCs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12"/>
      <w:bookmarkEnd w:id="13"/>
    </w:p>
    <w:p>
      <w:pPr>
        <w:widowControl/>
        <w:jc w:val="left"/>
        <w:rPr>
          <w:rFonts w:ascii="Times New Roman" w:hAnsi="Times New Roman" w:eastAsia="黑体"/>
          <w:color w:val="auto"/>
          <w:sz w:val="32"/>
          <w:szCs w:val="32"/>
          <w:highlight w:val="none"/>
        </w:rPr>
      </w:pPr>
    </w:p>
    <w:p>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单位职责</w:t>
      </w:r>
    </w:p>
    <w:p>
      <w:pPr>
        <w:ind w:firstLine="640" w:firstLineChars="200"/>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主要负责编修地方志、年鉴。负责组织编辑、出版、发行《攀枝花市志》《攀枝花年鉴》；负责指导、督促县区志、部门志、专业志的编修，并审查验收；负责组织编辑、出版、发行《攀枝花史志》杂志。</w:t>
      </w:r>
    </w:p>
    <w:p>
      <w:pPr>
        <w:numPr>
          <w:ilvl w:val="0"/>
          <w:numId w:val="0"/>
        </w:numPr>
        <w:rPr>
          <w:rFonts w:hint="default"/>
          <w:lang w:val="en-US" w:eastAsia="zh-CN"/>
        </w:rPr>
      </w:pPr>
    </w:p>
    <w:p>
      <w:pPr>
        <w:pStyle w:val="4"/>
        <w:rPr>
          <w:rStyle w:val="29"/>
          <w:rFonts w:ascii="Times New Roman" w:hAnsi="Times New Roman"/>
          <w:b w:val="0"/>
          <w:bCs w:val="0"/>
          <w:color w:val="auto"/>
          <w:highlight w:val="none"/>
        </w:rPr>
      </w:pPr>
      <w:bookmarkStart w:id="14" w:name="_Toc15377200"/>
      <w:bookmarkStart w:id="15" w:name="_Toc1539660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4"/>
      <w:bookmarkEnd w:id="15"/>
    </w:p>
    <w:p>
      <w:pPr>
        <w:ind w:firstLine="800" w:firstLineChars="25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四川省</w:t>
      </w:r>
      <w:r>
        <w:rPr>
          <w:rFonts w:hint="eastAsia" w:ascii="仿宋_GB2312" w:hAnsi="仿宋_GB2312" w:eastAsia="仿宋_GB2312" w:cs="仿宋_GB2312"/>
          <w:color w:val="auto"/>
          <w:kern w:val="2"/>
          <w:sz w:val="32"/>
          <w:szCs w:val="32"/>
          <w:highlight w:val="none"/>
          <w:lang w:val="en-US" w:eastAsia="zh-CN" w:bidi="ar-SA"/>
        </w:rPr>
        <w:t>攀枝花市地方志编纂中心为攀枝花市政府办下属二级预算单位，无下属单位。本中心为参照公务员法管理事业单位，独立编制机构数1个；独立核算机构数1个，本年度无变化。</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16" w:name="_Toc15396602"/>
      <w:bookmarkStart w:id="17"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6"/>
      <w:bookmarkEnd w:id="17"/>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8" w:name="_Toc15377205"/>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8"/>
      <w:bookmarkEnd w:id="19"/>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288.23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w:t>
      </w:r>
      <w:r>
        <w:rPr>
          <w:rFonts w:hint="eastAsia" w:eastAsia="仿宋_GB2312" w:cs="仿宋_GB2312"/>
          <w:color w:val="auto"/>
          <w:sz w:val="32"/>
          <w:szCs w:val="32"/>
          <w:highlight w:val="none"/>
          <w:lang w:eastAsia="zh-CN"/>
        </w:rPr>
        <w:t>增加</w:t>
      </w:r>
      <w:r>
        <w:rPr>
          <w:rFonts w:hint="eastAsia" w:eastAsia="仿宋_GB2312" w:cs="仿宋_GB2312"/>
          <w:color w:val="auto"/>
          <w:sz w:val="32"/>
          <w:szCs w:val="32"/>
          <w:highlight w:val="none"/>
          <w:lang w:val="en-US" w:eastAsia="zh-CN"/>
        </w:rPr>
        <w:t>12.31</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4.46</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本年度项目经费支出增加。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drawing>
          <wp:inline distT="0" distB="0" distL="114300" distR="114300">
            <wp:extent cx="4572000" cy="30861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77206"/>
      <w:bookmarkStart w:id="21" w:name="_Toc15396604"/>
      <w:r>
        <w:rPr>
          <w:rFonts w:hint="eastAsia" w:ascii="Times New Roman" w:hAnsi="Times New Roman" w:eastAsia="黑体"/>
          <w:color w:val="auto"/>
          <w:sz w:val="32"/>
          <w:szCs w:val="32"/>
          <w:highlight w:val="none"/>
          <w:lang w:eastAsia="zh-CN"/>
        </w:rPr>
        <w:t>二、收入决算情况说明</w:t>
      </w:r>
      <w:bookmarkEnd w:id="20"/>
      <w:bookmarkEnd w:id="21"/>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288.23万元，其中：一般公共预算财政拨款收入288.23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525" w:firstLineChars="250"/>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pStyle w:val="2"/>
        <w:rPr>
          <w:rFonts w:hint="eastAsia"/>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22" w:name="_Toc15396605"/>
      <w:bookmarkStart w:id="2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22"/>
      <w:bookmarkEnd w:id="2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288.23</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273.75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94.97</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14.48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pPr>
        <w:pStyle w:val="2"/>
      </w:pPr>
      <w:r>
        <w:drawing>
          <wp:inline distT="0" distB="0" distL="114300" distR="114300">
            <wp:extent cx="4572000" cy="2743200"/>
            <wp:effectExtent l="4445" t="4445" r="14605" b="14605"/>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pStyle w:val="2"/>
        <w:rPr>
          <w:rFonts w:hint="eastAsia"/>
          <w:lang w:eastAsia="zh-CN"/>
        </w:rPr>
      </w:pP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29"/>
          <w:rFonts w:ascii="Times New Roman" w:hAnsi="Times New Roman" w:eastAsia="黑体"/>
          <w:b w:val="0"/>
          <w:color w:val="auto"/>
          <w:highlight w:val="none"/>
        </w:rPr>
      </w:pPr>
      <w:bookmarkStart w:id="24" w:name="_Toc15396606"/>
      <w:bookmarkStart w:id="25"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4"/>
      <w:bookmarkEnd w:id="2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288.23</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sz w:val="32"/>
          <w:szCs w:val="32"/>
          <w:highlight w:val="none"/>
          <w:lang w:val="en-US" w:eastAsia="zh-CN"/>
        </w:rPr>
        <w:t>12.31</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4.46</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本年度项目经费支出增加。</w:t>
      </w:r>
    </w:p>
    <w:p>
      <w:pPr>
        <w:pStyle w:val="2"/>
      </w:pPr>
      <w:r>
        <w:drawing>
          <wp:inline distT="0" distB="0" distL="114300" distR="114300">
            <wp:extent cx="4572000" cy="3257550"/>
            <wp:effectExtent l="4445" t="4445" r="14605" b="14605"/>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pStyle w:val="2"/>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29"/>
          <w:rFonts w:ascii="Times New Roman" w:hAnsi="Times New Roman" w:eastAsia="黑体"/>
          <w:b w:val="0"/>
          <w:color w:val="auto"/>
          <w:highlight w:val="none"/>
        </w:rPr>
      </w:pPr>
      <w:bookmarkStart w:id="26" w:name="_Toc15396607"/>
      <w:bookmarkStart w:id="27"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6"/>
      <w:bookmarkEnd w:id="27"/>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288.23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w:t>
      </w:r>
      <w:r>
        <w:rPr>
          <w:rFonts w:hint="eastAsia" w:ascii="Times New Roman" w:hAnsi="Times New Roman" w:eastAsia="仿宋_GB2312" w:cs="仿宋_GB2312"/>
          <w:color w:val="auto"/>
          <w:kern w:val="2"/>
          <w:sz w:val="32"/>
          <w:szCs w:val="32"/>
          <w:highlight w:val="none"/>
          <w:lang w:val="en-US" w:eastAsia="zh-CN" w:bidi="ar-SA"/>
        </w:rPr>
        <w:t>增加</w:t>
      </w:r>
      <w:r>
        <w:rPr>
          <w:rFonts w:hint="eastAsia" w:eastAsia="仿宋_GB2312" w:cs="仿宋_GB2312"/>
          <w:color w:val="auto"/>
          <w:sz w:val="32"/>
          <w:szCs w:val="32"/>
          <w:highlight w:val="none"/>
          <w:lang w:val="en-US" w:eastAsia="zh-CN"/>
        </w:rPr>
        <w:t>12.31</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4.46</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本年度项目经费支出增加。</w:t>
      </w:r>
    </w:p>
    <w:p>
      <w:pPr>
        <w:pStyle w:val="2"/>
        <w:rPr>
          <w:rFonts w:hint="eastAsia"/>
          <w:lang w:val="en-US" w:eastAsia="zh-CN"/>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288.23</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一般公共服务支出191.77万元，占66.53%；社会保障和就业支出63.63万元，占22.08%；卫生健康支出14.67万元，占5.09%；住房保障支出18.16万元，占6.3%。</w:t>
      </w:r>
    </w:p>
    <w:p>
      <w:pPr>
        <w:pStyle w:val="2"/>
        <w:rPr>
          <w:rFonts w:hint="eastAsia"/>
          <w:lang w:val="en-US" w:eastAsia="zh-CN"/>
        </w:rPr>
      </w:pPr>
    </w:p>
    <w:p>
      <w:pPr>
        <w:pStyle w:val="2"/>
        <w:rPr>
          <w:rFonts w:hint="eastAsia"/>
          <w:lang w:val="en-US" w:eastAsia="zh-CN"/>
        </w:rPr>
      </w:pPr>
      <w:r>
        <w:drawing>
          <wp:inline distT="0" distB="0" distL="114300" distR="114300">
            <wp:extent cx="4572000" cy="2743200"/>
            <wp:effectExtent l="4445" t="4445" r="14605" b="14605"/>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pStyle w:val="2"/>
        <w:rPr>
          <w:rFonts w:hint="eastAsia"/>
          <w:lang w:val="en-US" w:eastAsia="zh-CN"/>
        </w:rPr>
      </w:pP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0" w:name="_Toc15377212"/>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3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7213"/>
      <w:bookmarkStart w:id="32" w:name="_Toc15377444"/>
      <w:bookmarkStart w:id="33"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288.23</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1"/>
      <w:bookmarkEnd w:id="32"/>
      <w:bookmarkEnd w:id="3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一般公共服务（类）政府办公厅（室）及相关机构事务（款）行政运行（项）:支出决算为177.52万元，完成预算100%，决算数等于预算数。</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2.一般公共服务（类）政府办公厅（室）及相关机构事务（款）其他政府办公厅（室）及相关机构事务（项）: 支出决算为</w:t>
      </w:r>
      <w:r>
        <w:rPr>
          <w:rFonts w:hint="eastAsia" w:eastAsia="仿宋_GB2312" w:cs="仿宋_GB2312"/>
          <w:color w:val="auto"/>
          <w:kern w:val="2"/>
          <w:sz w:val="32"/>
          <w:szCs w:val="32"/>
          <w:highlight w:val="none"/>
          <w:lang w:val="en-US" w:eastAsia="zh-CN" w:bidi="ar-SA"/>
        </w:rPr>
        <w:t>14.48</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3.社会保障和就业（类）行政事业单位养老支出（款）行政单位离退休（项）:支出决算为</w:t>
      </w:r>
      <w:r>
        <w:rPr>
          <w:rFonts w:hint="eastAsia" w:eastAsia="仿宋_GB2312" w:cs="仿宋_GB2312"/>
          <w:color w:val="auto"/>
          <w:kern w:val="2"/>
          <w:sz w:val="32"/>
          <w:szCs w:val="32"/>
          <w:highlight w:val="none"/>
          <w:lang w:val="en-US" w:eastAsia="zh-CN" w:bidi="ar-SA"/>
        </w:rPr>
        <w:t>24.74</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社会保障和就业（类）行政事业单位养老支出（款）机关事业单位基本养老保险缴费支出（项）:支出决算为22.01万元，完成预算100%，决算数等于预算数。</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5.社</w:t>
      </w:r>
      <w:r>
        <w:rPr>
          <w:rFonts w:hint="default" w:ascii="Times New Roman" w:hAnsi="Times New Roman" w:eastAsia="仿宋_GB2312" w:cs="仿宋_GB2312"/>
          <w:color w:val="auto"/>
          <w:kern w:val="2"/>
          <w:sz w:val="32"/>
          <w:szCs w:val="32"/>
          <w:highlight w:val="none"/>
          <w:lang w:val="en-US" w:eastAsia="zh-CN" w:bidi="ar-SA"/>
        </w:rPr>
        <w:t>会保障和就业（类）抚恤（款）死亡抚恤（项）:支出决算为16.88万元，完成预算100%，决算数等于预算数。</w:t>
      </w:r>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color w:val="auto"/>
          <w:kern w:val="2"/>
          <w:sz w:val="32"/>
          <w:szCs w:val="32"/>
          <w:highlight w:val="none"/>
          <w:lang w:val="en-US" w:eastAsia="zh-CN" w:bidi="ar-SA"/>
        </w:rPr>
        <w:t>6.卫生健康（类）行政事业单位医疗（款）行政单位医疗（项）:支出决算为11.65万元，完成预算100%，决算数等于预算数。</w:t>
      </w:r>
    </w:p>
    <w:p>
      <w:pPr>
        <w:pStyle w:val="2"/>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7.卫生健康（类）行政事业单位医疗（款）公务员医疗补助（项）:支出决算为1.26万元，完成预算100%，决算数等于预算数。</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卫生健康（类）行政事业单位医疗（款）其他行政事业单位医疗（项）:支出决算为</w:t>
      </w:r>
      <w:r>
        <w:rPr>
          <w:rFonts w:hint="eastAsia" w:eastAsia="仿宋_GB2312" w:cs="仿宋_GB2312"/>
          <w:color w:val="auto"/>
          <w:kern w:val="2"/>
          <w:sz w:val="32"/>
          <w:szCs w:val="32"/>
          <w:highlight w:val="none"/>
          <w:lang w:val="en-US" w:eastAsia="zh-CN" w:bidi="ar-SA"/>
        </w:rPr>
        <w:t>1.57</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.卫生健康（类）其他卫生健康支出（款）其他卫生健康支出（项）:支出决算为</w:t>
      </w:r>
      <w:r>
        <w:rPr>
          <w:rFonts w:hint="eastAsia" w:eastAsia="仿宋_GB2312" w:cs="仿宋_GB2312"/>
          <w:color w:val="auto"/>
          <w:kern w:val="2"/>
          <w:sz w:val="32"/>
          <w:szCs w:val="32"/>
          <w:highlight w:val="none"/>
          <w:lang w:val="en-US" w:eastAsia="zh-CN" w:bidi="ar-SA"/>
        </w:rPr>
        <w:t>0.19</w:t>
      </w:r>
      <w:r>
        <w:rPr>
          <w:rFonts w:hint="eastAsia" w:ascii="Times New Roman" w:hAnsi="Times New Roman" w:eastAsia="仿宋_GB2312" w:cs="仿宋_GB2312"/>
          <w:color w:val="auto"/>
          <w:kern w:val="2"/>
          <w:sz w:val="32"/>
          <w:szCs w:val="32"/>
          <w:highlight w:val="none"/>
          <w:lang w:val="en-US" w:eastAsia="zh-CN" w:bidi="ar-SA"/>
        </w:rPr>
        <w:t>万元，完成预算100%，决算数等于预算数。</w:t>
      </w:r>
    </w:p>
    <w:p>
      <w:pPr>
        <w:pStyle w:val="2"/>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10.住房保障（类）住房改革支出（款）住房公积金（项）：支出决算为18.16万元，完成预算100%，决算数等于预算数。</w:t>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tabs>
          <w:tab w:val="right" w:pos="8306"/>
        </w:tabs>
        <w:spacing w:line="600" w:lineRule="exact"/>
        <w:ind w:firstLine="640"/>
        <w:outlineLvl w:val="1"/>
        <w:rPr>
          <w:rStyle w:val="29"/>
          <w:rFonts w:ascii="Times New Roman" w:hAnsi="Times New Roman"/>
          <w:color w:val="auto"/>
          <w:highlight w:val="none"/>
        </w:rPr>
      </w:pPr>
      <w:bookmarkStart w:id="34" w:name="_Toc15396608"/>
      <w:bookmarkStart w:id="35"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4"/>
      <w:bookmarkEnd w:id="35"/>
      <w:r>
        <w:rPr>
          <w:rStyle w:val="29"/>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273.75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5"/>
        <w:rPr>
          <w:rFonts w:hint="eastAsia" w:eastAsia="仿宋_GB2312"/>
          <w:sz w:val="32"/>
          <w:szCs w:val="32"/>
          <w:lang w:eastAsia="zh-CN"/>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250.01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基本工资51.9万元、津贴补贴42.81万元、奖金59.09万元、机关事业单位基本养老保险缴费22.01万元、职工基本医疗保险缴费11.65万元、公务员医疗补助缴费2.83万元、</w:t>
      </w:r>
      <w:r>
        <w:rPr>
          <w:rFonts w:hint="eastAsia" w:eastAsia="仿宋_GB2312"/>
          <w:sz w:val="32"/>
          <w:szCs w:val="32"/>
        </w:rPr>
        <w:t>其他社会保障缴费</w:t>
      </w:r>
      <w:r>
        <w:rPr>
          <w:rFonts w:hint="eastAsia" w:eastAsia="仿宋_GB2312"/>
          <w:sz w:val="32"/>
          <w:szCs w:val="32"/>
          <w:lang w:val="en-US" w:eastAsia="zh-CN"/>
        </w:rPr>
        <w:t>0.32</w:t>
      </w:r>
      <w:r>
        <w:rPr>
          <w:rFonts w:hint="eastAsia" w:eastAsia="仿宋_GB2312"/>
          <w:sz w:val="32"/>
          <w:szCs w:val="32"/>
        </w:rPr>
        <w:t>万元、住房公积金</w:t>
      </w:r>
      <w:r>
        <w:rPr>
          <w:rFonts w:hint="eastAsia" w:eastAsia="仿宋_GB2312"/>
          <w:sz w:val="32"/>
          <w:szCs w:val="32"/>
          <w:lang w:val="en-US" w:eastAsia="zh-CN"/>
        </w:rPr>
        <w:t>18.16</w:t>
      </w:r>
      <w:r>
        <w:rPr>
          <w:rFonts w:hint="eastAsia" w:eastAsia="仿宋_GB2312"/>
          <w:sz w:val="32"/>
          <w:szCs w:val="32"/>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23.74万元，主要包括：办公费1.84万元、印刷费12.48万元、水费0.25万元、邮电费3.88万元、差旅费1.75万元、培训费0.05万元、公务接待费0.23万元、工会经费2.98万元、福利费1.04万元、其他交通费10.16万元、其他商品和服务支出1.56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outlineLvl w:val="1"/>
        <w:rPr>
          <w:rStyle w:val="29"/>
          <w:rFonts w:ascii="Times New Roman" w:hAnsi="Times New Roman" w:eastAsia="黑体"/>
          <w:b w:val="0"/>
          <w:color w:val="auto"/>
          <w:highlight w:val="none"/>
        </w:rPr>
      </w:pPr>
      <w:bookmarkStart w:id="36" w:name="_Toc15377215"/>
      <w:bookmarkStart w:id="37" w:name="_Toc15396609"/>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6"/>
      <w:bookmarkEnd w:id="37"/>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0.23</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较上年减少</w:t>
      </w:r>
      <w:r>
        <w:rPr>
          <w:rFonts w:hint="eastAsia" w:eastAsia="仿宋_GB2312" w:cs="仿宋_GB2312"/>
          <w:color w:val="auto"/>
          <w:kern w:val="2"/>
          <w:sz w:val="32"/>
          <w:szCs w:val="32"/>
          <w:highlight w:val="none"/>
          <w:lang w:val="en-US" w:eastAsia="zh-CN" w:bidi="ar-SA"/>
        </w:rPr>
        <w:t>0.03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11.54</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 w:hAnsi="仿宋" w:eastAsia="仿宋"/>
          <w:color w:val="auto"/>
          <w:sz w:val="32"/>
          <w:szCs w:val="32"/>
          <w:highlight w:val="none"/>
        </w:rPr>
        <w:t>决算数与预算数持平。</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0.23</w:t>
      </w:r>
      <w:r>
        <w:rPr>
          <w:rFonts w:hint="eastAsia" w:ascii="仿宋_GB2312" w:hAnsi="仿宋_GB2312" w:eastAsia="仿宋_GB2312" w:cs="仿宋_GB2312"/>
          <w:color w:val="auto"/>
          <w:kern w:val="2"/>
          <w:sz w:val="32"/>
          <w:szCs w:val="32"/>
          <w:highlight w:val="none"/>
          <w:lang w:val="en-US" w:eastAsia="zh-CN" w:bidi="ar-SA"/>
        </w:rPr>
        <w:t>万元，占100%。具体情况如下：</w:t>
      </w:r>
    </w:p>
    <w:p>
      <w:pPr>
        <w:pStyle w:val="2"/>
      </w:pPr>
      <w:r>
        <w:drawing>
          <wp:inline distT="0" distB="0" distL="114300" distR="114300">
            <wp:extent cx="4819650" cy="2743200"/>
            <wp:effectExtent l="4445" t="4445" r="14605" b="14605"/>
            <wp:docPr id="18" name="图表 18"/>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pStyle w:val="2"/>
        <w:rPr>
          <w:rFonts w:hint="eastAsia"/>
          <w:lang w:val="en-US" w:eastAsia="zh-CN"/>
        </w:rPr>
      </w:pPr>
    </w:p>
    <w:p>
      <w:pPr>
        <w:spacing w:line="600" w:lineRule="exact"/>
        <w:ind w:firstLine="640"/>
        <w:rPr>
          <w:rFonts w:ascii="仿宋_GB2312" w:eastAsia="仿宋_GB2312"/>
          <w:b/>
          <w:color w:val="auto"/>
          <w:sz w:val="32"/>
          <w:szCs w:val="32"/>
          <w:highlight w:val="none"/>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w:t>
      </w:r>
      <w:r>
        <w:rPr>
          <w:rFonts w:hint="eastAsia" w:ascii="仿宋_GB2312" w:eastAsia="仿宋_GB2312"/>
          <w:sz w:val="32"/>
          <w:szCs w:val="32"/>
          <w:lang w:eastAsia="zh-CN"/>
        </w:rPr>
        <w:t>持平，</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无因公</w:t>
      </w:r>
      <w:r>
        <w:rPr>
          <w:rFonts w:hint="eastAsia" w:ascii="仿宋_GB2312" w:eastAsia="仿宋_GB2312"/>
          <w:color w:val="auto"/>
          <w:sz w:val="32"/>
          <w:szCs w:val="32"/>
          <w:highlight w:val="none"/>
        </w:rPr>
        <w:t>出国（境）</w:t>
      </w:r>
      <w:r>
        <w:rPr>
          <w:rFonts w:hint="eastAsia" w:ascii="仿宋_GB2312" w:eastAsia="仿宋_GB2312"/>
          <w:color w:val="auto"/>
          <w:sz w:val="32"/>
          <w:szCs w:val="32"/>
          <w:highlight w:val="none"/>
          <w:lang w:eastAsia="zh-CN"/>
        </w:rPr>
        <w:t>情况</w:t>
      </w:r>
      <w:r>
        <w:rPr>
          <w:rFonts w:hint="eastAsia" w:ascii="仿宋_GB2312" w:eastAsia="仿宋_GB2312"/>
          <w:sz w:val="32"/>
          <w:szCs w:val="32"/>
        </w:rPr>
        <w:t>。</w:t>
      </w:r>
    </w:p>
    <w:p>
      <w:pPr>
        <w:spacing w:line="600" w:lineRule="exact"/>
        <w:ind w:firstLine="640"/>
        <w:rPr>
          <w:rFonts w:ascii="仿宋_GB2312" w:eastAsia="仿宋_GB2312"/>
          <w:b/>
          <w:color w:val="auto"/>
          <w:sz w:val="32"/>
          <w:szCs w:val="32"/>
          <w:highlight w:val="none"/>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w:t>
      </w:r>
      <w:r>
        <w:rPr>
          <w:rFonts w:hint="eastAsia" w:ascii="仿宋_GB2312" w:eastAsia="仿宋_GB2312"/>
          <w:sz w:val="32"/>
          <w:szCs w:val="32"/>
          <w:lang w:eastAsia="zh-CN"/>
        </w:rPr>
        <w:t>持平</w:t>
      </w:r>
      <w:r>
        <w:rPr>
          <w:rFonts w:hint="eastAsia" w:ascii="仿宋_GB2312" w:eastAsia="仿宋_GB2312"/>
          <w:sz w:val="32"/>
          <w:szCs w:val="32"/>
        </w:rPr>
        <w:t>。主要原因是</w:t>
      </w:r>
      <w:r>
        <w:rPr>
          <w:rFonts w:hint="eastAsia" w:ascii="仿宋_GB2312" w:eastAsia="仿宋_GB2312"/>
          <w:color w:val="auto"/>
          <w:sz w:val="32"/>
          <w:szCs w:val="32"/>
          <w:highlight w:val="none"/>
          <w:lang w:eastAsia="zh-CN"/>
        </w:rPr>
        <w:t>单位无公务用车</w:t>
      </w:r>
      <w:r>
        <w:rPr>
          <w:rFonts w:hint="eastAsia" w:ascii="仿宋_GB2312" w:eastAsia="仿宋_GB2312"/>
          <w:sz w:val="32"/>
          <w:szCs w:val="32"/>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0.23万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0.03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11.54</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公务接待用餐费支出减少</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ascii="仿宋_GB2312" w:eastAsia="仿宋_GB2312"/>
          <w:color w:val="auto"/>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0.23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ascii="仿宋_GB2312" w:eastAsia="仿宋_GB2312"/>
          <w:color w:val="auto"/>
          <w:sz w:val="32"/>
          <w:szCs w:val="32"/>
          <w:highlight w:val="none"/>
          <w:lang w:eastAsia="zh-CN"/>
        </w:rPr>
        <w:t>公务接待</w:t>
      </w:r>
      <w:r>
        <w:rPr>
          <w:rFonts w:hint="eastAsia" w:ascii="仿宋_GB2312" w:eastAsia="仿宋_GB2312"/>
          <w:color w:val="auto"/>
          <w:sz w:val="32"/>
          <w:szCs w:val="32"/>
          <w:highlight w:val="none"/>
        </w:rPr>
        <w:t>用餐费等</w:t>
      </w:r>
      <w:r>
        <w:rPr>
          <w:rFonts w:hint="eastAsia" w:ascii="仿宋_GB2312" w:eastAsia="仿宋_GB2312"/>
          <w:color w:val="auto"/>
          <w:sz w:val="32"/>
          <w:szCs w:val="32"/>
          <w:highlight w:val="none"/>
          <w:lang w:eastAsia="zh-CN"/>
        </w:rPr>
        <w:t>、参观讲解费</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2</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15</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0.23</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ascii="仿宋_GB2312" w:eastAsia="仿宋_GB2312"/>
          <w:color w:val="auto"/>
          <w:sz w:val="32"/>
          <w:szCs w:val="32"/>
          <w:highlight w:val="none"/>
          <w:lang w:eastAsia="zh-CN"/>
        </w:rPr>
        <w:t>接待广元地方志办餐费</w:t>
      </w:r>
      <w:r>
        <w:rPr>
          <w:rFonts w:hint="eastAsia" w:ascii="仿宋_GB2312" w:eastAsia="仿宋_GB2312"/>
          <w:color w:val="auto"/>
          <w:sz w:val="32"/>
          <w:szCs w:val="32"/>
          <w:highlight w:val="none"/>
          <w:lang w:val="en-US" w:eastAsia="zh-CN"/>
        </w:rPr>
        <w:t>及参观讲解费0.09万元，接待省地方志办餐费0.14万元</w:t>
      </w:r>
      <w:r>
        <w:rPr>
          <w:rFonts w:hint="eastAsia" w:ascii="仿宋_GB2312" w:eastAsia="仿宋_GB2312"/>
          <w:color w:val="auto"/>
          <w:sz w:val="32"/>
          <w:szCs w:val="32"/>
          <w:highlight w:val="none"/>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0" w:name="_Toc15396610"/>
      <w:bookmarkStart w:id="41" w:name="_Toc15377218"/>
    </w:p>
    <w:p>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40"/>
      <w:bookmarkEnd w:id="4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w:t>
      </w:r>
      <w:r>
        <w:rPr>
          <w:rFonts w:hint="eastAsia" w:eastAsia="仿宋_GB2312" w:cs="仿宋_GB2312"/>
          <w:color w:val="auto"/>
          <w:kern w:val="2"/>
          <w:sz w:val="32"/>
          <w:szCs w:val="32"/>
          <w:highlight w:val="none"/>
          <w:lang w:val="en-US" w:eastAsia="zh-CN" w:bidi="ar-SA"/>
        </w:rPr>
        <w:t>与上年持平。</w:t>
      </w: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42" w:name="_Toc15396611"/>
      <w:bookmarkStart w:id="43"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42"/>
      <w:bookmarkEnd w:id="4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w:t>
      </w:r>
      <w:r>
        <w:rPr>
          <w:rFonts w:hint="eastAsia" w:eastAsia="仿宋_GB2312" w:cs="仿宋_GB2312"/>
          <w:color w:val="auto"/>
          <w:kern w:val="2"/>
          <w:sz w:val="32"/>
          <w:szCs w:val="32"/>
          <w:highlight w:val="none"/>
          <w:lang w:val="en-US" w:eastAsia="zh-CN" w:bidi="ar-SA"/>
        </w:rPr>
        <w:t>与上年持平。</w:t>
      </w: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44" w:name="_Toc15377221"/>
      <w:bookmarkStart w:id="45" w:name="_Toc1539661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4"/>
      <w:bookmarkEnd w:id="45"/>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四川省攀枝花市地方志编纂中心</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23.74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2.08</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9.6</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eastAsia="仿宋_GB2312"/>
          <w:color w:val="auto"/>
          <w:sz w:val="32"/>
          <w:szCs w:val="32"/>
          <w:highlight w:val="none"/>
          <w:lang w:eastAsia="zh-CN"/>
        </w:rPr>
        <w:t>单位公用支出增加。</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四川省攀枝花市地方志编纂中心</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四川省攀枝花市地方志编纂中心</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市地方志编纂中心</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ascii="仿宋_GB2312" w:hAnsi="Times New Roman" w:eastAsia="仿宋_GB2312" w:cs="Times New Roman"/>
          <w:color w:val="auto"/>
          <w:kern w:val="2"/>
          <w:sz w:val="32"/>
          <w:szCs w:val="32"/>
          <w:highlight w:val="none"/>
          <w:lang w:val="en-US" w:eastAsia="zh-CN" w:bidi="ar-SA"/>
        </w:rPr>
        <w:t>“年鉴及史志编纂出版经费”</w:t>
      </w:r>
      <w:r>
        <w:rPr>
          <w:rFonts w:hint="eastAsia" w:ascii="仿宋_GB2312" w:eastAsia="仿宋_GB2312" w:cs="Times New Roman"/>
          <w:color w:val="auto"/>
          <w:kern w:val="2"/>
          <w:sz w:val="32"/>
          <w:szCs w:val="32"/>
          <w:highlight w:val="none"/>
          <w:lang w:val="en-US" w:eastAsia="zh-CN" w:bidi="ar-SA"/>
        </w:rPr>
        <w:t>1</w:t>
      </w:r>
      <w:r>
        <w:rPr>
          <w:rFonts w:hint="eastAsia" w:ascii="仿宋_GB2312" w:hAnsi="Times New Roman" w:eastAsia="仿宋_GB2312" w:cs="Times New Roman"/>
          <w:color w:val="auto"/>
          <w:sz w:val="32"/>
          <w:szCs w:val="32"/>
          <w:highlight w:val="none"/>
          <w:lang w:val="en-US" w:eastAsia="zh-CN"/>
        </w:rPr>
        <w:t>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val="en-US" w:eastAsia="zh-CN"/>
        </w:rPr>
        <w:t>个项目开展绩效自评，绩效自评表详见第四部分附件。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77225"/>
      <w:bookmarkStart w:id="50"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4.其他收入：指单位取得的除上述收入以外的各项收入。</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一般公共服务（类）政府办公厅（室）及相关机构事务（款</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行政运行（项）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行政单位（包括实行公务员管理的事业单位）的基本支出</w:t>
      </w:r>
      <w:r>
        <w:rPr>
          <w:rFonts w:hint="eastAsia" w:ascii="仿宋_GB2312" w:eastAsia="仿宋_GB2312"/>
          <w:color w:val="auto"/>
          <w:sz w:val="32"/>
          <w:szCs w:val="32"/>
          <w:highlight w:val="none"/>
        </w:rPr>
        <w:t>。</w:t>
      </w:r>
    </w:p>
    <w:p>
      <w:pPr>
        <w:ind w:firstLine="640" w:firstLineChars="200"/>
        <w:rPr>
          <w:rFonts w:hint="eastAsia" w:ascii="仿宋_GB2312" w:eastAsia="仿宋_GB2312" w:cs="Times New Roman"/>
          <w:color w:val="auto"/>
          <w:sz w:val="32"/>
          <w:szCs w:val="32"/>
          <w:highlight w:val="none"/>
        </w:rPr>
      </w:pPr>
      <w:r>
        <w:rPr>
          <w:rFonts w:hint="eastAsia" w:ascii="仿宋_GB2312" w:eastAsia="仿宋_GB2312" w:cs="Times New Roman"/>
          <w:color w:val="auto"/>
          <w:sz w:val="32"/>
          <w:szCs w:val="32"/>
          <w:highlight w:val="none"/>
          <w:lang w:val="en-US" w:eastAsia="zh-CN"/>
        </w:rPr>
        <w:t>10</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rPr>
        <w:t>一般公共服务（类）政府办公厅（室）及相关机构事务（款）</w:t>
      </w:r>
      <w:r>
        <w:rPr>
          <w:rFonts w:hint="eastAsia" w:ascii="仿宋_GB2312" w:eastAsia="仿宋_GB2312" w:cs="Times New Roman"/>
          <w:color w:val="auto"/>
          <w:sz w:val="32"/>
          <w:szCs w:val="32"/>
          <w:highlight w:val="none"/>
          <w:lang w:eastAsia="zh-CN"/>
        </w:rPr>
        <w:t>其他政府办公厅（室）及相关机构事务</w:t>
      </w:r>
      <w:r>
        <w:rPr>
          <w:rFonts w:hint="eastAsia" w:ascii="仿宋_GB2312" w:eastAsia="仿宋_GB2312" w:cs="Times New Roman"/>
          <w:color w:val="auto"/>
          <w:sz w:val="32"/>
          <w:szCs w:val="32"/>
          <w:highlight w:val="none"/>
        </w:rPr>
        <w:t>（项）</w:t>
      </w:r>
      <w:r>
        <w:rPr>
          <w:rFonts w:ascii="仿宋_GB2312" w:eastAsia="仿宋_GB2312" w:cs="Times New Roman"/>
          <w:color w:val="auto"/>
          <w:sz w:val="32"/>
          <w:szCs w:val="32"/>
          <w:highlight w:val="none"/>
        </w:rPr>
        <w:t xml:space="preserve">: </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其他政府办公厅（室）及相关机构事务支出。</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s="Times New Roman"/>
          <w:color w:val="auto"/>
          <w:sz w:val="32"/>
          <w:szCs w:val="32"/>
          <w:highlight w:val="none"/>
          <w:lang w:val="en-US" w:eastAsia="zh-CN"/>
        </w:rPr>
        <w:t>11</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rPr>
        <w:t>社会保障和就业（类）</w:t>
      </w:r>
      <w:r>
        <w:rPr>
          <w:rFonts w:hint="eastAsia" w:ascii="仿宋_GB2312" w:eastAsia="仿宋_GB2312" w:cs="Times New Roman"/>
          <w:color w:val="auto"/>
          <w:sz w:val="32"/>
          <w:szCs w:val="32"/>
          <w:highlight w:val="none"/>
          <w:lang w:eastAsia="zh-CN"/>
        </w:rPr>
        <w:t>人力资源和社会保障管理事务</w:t>
      </w:r>
      <w:r>
        <w:rPr>
          <w:rFonts w:hint="eastAsia" w:ascii="仿宋_GB2312" w:eastAsia="仿宋_GB2312" w:cs="Times New Roman"/>
          <w:color w:val="auto"/>
          <w:sz w:val="32"/>
          <w:szCs w:val="32"/>
          <w:highlight w:val="none"/>
        </w:rPr>
        <w:t>（款）</w:t>
      </w:r>
      <w:r>
        <w:rPr>
          <w:rFonts w:hint="eastAsia" w:ascii="仿宋_GB2312" w:eastAsia="仿宋_GB2312" w:cs="Times New Roman"/>
          <w:color w:val="auto"/>
          <w:sz w:val="32"/>
          <w:szCs w:val="32"/>
          <w:highlight w:val="none"/>
          <w:lang w:eastAsia="zh-CN"/>
        </w:rPr>
        <w:t>其他人力资源和社会保障管理事务</w:t>
      </w:r>
      <w:r>
        <w:rPr>
          <w:rFonts w:hint="eastAsia" w:ascii="仿宋_GB2312" w:eastAsia="仿宋_GB2312" w:cs="Times New Roman"/>
          <w:color w:val="auto"/>
          <w:sz w:val="32"/>
          <w:szCs w:val="32"/>
          <w:highlight w:val="none"/>
        </w:rPr>
        <w:t>（项）</w:t>
      </w:r>
      <w:r>
        <w:rPr>
          <w:rFonts w:ascii="仿宋_GB2312" w:eastAsia="仿宋_GB2312" w:cs="Times New Roman"/>
          <w:color w:val="auto"/>
          <w:sz w:val="32"/>
          <w:szCs w:val="32"/>
          <w:highlight w:val="none"/>
        </w:rPr>
        <w:t>:</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其他用于人力资源和社会保障管理事务方面的支出。</w:t>
      </w:r>
    </w:p>
    <w:p>
      <w:pPr>
        <w:pStyle w:val="26"/>
        <w:snapToGrid w:val="0"/>
        <w:spacing w:line="353" w:lineRule="auto"/>
        <w:ind w:firstLine="640" w:firstLineChars="200"/>
        <w:rPr>
          <w:rFonts w:ascii="仿宋_GB2312" w:eastAsia="仿宋_GB2312"/>
          <w:color w:val="auto"/>
          <w:sz w:val="32"/>
          <w:szCs w:val="32"/>
          <w:highlight w:val="none"/>
        </w:rPr>
      </w:pPr>
      <w:r>
        <w:rPr>
          <w:rFonts w:hint="eastAsia" w:ascii="仿宋_GB2312" w:eastAsia="仿宋_GB2312" w:cs="Times New Roman"/>
          <w:color w:val="auto"/>
          <w:sz w:val="32"/>
          <w:szCs w:val="32"/>
          <w:highlight w:val="none"/>
          <w:lang w:val="en-US" w:eastAsia="zh-CN"/>
        </w:rPr>
        <w:t>12</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rPr>
        <w:t>社会保障和就业（类）行政事业单位养老支出（款）行政单位离退休（项）</w:t>
      </w:r>
      <w:r>
        <w:rPr>
          <w:rFonts w:ascii="仿宋_GB2312" w:eastAsia="仿宋_GB2312" w:cs="Times New Roman"/>
          <w:color w:val="auto"/>
          <w:sz w:val="32"/>
          <w:szCs w:val="32"/>
          <w:highlight w:val="none"/>
        </w:rPr>
        <w:t>:</w:t>
      </w:r>
      <w:r>
        <w:rPr>
          <w:rFonts w:hint="eastAsia" w:ascii="仿宋_GB2312" w:eastAsia="仿宋_GB2312"/>
          <w:color w:val="auto"/>
          <w:sz w:val="32"/>
          <w:szCs w:val="32"/>
          <w:highlight w:val="none"/>
          <w:lang w:eastAsia="zh-CN"/>
        </w:rPr>
        <w:t>指行政单位（包括实行公务员管理的事业单位）开支的离退休经费。</w:t>
      </w:r>
    </w:p>
    <w:p>
      <w:pPr>
        <w:ind w:firstLine="640" w:firstLineChars="200"/>
        <w:rPr>
          <w:rFonts w:hint="eastAsia" w:ascii="仿宋_GB2312" w:eastAsia="仿宋_GB2312" w:cs="Times New Roman"/>
          <w:color w:val="auto"/>
          <w:sz w:val="32"/>
          <w:szCs w:val="32"/>
          <w:highlight w:val="none"/>
        </w:rPr>
      </w:pPr>
      <w:r>
        <w:rPr>
          <w:rFonts w:hint="eastAsia" w:ascii="仿宋_GB2312" w:eastAsia="仿宋_GB2312" w:cs="Times New Roman"/>
          <w:color w:val="auto"/>
          <w:sz w:val="32"/>
          <w:szCs w:val="32"/>
          <w:highlight w:val="none"/>
          <w:lang w:val="en-US" w:eastAsia="zh-CN"/>
        </w:rPr>
        <w:t>13</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rPr>
        <w:t>社会保障和就业（类）行政事业单位养老支出（款）机关事业单位基本养老保险缴费支出（项）</w:t>
      </w:r>
      <w:r>
        <w:rPr>
          <w:rFonts w:ascii="仿宋_GB2312" w:eastAsia="仿宋_GB2312" w:cs="Times New Roman"/>
          <w:color w:val="auto"/>
          <w:sz w:val="32"/>
          <w:szCs w:val="32"/>
          <w:highlight w:val="none"/>
        </w:rPr>
        <w:t>:</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机关事业单位实施养老保险制度由单位缴纳的基本养老保险费支出。</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s="Times New Roman"/>
          <w:color w:val="auto"/>
          <w:sz w:val="32"/>
          <w:szCs w:val="32"/>
          <w:highlight w:val="none"/>
          <w:lang w:val="en-US" w:eastAsia="zh-CN"/>
        </w:rPr>
        <w:t>14</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rPr>
        <w:t>社会保障和就业（类）抚恤（款）死亡抚恤（项）</w:t>
      </w:r>
      <w:r>
        <w:rPr>
          <w:rFonts w:ascii="仿宋_GB2312" w:eastAsia="仿宋_GB2312" w:cs="Times New Roman"/>
          <w:color w:val="auto"/>
          <w:sz w:val="32"/>
          <w:szCs w:val="32"/>
          <w:highlight w:val="none"/>
        </w:rPr>
        <w:t>:</w:t>
      </w:r>
      <w:r>
        <w:rPr>
          <w:rFonts w:hint="eastAsia" w:ascii="仿宋_GB2312" w:eastAsia="仿宋_GB2312"/>
          <w:color w:val="auto"/>
          <w:sz w:val="32"/>
          <w:szCs w:val="32"/>
          <w:highlight w:val="none"/>
          <w:lang w:eastAsia="zh-CN"/>
        </w:rPr>
        <w:t>指按规定用于烈士和牺牲、病故人员家属的一次性和定期抚恤金、丧葬补助费以及烈士褒扬金。</w:t>
      </w:r>
    </w:p>
    <w:p>
      <w:pPr>
        <w:ind w:firstLine="640" w:firstLineChars="200"/>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val="en-US" w:eastAsia="zh-CN"/>
        </w:rPr>
        <w:t>15</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卫生健康</w:t>
      </w:r>
      <w:r>
        <w:rPr>
          <w:rFonts w:hint="eastAsia" w:ascii="仿宋_GB2312" w:eastAsia="仿宋_GB2312" w:cs="Times New Roman"/>
          <w:color w:val="auto"/>
          <w:sz w:val="32"/>
          <w:szCs w:val="32"/>
          <w:highlight w:val="none"/>
        </w:rPr>
        <w:t>（类）</w:t>
      </w:r>
      <w:r>
        <w:rPr>
          <w:rFonts w:hint="eastAsia" w:ascii="仿宋_GB2312" w:eastAsia="仿宋_GB2312" w:cs="Times New Roman"/>
          <w:color w:val="auto"/>
          <w:sz w:val="32"/>
          <w:szCs w:val="32"/>
          <w:highlight w:val="none"/>
          <w:lang w:eastAsia="zh-CN"/>
        </w:rPr>
        <w:t>行政事业单位医疗</w:t>
      </w:r>
      <w:r>
        <w:rPr>
          <w:rFonts w:hint="eastAsia" w:ascii="仿宋_GB2312" w:eastAsia="仿宋_GB2312" w:cs="Times New Roman"/>
          <w:color w:val="auto"/>
          <w:sz w:val="32"/>
          <w:szCs w:val="32"/>
          <w:highlight w:val="none"/>
        </w:rPr>
        <w:t>（款）行政</w:t>
      </w:r>
      <w:r>
        <w:rPr>
          <w:rFonts w:hint="eastAsia" w:ascii="仿宋_GB2312" w:eastAsia="仿宋_GB2312" w:cs="Times New Roman"/>
          <w:color w:val="auto"/>
          <w:sz w:val="32"/>
          <w:szCs w:val="32"/>
          <w:highlight w:val="none"/>
          <w:lang w:eastAsia="zh-CN"/>
        </w:rPr>
        <w:t>单位医疗</w:t>
      </w:r>
      <w:r>
        <w:rPr>
          <w:rFonts w:hint="eastAsia" w:ascii="仿宋_GB2312" w:eastAsia="仿宋_GB2312" w:cs="Times New Roman"/>
          <w:color w:val="auto"/>
          <w:sz w:val="32"/>
          <w:szCs w:val="32"/>
          <w:highlight w:val="none"/>
        </w:rPr>
        <w:t>（项）</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指财政部门安排的</w:t>
      </w:r>
      <w:r>
        <w:rPr>
          <w:rFonts w:hint="eastAsia" w:ascii="仿宋_GB2312" w:eastAsia="仿宋_GB2312"/>
          <w:color w:val="auto"/>
          <w:sz w:val="32"/>
          <w:szCs w:val="32"/>
          <w:highlight w:val="none"/>
          <w:lang w:eastAsia="zh-CN"/>
        </w:rPr>
        <w:t>行政单位（包括实行公务员管理的事业单位）基本医疗保险缴费经费，未参加医疗保险的行政单位的公费医疗经费，按国家规定享受离休人员、红军老战士待遇人员的医疗经费。</w:t>
      </w:r>
    </w:p>
    <w:p>
      <w:pPr>
        <w:ind w:firstLine="640" w:firstLineChars="200"/>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lang w:val="en-US" w:eastAsia="zh-CN"/>
        </w:rPr>
        <w:t>16</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卫生健康</w:t>
      </w:r>
      <w:r>
        <w:rPr>
          <w:rFonts w:hint="eastAsia" w:ascii="仿宋_GB2312" w:eastAsia="仿宋_GB2312" w:cs="Times New Roman"/>
          <w:color w:val="auto"/>
          <w:sz w:val="32"/>
          <w:szCs w:val="32"/>
          <w:highlight w:val="none"/>
        </w:rPr>
        <w:t>（类）</w:t>
      </w:r>
      <w:r>
        <w:rPr>
          <w:rFonts w:hint="eastAsia" w:ascii="仿宋_GB2312" w:eastAsia="仿宋_GB2312" w:cs="Times New Roman"/>
          <w:color w:val="auto"/>
          <w:sz w:val="32"/>
          <w:szCs w:val="32"/>
          <w:highlight w:val="none"/>
          <w:lang w:eastAsia="zh-CN"/>
        </w:rPr>
        <w:t>行政事业单位医疗</w:t>
      </w:r>
      <w:r>
        <w:rPr>
          <w:rFonts w:hint="eastAsia" w:ascii="仿宋_GB2312" w:eastAsia="仿宋_GB2312" w:cs="Times New Roman"/>
          <w:color w:val="auto"/>
          <w:sz w:val="32"/>
          <w:szCs w:val="32"/>
          <w:highlight w:val="none"/>
        </w:rPr>
        <w:t>（款）</w:t>
      </w:r>
      <w:r>
        <w:rPr>
          <w:rFonts w:hint="eastAsia" w:ascii="仿宋_GB2312" w:eastAsia="仿宋_GB2312" w:cs="Times New Roman"/>
          <w:color w:val="auto"/>
          <w:sz w:val="32"/>
          <w:szCs w:val="32"/>
          <w:highlight w:val="none"/>
          <w:lang w:eastAsia="zh-CN"/>
        </w:rPr>
        <w:t>公务员医疗补助</w:t>
      </w:r>
      <w:r>
        <w:rPr>
          <w:rFonts w:hint="eastAsia" w:ascii="仿宋_GB2312" w:eastAsia="仿宋_GB2312" w:cs="Times New Roman"/>
          <w:color w:val="auto"/>
          <w:sz w:val="32"/>
          <w:szCs w:val="32"/>
          <w:highlight w:val="none"/>
        </w:rPr>
        <w:t>（项）</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指财政部门安排的公务员医疗补助经费。</w:t>
      </w:r>
    </w:p>
    <w:p>
      <w:pPr>
        <w:ind w:firstLine="640" w:firstLineChars="200"/>
        <w:rPr>
          <w:rFonts w:hint="default"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17</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卫生健康</w:t>
      </w:r>
      <w:r>
        <w:rPr>
          <w:rFonts w:hint="eastAsia" w:ascii="仿宋_GB2312" w:eastAsia="仿宋_GB2312" w:cs="Times New Roman"/>
          <w:color w:val="auto"/>
          <w:sz w:val="32"/>
          <w:szCs w:val="32"/>
          <w:highlight w:val="none"/>
        </w:rPr>
        <w:t>（类）</w:t>
      </w:r>
      <w:r>
        <w:rPr>
          <w:rFonts w:hint="eastAsia" w:ascii="仿宋_GB2312" w:eastAsia="仿宋_GB2312" w:cs="Times New Roman"/>
          <w:color w:val="auto"/>
          <w:sz w:val="32"/>
          <w:szCs w:val="32"/>
          <w:highlight w:val="none"/>
          <w:lang w:eastAsia="zh-CN"/>
        </w:rPr>
        <w:t>行政事业单位医疗</w:t>
      </w:r>
      <w:r>
        <w:rPr>
          <w:rFonts w:hint="eastAsia" w:ascii="仿宋_GB2312" w:eastAsia="仿宋_GB2312" w:cs="Times New Roman"/>
          <w:color w:val="auto"/>
          <w:sz w:val="32"/>
          <w:szCs w:val="32"/>
          <w:highlight w:val="none"/>
        </w:rPr>
        <w:t>（款）</w:t>
      </w:r>
      <w:r>
        <w:rPr>
          <w:rFonts w:hint="eastAsia" w:ascii="仿宋_GB2312" w:eastAsia="仿宋_GB2312" w:cs="Times New Roman"/>
          <w:color w:val="auto"/>
          <w:sz w:val="32"/>
          <w:szCs w:val="32"/>
          <w:highlight w:val="none"/>
          <w:lang w:eastAsia="zh-CN"/>
        </w:rPr>
        <w:t>其他行政事业单位医疗</w:t>
      </w:r>
      <w:r>
        <w:rPr>
          <w:rFonts w:hint="eastAsia" w:ascii="仿宋_GB2312" w:eastAsia="仿宋_GB2312" w:cs="Times New Roman"/>
          <w:color w:val="auto"/>
          <w:sz w:val="32"/>
          <w:szCs w:val="32"/>
          <w:highlight w:val="none"/>
        </w:rPr>
        <w:t>（项）</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指其他用于行政事业单位医疗方面的</w:t>
      </w:r>
      <w:r>
        <w:rPr>
          <w:rFonts w:hint="eastAsia" w:ascii="仿宋_GB2312" w:eastAsia="仿宋_GB2312" w:cs="Times New Roman"/>
          <w:color w:val="auto"/>
          <w:sz w:val="32"/>
          <w:szCs w:val="32"/>
          <w:highlight w:val="none"/>
          <w:lang w:val="en-US" w:eastAsia="zh-CN"/>
        </w:rPr>
        <w:t>支出。</w:t>
      </w:r>
    </w:p>
    <w:p>
      <w:pPr>
        <w:ind w:firstLine="640" w:firstLineChars="200"/>
        <w:rPr>
          <w:rFonts w:hint="default"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18</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卫生健康</w:t>
      </w:r>
      <w:r>
        <w:rPr>
          <w:rFonts w:hint="eastAsia" w:ascii="仿宋_GB2312" w:eastAsia="仿宋_GB2312" w:cs="Times New Roman"/>
          <w:color w:val="auto"/>
          <w:sz w:val="32"/>
          <w:szCs w:val="32"/>
          <w:highlight w:val="none"/>
        </w:rPr>
        <w:t>（类）</w:t>
      </w:r>
      <w:r>
        <w:rPr>
          <w:rFonts w:hint="eastAsia" w:ascii="仿宋_GB2312" w:eastAsia="仿宋_GB2312" w:cs="Times New Roman"/>
          <w:color w:val="auto"/>
          <w:sz w:val="32"/>
          <w:szCs w:val="32"/>
          <w:highlight w:val="none"/>
          <w:lang w:eastAsia="zh-CN"/>
        </w:rPr>
        <w:t>其他卫生健康支出</w:t>
      </w:r>
      <w:r>
        <w:rPr>
          <w:rFonts w:hint="eastAsia" w:ascii="仿宋_GB2312" w:eastAsia="仿宋_GB2312" w:cs="Times New Roman"/>
          <w:color w:val="auto"/>
          <w:sz w:val="32"/>
          <w:szCs w:val="32"/>
          <w:highlight w:val="none"/>
        </w:rPr>
        <w:t>（款）</w:t>
      </w:r>
      <w:r>
        <w:rPr>
          <w:rFonts w:hint="eastAsia" w:ascii="仿宋_GB2312" w:eastAsia="仿宋_GB2312" w:cs="Times New Roman"/>
          <w:color w:val="auto"/>
          <w:sz w:val="32"/>
          <w:szCs w:val="32"/>
          <w:highlight w:val="none"/>
          <w:lang w:eastAsia="zh-CN"/>
        </w:rPr>
        <w:t>其他卫生健康支出</w:t>
      </w:r>
      <w:r>
        <w:rPr>
          <w:rFonts w:hint="eastAsia" w:ascii="仿宋_GB2312" w:eastAsia="仿宋_GB2312" w:cs="Times New Roman"/>
          <w:color w:val="auto"/>
          <w:sz w:val="32"/>
          <w:szCs w:val="32"/>
          <w:highlight w:val="none"/>
        </w:rPr>
        <w:t>（项）</w:t>
      </w:r>
      <w:r>
        <w:rPr>
          <w:rFonts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指其他用于卫生健康方面的</w:t>
      </w:r>
      <w:r>
        <w:rPr>
          <w:rFonts w:hint="eastAsia" w:ascii="仿宋_GB2312" w:eastAsia="仿宋_GB2312" w:cs="Times New Roman"/>
          <w:color w:val="auto"/>
          <w:sz w:val="32"/>
          <w:szCs w:val="32"/>
          <w:highlight w:val="none"/>
          <w:lang w:val="en-US" w:eastAsia="zh-CN"/>
        </w:rPr>
        <w:t>支出。</w:t>
      </w:r>
    </w:p>
    <w:p>
      <w:pPr>
        <w:ind w:firstLine="640" w:firstLineChars="200"/>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19</w:t>
      </w:r>
      <w:r>
        <w:rPr>
          <w:rFonts w:hint="eastAsia" w:ascii="仿宋_GB2312" w:eastAsia="仿宋_GB2312" w:cs="Times New Roman"/>
          <w:color w:val="auto"/>
          <w:sz w:val="32"/>
          <w:szCs w:val="32"/>
          <w:highlight w:val="none"/>
        </w:rPr>
        <w:t>.住房保障（类）住房改革支出（款）住房公积金（项）：指</w:t>
      </w:r>
      <w:r>
        <w:rPr>
          <w:rFonts w:hint="eastAsia" w:ascii="仿宋_GB2312" w:eastAsia="仿宋_GB2312" w:cs="Times New Roman"/>
          <w:color w:val="auto"/>
          <w:sz w:val="32"/>
          <w:szCs w:val="32"/>
          <w:highlight w:val="none"/>
          <w:lang w:eastAsia="zh-CN"/>
        </w:rPr>
        <w:t>行政事业单位按人力资源和社会保障部、财政部规定的基本工资和津贴补贴以及规定比例为职工缴纳的住房公积金</w:t>
      </w:r>
      <w:r>
        <w:rPr>
          <w:rFonts w:hint="eastAsia" w:ascii="仿宋_GB2312" w:eastAsia="仿宋_GB2312" w:cs="Times New Roman"/>
          <w:color w:val="auto"/>
          <w:sz w:val="32"/>
          <w:szCs w:val="32"/>
          <w:highlight w:val="none"/>
        </w:rPr>
        <w:t>。</w:t>
      </w:r>
    </w:p>
    <w:p>
      <w:pPr>
        <w:pStyle w:val="2"/>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21</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22</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w:t>
      </w:r>
      <w:r>
        <w:rPr>
          <w:rFonts w:hint="eastAsia" w:eastAsia="仿宋_GB2312" w:cs="仿宋_GB2312"/>
          <w:color w:val="auto"/>
          <w:kern w:val="2"/>
          <w:sz w:val="32"/>
          <w:szCs w:val="32"/>
          <w:highlight w:val="none"/>
          <w:lang w:val="en-US" w:eastAsia="zh-CN" w:bidi="ar-SA"/>
        </w:rPr>
        <w:t>单位</w:t>
      </w:r>
      <w:r>
        <w:rPr>
          <w:rFonts w:hint="eastAsia" w:ascii="Times New Roman" w:hAnsi="Times New Roman" w:eastAsia="仿宋_GB2312" w:cs="仿宋_GB2312"/>
          <w:color w:val="auto"/>
          <w:kern w:val="2"/>
          <w:sz w:val="32"/>
          <w:szCs w:val="32"/>
          <w:highlight w:val="none"/>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24</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8"/>
          <w:rFonts w:hint="eastAsia" w:ascii="Times New Roman" w:hAnsi="Times New Roman" w:eastAsia="黑体"/>
          <w:b w:val="0"/>
          <w:color w:val="auto"/>
          <w:highlight w:val="none"/>
          <w:lang w:eastAsia="zh-CN"/>
        </w:rPr>
      </w:pPr>
      <w:bookmarkStart w:id="51"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52"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2"/>
    </w:p>
    <w:p>
      <w:pPr>
        <w:keepNext w:val="0"/>
        <w:keepLines w:val="0"/>
        <w:pageBreakBefore w:val="0"/>
        <w:kinsoku/>
        <w:wordWrap/>
        <w:overflowPunct/>
        <w:topLinePunct w:val="0"/>
        <w:autoSpaceDE/>
        <w:autoSpaceDN/>
        <w:bidi w:val="0"/>
        <w:spacing w:line="572" w:lineRule="exact"/>
        <w:jc w:val="center"/>
        <w:textAlignment w:val="auto"/>
        <w:outlineLvl w:val="0"/>
        <w:rPr>
          <w:rFonts w:hint="eastAsia" w:cs="Times New Roman"/>
          <w:sz w:val="32"/>
          <w:szCs w:val="32"/>
          <w:highlight w:val="none"/>
          <w:lang w:val="en-US" w:eastAsia="zh-CN"/>
        </w:rPr>
      </w:pPr>
      <w:r>
        <w:rPr>
          <w:rFonts w:hint="eastAsia" w:cs="Times New Roman"/>
          <w:sz w:val="32"/>
          <w:szCs w:val="32"/>
          <w:highlight w:val="none"/>
          <w:lang w:val="en-US" w:eastAsia="zh-CN"/>
        </w:rPr>
        <w:t>部门</w:t>
      </w:r>
      <w:r>
        <w:rPr>
          <w:rFonts w:hint="eastAsia" w:hAnsi="Times New Roman" w:cs="Times New Roman"/>
          <w:sz w:val="32"/>
          <w:szCs w:val="32"/>
          <w:highlight w:val="none"/>
          <w:lang w:val="en-US" w:eastAsia="zh-CN"/>
        </w:rPr>
        <w:t>预算项目支出绩效自评表（202</w:t>
      </w:r>
      <w:r>
        <w:rPr>
          <w:rFonts w:hint="eastAsia" w:cs="Times New Roman"/>
          <w:sz w:val="32"/>
          <w:szCs w:val="32"/>
          <w:highlight w:val="none"/>
          <w:lang w:val="en-US" w:eastAsia="zh-CN"/>
        </w:rPr>
        <w:t>4</w:t>
      </w:r>
      <w:r>
        <w:rPr>
          <w:rFonts w:hint="eastAsia" w:hAnsi="Times New Roman" w:cs="Times New Roman"/>
          <w:sz w:val="32"/>
          <w:szCs w:val="32"/>
          <w:highlight w:val="none"/>
          <w:lang w:val="en-US" w:eastAsia="zh-CN"/>
        </w:rPr>
        <w:t>年度）</w:t>
      </w:r>
      <w:r>
        <w:rPr>
          <w:rFonts w:hint="eastAsia" w:cs="Times New Roman"/>
          <w:sz w:val="32"/>
          <w:szCs w:val="32"/>
          <w:highlight w:val="none"/>
          <w:lang w:val="en-US" w:eastAsia="zh-CN"/>
        </w:rPr>
        <w:t>见附件3</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53"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51"/>
      <w:bookmarkEnd w:id="53"/>
      <w:bookmarkStart w:id="54"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0"/>
      <w:r>
        <w:rPr>
          <w:rFonts w:hint="eastAsia" w:ascii="Times New Roman" w:hAnsi="Times New Roman" w:eastAsia="仿宋_GB2312" w:cs="仿宋_GB2312"/>
          <w:color w:val="auto"/>
          <w:sz w:val="32"/>
          <w:szCs w:val="32"/>
          <w:highlight w:val="none"/>
        </w:rPr>
        <w:t>二、收入决算表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1"/>
      <w:r>
        <w:rPr>
          <w:rFonts w:hint="eastAsia" w:ascii="Times New Roman" w:hAnsi="Times New Roman" w:eastAsia="仿宋_GB2312" w:cs="仿宋_GB2312"/>
          <w:color w:val="auto"/>
          <w:sz w:val="32"/>
          <w:szCs w:val="32"/>
          <w:highlight w:val="none"/>
        </w:rPr>
        <w:t>三、支出决算表</w:t>
      </w:r>
      <w:bookmarkEnd w:id="5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2"/>
      <w:r>
        <w:rPr>
          <w:rFonts w:hint="eastAsia" w:ascii="Times New Roman" w:hAnsi="Times New Roman" w:eastAsia="仿宋_GB2312" w:cs="仿宋_GB2312"/>
          <w:color w:val="auto"/>
          <w:sz w:val="32"/>
          <w:szCs w:val="32"/>
          <w:highlight w:val="none"/>
        </w:rPr>
        <w:t>四、财政拨款收入支出决算总表</w:t>
      </w:r>
      <w:bookmarkEnd w:id="5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3"/>
      <w:r>
        <w:rPr>
          <w:rFonts w:hint="eastAsia" w:ascii="Times New Roman" w:hAnsi="Times New Roman" w:eastAsia="仿宋_GB2312" w:cs="仿宋_GB2312"/>
          <w:color w:val="auto"/>
          <w:sz w:val="32"/>
          <w:szCs w:val="32"/>
          <w:highlight w:val="none"/>
        </w:rPr>
        <w:t>五、财政拨款支出决算明细表</w:t>
      </w:r>
      <w:bookmarkEnd w:id="58"/>
      <w:bookmarkStart w:id="59"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5"/>
      <w:r>
        <w:rPr>
          <w:rFonts w:hint="eastAsia" w:ascii="Times New Roman" w:hAnsi="Times New Roman" w:eastAsia="仿宋_GB2312" w:cs="仿宋_GB2312"/>
          <w:color w:val="auto"/>
          <w:sz w:val="32"/>
          <w:szCs w:val="32"/>
          <w:highlight w:val="none"/>
        </w:rPr>
        <w:t>七、一般公共预算财政拨款支出决算明细表</w:t>
      </w:r>
      <w:bookmarkEnd w:id="6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6"/>
      <w:r>
        <w:rPr>
          <w:rFonts w:hint="eastAsia" w:ascii="Times New Roman" w:hAnsi="Times New Roman" w:eastAsia="仿宋_GB2312" w:cs="仿宋_GB2312"/>
          <w:color w:val="auto"/>
          <w:sz w:val="32"/>
          <w:szCs w:val="32"/>
          <w:highlight w:val="none"/>
        </w:rPr>
        <w:t>八、一般公共预算财政拨款基本支出决算表</w:t>
      </w:r>
      <w:bookmarkEnd w:id="6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7"/>
      <w:r>
        <w:rPr>
          <w:rFonts w:hint="eastAsia" w:ascii="Times New Roman" w:hAnsi="Times New Roman" w:eastAsia="仿宋_GB2312" w:cs="仿宋_GB2312"/>
          <w:color w:val="auto"/>
          <w:sz w:val="32"/>
          <w:szCs w:val="32"/>
          <w:highlight w:val="none"/>
        </w:rPr>
        <w:t>九、一般公共预算财政拨款项目支出决算表</w:t>
      </w:r>
      <w:bookmarkEnd w:id="62"/>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8"/>
      <w:r>
        <w:rPr>
          <w:rFonts w:hint="eastAsia" w:ascii="Times New Roman" w:hAnsi="Times New Roman" w:eastAsia="仿宋_GB2312" w:cs="仿宋_GB2312"/>
          <w:color w:val="auto"/>
          <w:sz w:val="32"/>
          <w:szCs w:val="32"/>
          <w:highlight w:val="none"/>
        </w:rPr>
        <w:t>十、</w:t>
      </w:r>
      <w:bookmarkEnd w:id="63"/>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9"/>
      <w:r>
        <w:rPr>
          <w:rFonts w:hint="eastAsia" w:ascii="Times New Roman" w:hAnsi="Times New Roman" w:eastAsia="仿宋_GB2312" w:cs="仿宋_GB2312"/>
          <w:color w:val="auto"/>
          <w:sz w:val="32"/>
          <w:szCs w:val="32"/>
          <w:highlight w:val="none"/>
        </w:rPr>
        <w:t>十一、</w:t>
      </w:r>
      <w:bookmarkEnd w:id="6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30"/>
      <w:r>
        <w:rPr>
          <w:rFonts w:hint="eastAsia" w:ascii="Times New Roman" w:hAnsi="Times New Roman" w:eastAsia="仿宋_GB2312" w:cs="仿宋_GB2312"/>
          <w:color w:val="auto"/>
          <w:sz w:val="32"/>
          <w:szCs w:val="32"/>
          <w:highlight w:val="none"/>
        </w:rPr>
        <w:t>十二、</w:t>
      </w:r>
      <w:bookmarkEnd w:id="65"/>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6" w:name="_Toc15396631"/>
      <w:r>
        <w:rPr>
          <w:rFonts w:hint="eastAsia" w:ascii="Times New Roman" w:hAnsi="Times New Roman" w:eastAsia="仿宋_GB2312" w:cs="仿宋_GB2312"/>
          <w:color w:val="auto"/>
          <w:sz w:val="32"/>
          <w:szCs w:val="32"/>
          <w:highlight w:val="none"/>
        </w:rPr>
        <w:t>十三、</w:t>
      </w:r>
      <w:bookmarkEnd w:id="66"/>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国标宋体-超大字符集扩"/>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AF9"/>
    <w:multiLevelType w:val="singleLevel"/>
    <w:tmpl w:val="A5897A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8EC5D55"/>
    <w:rsid w:val="09867E8F"/>
    <w:rsid w:val="0A2032A3"/>
    <w:rsid w:val="0AC4364B"/>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A3C6A6A"/>
    <w:rsid w:val="1BE8440E"/>
    <w:rsid w:val="1D155CEE"/>
    <w:rsid w:val="1D1638FE"/>
    <w:rsid w:val="1E312DEB"/>
    <w:rsid w:val="1E740ACF"/>
    <w:rsid w:val="1FF35744"/>
    <w:rsid w:val="1FF6BC77"/>
    <w:rsid w:val="2186353C"/>
    <w:rsid w:val="23860B96"/>
    <w:rsid w:val="240371BF"/>
    <w:rsid w:val="244F3473"/>
    <w:rsid w:val="245B4984"/>
    <w:rsid w:val="24C97D99"/>
    <w:rsid w:val="25A718F0"/>
    <w:rsid w:val="25BB59F6"/>
    <w:rsid w:val="260F557C"/>
    <w:rsid w:val="26970054"/>
    <w:rsid w:val="281408E2"/>
    <w:rsid w:val="29FD04D3"/>
    <w:rsid w:val="2BFF7BC6"/>
    <w:rsid w:val="2C8A61B5"/>
    <w:rsid w:val="2DF04E50"/>
    <w:rsid w:val="2E586DFA"/>
    <w:rsid w:val="2F040D46"/>
    <w:rsid w:val="2F6B035B"/>
    <w:rsid w:val="2F811748"/>
    <w:rsid w:val="2FAE5751"/>
    <w:rsid w:val="2FB1A395"/>
    <w:rsid w:val="2FD9A7D8"/>
    <w:rsid w:val="2FDBF714"/>
    <w:rsid w:val="30AB6865"/>
    <w:rsid w:val="319F7F4E"/>
    <w:rsid w:val="32BD1EF1"/>
    <w:rsid w:val="3304709D"/>
    <w:rsid w:val="336F030F"/>
    <w:rsid w:val="33A773CB"/>
    <w:rsid w:val="349D6851"/>
    <w:rsid w:val="36AA5135"/>
    <w:rsid w:val="36BE0DA7"/>
    <w:rsid w:val="376B6AA6"/>
    <w:rsid w:val="376D39B2"/>
    <w:rsid w:val="37E16F03"/>
    <w:rsid w:val="37F53A3B"/>
    <w:rsid w:val="389B6C89"/>
    <w:rsid w:val="38D469F0"/>
    <w:rsid w:val="39627CCD"/>
    <w:rsid w:val="397BAF1F"/>
    <w:rsid w:val="3AB79AF3"/>
    <w:rsid w:val="3AD76025"/>
    <w:rsid w:val="3AE834C0"/>
    <w:rsid w:val="3B7EF35A"/>
    <w:rsid w:val="3B9FDB6C"/>
    <w:rsid w:val="3BF5BC2F"/>
    <w:rsid w:val="3CEBA265"/>
    <w:rsid w:val="3D98207C"/>
    <w:rsid w:val="3DEE7CF3"/>
    <w:rsid w:val="3E740A63"/>
    <w:rsid w:val="3E78745D"/>
    <w:rsid w:val="3EC85E97"/>
    <w:rsid w:val="3EE17838"/>
    <w:rsid w:val="3F55381A"/>
    <w:rsid w:val="3F7F7599"/>
    <w:rsid w:val="3FF4CAE0"/>
    <w:rsid w:val="3FF7B227"/>
    <w:rsid w:val="44E268DA"/>
    <w:rsid w:val="450D13D7"/>
    <w:rsid w:val="45506656"/>
    <w:rsid w:val="4748550D"/>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8096E88"/>
    <w:rsid w:val="5AF92295"/>
    <w:rsid w:val="5B250254"/>
    <w:rsid w:val="5BDD79E6"/>
    <w:rsid w:val="5BF561CA"/>
    <w:rsid w:val="5BFF5DFC"/>
    <w:rsid w:val="5CD71FC4"/>
    <w:rsid w:val="5D1F11B5"/>
    <w:rsid w:val="5D695134"/>
    <w:rsid w:val="5DAE1B18"/>
    <w:rsid w:val="5DE7D9E5"/>
    <w:rsid w:val="5ECEC941"/>
    <w:rsid w:val="5EF23DBA"/>
    <w:rsid w:val="5FBF9FF3"/>
    <w:rsid w:val="5FCD4E2C"/>
    <w:rsid w:val="5FEF394A"/>
    <w:rsid w:val="5FF67715"/>
    <w:rsid w:val="600B300D"/>
    <w:rsid w:val="62BF3928"/>
    <w:rsid w:val="63B3701E"/>
    <w:rsid w:val="647F5392"/>
    <w:rsid w:val="65E66580"/>
    <w:rsid w:val="664B1D71"/>
    <w:rsid w:val="664B4E8E"/>
    <w:rsid w:val="67277B67"/>
    <w:rsid w:val="67AA3209"/>
    <w:rsid w:val="698D0931"/>
    <w:rsid w:val="6A625C37"/>
    <w:rsid w:val="6A7FE5F3"/>
    <w:rsid w:val="6B053271"/>
    <w:rsid w:val="6BA21FF8"/>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AA6DFB"/>
    <w:rsid w:val="79D7FD79"/>
    <w:rsid w:val="79EE5BA4"/>
    <w:rsid w:val="7A894339"/>
    <w:rsid w:val="7AD284E8"/>
    <w:rsid w:val="7AFF7572"/>
    <w:rsid w:val="7B041F22"/>
    <w:rsid w:val="7B6C7DFB"/>
    <w:rsid w:val="7BBFBED0"/>
    <w:rsid w:val="7BC3E394"/>
    <w:rsid w:val="7C1F3737"/>
    <w:rsid w:val="7CBFC87B"/>
    <w:rsid w:val="7CFE0F48"/>
    <w:rsid w:val="7D272ABC"/>
    <w:rsid w:val="7D7EC23E"/>
    <w:rsid w:val="7DDFFD5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86A1C9"/>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8"/>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2"/>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4&#20915;&#31639;&#20844;&#24320;\&#28304;&#25968;&#25454;&#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0915;&#31639;&#20844;&#24320;\&#28304;&#25968;&#25454;&#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4&#20915;&#31639;&#20844;&#24320;\&#28304;&#25968;&#25454;&#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4&#20915;&#31639;&#20844;&#24320;\&#28304;&#25968;&#25454;&#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4&#20915;&#31639;&#20844;&#24320;\&#28304;&#25968;&#25454;&#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4&#20915;&#31639;&#20844;&#24320;\&#28304;&#25968;&#25454;&#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G:\&#36130;&#21153;\&#20915;&#31639;\2022&#20915;&#31639;\2022&#20915;&#31639;&#20844;&#24320;\&#28304;&#25968;&#25454;&#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[源数据图.xlsx]柱状图!$A$2</c:f>
              <c:strCache>
                <c:ptCount val="1"/>
                <c:pt idx="0">
                  <c:v>2023年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[源数据图.xlsx]柱状图!$B$1</c:f>
              <c:strCache>
                <c:ptCount val="1"/>
                <c:pt idx="0">
                  <c:v>收、支决算总计
</c:v>
                </c:pt>
              </c:strCache>
            </c:strRef>
          </c:cat>
          <c:val>
            <c:numRef>
              <c:f>[源数据图.xlsx]柱状图!$B$2</c:f>
              <c:numCache>
                <c:formatCode>General</c:formatCode>
                <c:ptCount val="1"/>
                <c:pt idx="0">
                  <c:v>275.92</c:v>
                </c:pt>
              </c:numCache>
            </c:numRef>
          </c:val>
        </c:ser>
        <c:ser>
          <c:idx val="1"/>
          <c:order val="1"/>
          <c:tx>
            <c:strRef>
              <c:f>[源数据图.xlsx]柱状图!$A$3</c:f>
              <c:strCache>
                <c:ptCount val="1"/>
                <c:pt idx="0">
                  <c:v>2024年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[源数据图.xlsx]柱状图!$B$1</c:f>
              <c:strCache>
                <c:ptCount val="1"/>
                <c:pt idx="0">
                  <c:v>收、支决算总计
</c:v>
                </c:pt>
              </c:strCache>
            </c:strRef>
          </c:cat>
          <c:val>
            <c:numRef>
              <c:f>[源数据图.xlsx]柱状图!$B$3</c:f>
              <c:numCache>
                <c:formatCode>General</c:formatCode>
                <c:ptCount val="1"/>
                <c:pt idx="0">
                  <c:v>288.23</c:v>
                </c:pt>
              </c:numCache>
            </c:numRef>
          </c:val>
        </c:ser>
        <c:dLbls>
          <c:showLegendKey val="false"/>
          <c:showVal val="true"/>
          <c:showCatName val="false"/>
          <c:showSerName val="false"/>
          <c:showPercent val="false"/>
          <c:showBubbleSize val="false"/>
        </c:dLbls>
        <c:gapWidth val="219"/>
        <c:overlap val="-27"/>
        <c:axId val="177136905"/>
        <c:axId val="468196477"/>
      </c:barChart>
      <c:catAx>
        <c:axId val="17713690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8196477"/>
        <c:crosses val="autoZero"/>
        <c:auto val="true"/>
        <c:lblAlgn val="ctr"/>
        <c:lblOffset val="100"/>
        <c:noMultiLvlLbl val="false"/>
      </c:catAx>
      <c:valAx>
        <c:axId val="46819647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713690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本年收入</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elete val="true"/>
          </c:dLbls>
          <c:cat>
            <c:strRef>
              <c:f>[源数据图.xlsx]饼4!$A$1:$A$8</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[源数据图.xlsx]饼4!$B$1:$B$8</c:f>
              <c:numCache>
                <c:formatCode>General</c:formatCode>
                <c:ptCount val="8"/>
                <c:pt idx="0">
                  <c:v>288.23</c:v>
                </c:pt>
                <c:pt idx="1">
                  <c:v>0</c:v>
                </c:pt>
                <c:pt idx="2">
                  <c:v>0</c:v>
                </c:pt>
                <c:pt idx="3">
                  <c:v>0</c:v>
                </c:pt>
                <c:pt idx="4">
                  <c:v>0</c:v>
                </c:pt>
                <c:pt idx="5">
                  <c:v>0</c:v>
                </c:pt>
                <c:pt idx="6">
                  <c:v>0</c:v>
                </c:pt>
                <c:pt idx="7">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本年支出</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[源数据图.xlsx]饼2!$A$2:$A$3</c:f>
              <c:strCache>
                <c:ptCount val="2"/>
                <c:pt idx="0">
                  <c:v>基本支出</c:v>
                </c:pt>
                <c:pt idx="1">
                  <c:v>项目支出</c:v>
                </c:pt>
              </c:strCache>
            </c:strRef>
          </c:cat>
          <c:val>
            <c:numRef>
              <c:f>[源数据图.xlsx]饼2!$B$2:$B$3</c:f>
              <c:numCache>
                <c:formatCode>General</c:formatCode>
                <c:ptCount val="2"/>
                <c:pt idx="0">
                  <c:v>273.75</c:v>
                </c:pt>
                <c:pt idx="1">
                  <c:v>14.48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[源数据图.xlsx]柱状图!$A$2</c:f>
              <c:strCache>
                <c:ptCount val="1"/>
                <c:pt idx="0">
                  <c:v>2023年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[源数据图.xlsx]柱状图!$B$1</c:f>
              <c:strCache>
                <c:ptCount val="1"/>
                <c:pt idx="0">
                  <c:v>财政拨款收、支决算总计
</c:v>
                </c:pt>
              </c:strCache>
            </c:strRef>
          </c:cat>
          <c:val>
            <c:numRef>
              <c:f>[源数据图.xlsx]柱状图!$B$2</c:f>
              <c:numCache>
                <c:formatCode>General</c:formatCode>
                <c:ptCount val="1"/>
                <c:pt idx="0">
                  <c:v>275.92</c:v>
                </c:pt>
              </c:numCache>
            </c:numRef>
          </c:val>
        </c:ser>
        <c:ser>
          <c:idx val="1"/>
          <c:order val="1"/>
          <c:tx>
            <c:strRef>
              <c:f>[源数据图.xlsx]柱状图!$A$3</c:f>
              <c:strCache>
                <c:ptCount val="1"/>
                <c:pt idx="0">
                  <c:v>2024年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[源数据图.xlsx]柱状图!$B$1</c:f>
              <c:strCache>
                <c:ptCount val="1"/>
                <c:pt idx="0">
                  <c:v>财政拨款收、支决算总计
</c:v>
                </c:pt>
              </c:strCache>
            </c:strRef>
          </c:cat>
          <c:val>
            <c:numRef>
              <c:f>[源数据图.xlsx]柱状图!$B$3</c:f>
              <c:numCache>
                <c:formatCode>General</c:formatCode>
                <c:ptCount val="1"/>
                <c:pt idx="0">
                  <c:v>288.23</c:v>
                </c:pt>
              </c:numCache>
            </c:numRef>
          </c:val>
        </c:ser>
        <c:dLbls>
          <c:showLegendKey val="false"/>
          <c:showVal val="true"/>
          <c:showCatName val="false"/>
          <c:showSerName val="false"/>
          <c:showPercent val="false"/>
          <c:showBubbleSize val="false"/>
        </c:dLbls>
        <c:gapWidth val="219"/>
        <c:overlap val="-27"/>
        <c:axId val="177136905"/>
        <c:axId val="468196477"/>
      </c:barChart>
      <c:catAx>
        <c:axId val="17713690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8196477"/>
        <c:crosses val="autoZero"/>
        <c:auto val="true"/>
        <c:lblAlgn val="ctr"/>
        <c:lblOffset val="100"/>
        <c:noMultiLvlLbl val="false"/>
      </c:catAx>
      <c:valAx>
        <c:axId val="46819647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713690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16111111111111"/>
          <c:y val="0.0509259259259259"/>
          <c:w val="0.87575"/>
          <c:h val="0.732268518518518"/>
        </c:manualLayout>
      </c:layout>
      <c:barChart>
        <c:barDir val="col"/>
        <c:grouping val="clustered"/>
        <c:varyColors val="false"/>
        <c:ser>
          <c:idx val="0"/>
          <c:order val="0"/>
          <c:tx>
            <c:strRef>
              <c:f>[源数据图.xlsx]柱状图!$B$24</c:f>
              <c:strCache>
                <c:ptCount val="1"/>
                <c:pt idx="0">
                  <c:v>一般公共预算财政拨款支出</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[源数据图.xlsx]柱状图!$A$25:$A$26</c:f>
              <c:strCache>
                <c:ptCount val="2"/>
                <c:pt idx="0">
                  <c:v>2023年</c:v>
                </c:pt>
                <c:pt idx="1">
                  <c:v>2024年</c:v>
                </c:pt>
              </c:strCache>
            </c:strRef>
          </c:cat>
          <c:val>
            <c:numRef>
              <c:f>[源数据图.xlsx]柱状图!$B$25:$B$26</c:f>
              <c:numCache>
                <c:formatCode>General</c:formatCode>
                <c:ptCount val="2"/>
                <c:pt idx="0">
                  <c:v>275.92</c:v>
                </c:pt>
                <c:pt idx="1">
                  <c:v>288.23</c:v>
                </c:pt>
              </c:numCache>
            </c:numRef>
          </c:val>
        </c:ser>
        <c:dLbls>
          <c:showLegendKey val="false"/>
          <c:showVal val="true"/>
          <c:showCatName val="false"/>
          <c:showSerName val="false"/>
          <c:showPercent val="false"/>
          <c:showBubbleSize val="false"/>
        </c:dLbls>
        <c:gapWidth val="75"/>
        <c:overlap val="-25"/>
        <c:axId val="60429384"/>
        <c:axId val="188455895"/>
      </c:barChart>
      <c:catAx>
        <c:axId val="6042938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8455895"/>
        <c:crosses val="autoZero"/>
        <c:auto val="true"/>
        <c:lblAlgn val="ctr"/>
        <c:lblOffset val="100"/>
        <c:noMultiLvlLbl val="false"/>
      </c:catAx>
      <c:valAx>
        <c:axId val="18845589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042938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[源数据图.xlsx]饼状图1!$A$2:$A$5</c:f>
              <c:strCache>
                <c:ptCount val="4"/>
                <c:pt idx="0">
                  <c:v>一般公共服务支出</c:v>
                </c:pt>
                <c:pt idx="1">
                  <c:v>社会保障和就业支出</c:v>
                </c:pt>
                <c:pt idx="2">
                  <c:v>卫生健康支出</c:v>
                </c:pt>
                <c:pt idx="3">
                  <c:v>住房保障支出</c:v>
                </c:pt>
              </c:strCache>
            </c:strRef>
          </c:cat>
          <c:val>
            <c:numRef>
              <c:f>[源数据图.xlsx]饼状图1!$B$2:$B$5</c:f>
              <c:numCache>
                <c:formatCode>0.00%</c:formatCode>
                <c:ptCount val="4"/>
                <c:pt idx="0">
                  <c:v>0.6653</c:v>
                </c:pt>
                <c:pt idx="1">
                  <c:v>0.2208</c:v>
                </c:pt>
                <c:pt idx="2">
                  <c:v>0.0509</c:v>
                </c:pt>
                <c:pt idx="3">
                  <c:v>0.063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rgbClr val="404040">
                    <a:lumMod val="75000"/>
                    <a:lumOff val="25000"/>
                  </a:srgbClr>
                </a:solidFill>
                <a:latin typeface="+mn-lt"/>
                <a:ea typeface="+mn-ea"/>
                <a:cs typeface="+mn-cs"/>
              </a:defRPr>
            </a:pPr>
            <a:r>
              <a:t>“三公”经费财政拨款支出</a:t>
            </a:r>
          </a:p>
        </c:rich>
      </c:tx>
      <c:layout/>
      <c:overlay val="false"/>
      <c:spPr>
        <a:noFill/>
        <a:ln>
          <a:noFill/>
        </a:ln>
        <a:effectLst/>
      </c:spPr>
    </c:title>
    <c:autoTitleDeleted val="false"/>
    <c:plotArea>
      <c:layout/>
      <c:pieChart>
        <c:varyColors val="true"/>
        <c:ser>
          <c:idx val="0"/>
          <c:order val="0"/>
          <c:spPr/>
          <c:explosion val="0"/>
          <c:dPt>
            <c:idx val="0"/>
            <c:bubble3D val="false"/>
            <c:spPr>
              <a:solidFill>
                <a:srgbClr val="4F81BD"/>
              </a:solidFill>
              <a:ln>
                <a:solidFill>
                  <a:srgbClr val="FFFFFF"/>
                </a:solidFill>
              </a:ln>
              <a:effectLst/>
            </c:spPr>
          </c:dPt>
          <c:dPt>
            <c:idx val="1"/>
            <c:bubble3D val="false"/>
            <c:spPr>
              <a:solidFill>
                <a:srgbClr val="C0504D"/>
              </a:solidFill>
              <a:ln>
                <a:solidFill>
                  <a:srgbClr val="FFFFFF"/>
                </a:solidFill>
              </a:ln>
              <a:effectLst/>
            </c:spPr>
          </c:dPt>
          <c:dPt>
            <c:idx val="2"/>
            <c:bubble3D val="false"/>
            <c:spPr>
              <a:solidFill>
                <a:srgbClr val="9BBB59"/>
              </a:solidFill>
              <a:ln>
                <a:solidFill>
                  <a:srgbClr val="FFFFFF"/>
                </a:solidFill>
              </a:ln>
              <a:effectLst/>
            </c:spPr>
          </c:dPt>
          <c:dLbls>
            <c:delete val="true"/>
          </c:dLbls>
          <c:cat>
            <c:strRef>
              <c:f>[源数据图.xlsx]饼3!$A$22:$A$24</c:f>
              <c:strCache>
                <c:ptCount val="3"/>
                <c:pt idx="0">
                  <c:v>因公出国（境）费支出</c:v>
                </c:pt>
                <c:pt idx="1">
                  <c:v>公务用车购置及运行维护费支出</c:v>
                </c:pt>
                <c:pt idx="2">
                  <c:v>公务接待费支出</c:v>
                </c:pt>
              </c:strCache>
            </c:strRef>
          </c:cat>
          <c:val>
            <c:numRef>
              <c:f>[源数据图.xlsx]饼3!$B$22:$B$24</c:f>
              <c:numCache>
                <c:formatCode>General</c:formatCode>
                <c:ptCount val="3"/>
                <c:pt idx="0">
                  <c:v>0</c:v>
                </c:pt>
                <c:pt idx="1">
                  <c:v>0</c:v>
                </c:pt>
                <c:pt idx="2">
                  <c:v>0.26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5442</Words>
  <Characters>5949</Characters>
  <Lines>61</Lines>
  <Paragraphs>17</Paragraphs>
  <TotalTime>2</TotalTime>
  <ScaleCrop>false</ScaleCrop>
  <LinksUpToDate>false</LinksUpToDate>
  <CharactersWithSpaces>5993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2020-08-10T01:49:00Z</dcterms:created>
  <dc:creator>曹颖</dc:creator>
  <cp:lastModifiedBy>靜待婲閞</cp:lastModifiedBy>
  <cp:lastPrinted>2025-08-07T09:34:00Z</cp:lastPrinted>
  <dcterms:modified xsi:type="dcterms:W3CDTF">2025-09-17T16:43:51Z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04787F2533EB45DC91BCDE4AB213247F</vt:lpwstr>
  </property>
  <property fmtid="{D5CDD505-2E9C-101B-9397-08002B2CF9AE}" pid="4" name="KSOTemplateDocerSaveRecord">
    <vt:lpwstr>eyJoZGlkIjoiMThhZTIxMTgxMTgxZjEzYjFkMzE1MTlkMzQ0ODIyNmQifQ==</vt:lpwstr>
  </property>
</Properties>
</file>