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Times New Roman" w:hAnsi="Times New Roman" w:eastAsia="方正小标宋简体" w:cs="Times New Roman"/>
          <w:color w:val="auto"/>
          <w:kern w:val="2"/>
          <w:sz w:val="72"/>
          <w:szCs w:val="72"/>
          <w:highlight w:val="none"/>
          <w:lang w:val="en-US" w:eastAsia="zh-CN" w:bidi="ar-SA"/>
        </w:rPr>
      </w:pPr>
      <w:bookmarkStart w:id="199" w:name="_GoBack"/>
      <w:bookmarkEnd w:id="199"/>
      <w:bookmarkStart w:id="0" w:name="_Toc15396475"/>
      <w:bookmarkStart w:id="1" w:name="_Toc15377425"/>
      <w:bookmarkStart w:id="2" w:name="_Toc15396597"/>
      <w:bookmarkStart w:id="3" w:name="_Toc15378441"/>
      <w:bookmarkStart w:id="4" w:name="_Toc15377193"/>
      <w:bookmarkStart w:id="5" w:name="_Toc15306267"/>
    </w:p>
    <w:p>
      <w:pPr>
        <w:pStyle w:val="2"/>
        <w:rPr>
          <w:rFonts w:hint="eastAsia" w:ascii="Times New Roman" w:hAnsi="Times New Roman" w:eastAsia="方正小标宋简体" w:cs="Times New Roman"/>
          <w:color w:val="auto"/>
          <w:kern w:val="2"/>
          <w:sz w:val="72"/>
          <w:szCs w:val="72"/>
          <w:highlight w:val="none"/>
          <w:lang w:val="en-US" w:eastAsia="zh-CN" w:bidi="ar-SA"/>
        </w:rPr>
      </w:pPr>
    </w:p>
    <w:p>
      <w:pPr>
        <w:pStyle w:val="2"/>
        <w:rPr>
          <w:rFonts w:hint="eastAsia" w:ascii="Times New Roman" w:hAnsi="Times New Roman" w:eastAsia="方正小标宋简体" w:cs="Times New Roman"/>
          <w:color w:val="auto"/>
          <w:kern w:val="2"/>
          <w:sz w:val="72"/>
          <w:szCs w:val="72"/>
          <w:highlight w:val="none"/>
          <w:lang w:val="en-US" w:eastAsia="zh-CN" w:bidi="ar-SA"/>
        </w:rPr>
      </w:pPr>
    </w:p>
    <w:p>
      <w:pPr>
        <w:pStyle w:val="2"/>
        <w:jc w:val="center"/>
        <w:rPr>
          <w:rFonts w:hint="eastAsia" w:ascii="Times New Roman" w:hAnsi="Times New Roman" w:eastAsia="方正小标宋简体" w:cs="Times New Roman"/>
          <w:color w:val="auto"/>
          <w:kern w:val="2"/>
          <w:sz w:val="44"/>
          <w:szCs w:val="44"/>
          <w:highlight w:val="none"/>
          <w:lang w:val="en-US" w:eastAsia="zh-CN" w:bidi="ar-SA"/>
        </w:rPr>
      </w:pPr>
      <w:r>
        <w:rPr>
          <w:rFonts w:hint="eastAsia" w:ascii="Times New Roman" w:hAnsi="Times New Roman" w:eastAsia="方正小标宋简体" w:cs="Times New Roman"/>
          <w:color w:val="auto"/>
          <w:kern w:val="2"/>
          <w:sz w:val="44"/>
          <w:szCs w:val="44"/>
          <w:highlight w:val="none"/>
          <w:lang w:val="en-US" w:eastAsia="zh-CN" w:bidi="ar-SA"/>
        </w:rPr>
        <w:t>2024年度</w:t>
      </w:r>
      <w:r>
        <w:rPr>
          <w:rFonts w:hint="eastAsia" w:ascii="Times New Roman" w:eastAsia="方正小标宋简体" w:cs="Times New Roman"/>
          <w:color w:val="auto"/>
          <w:kern w:val="2"/>
          <w:sz w:val="44"/>
          <w:szCs w:val="44"/>
          <w:highlight w:val="none"/>
          <w:lang w:val="en-US" w:eastAsia="zh-CN" w:bidi="ar-SA"/>
        </w:rPr>
        <w:t>市级</w:t>
      </w:r>
      <w:r>
        <w:rPr>
          <w:rFonts w:hint="eastAsia" w:ascii="Times New Roman" w:hAnsi="Times New Roman" w:eastAsia="方正小标宋简体" w:cs="Times New Roman"/>
          <w:color w:val="auto"/>
          <w:kern w:val="2"/>
          <w:sz w:val="44"/>
          <w:szCs w:val="44"/>
          <w:highlight w:val="none"/>
          <w:lang w:val="en-US" w:eastAsia="zh-CN" w:bidi="ar-SA"/>
        </w:rPr>
        <w:t>单位决算</w:t>
      </w:r>
    </w:p>
    <w:p>
      <w:pPr>
        <w:pStyle w:val="2"/>
        <w:jc w:val="center"/>
        <w:rPr>
          <w:rFonts w:hint="default" w:ascii="Times New Roman" w:hAnsi="Times New Roman" w:eastAsia="方正小标宋简体" w:cs="Times New Roman"/>
          <w:color w:val="auto"/>
          <w:kern w:val="2"/>
          <w:sz w:val="44"/>
          <w:szCs w:val="44"/>
          <w:highlight w:val="none"/>
          <w:lang w:val="en-US" w:eastAsia="zh-CN" w:bidi="ar-SA"/>
        </w:rPr>
      </w:pPr>
      <w:r>
        <w:rPr>
          <w:rFonts w:hint="eastAsia" w:ascii="Times New Roman" w:hAnsi="Times New Roman" w:eastAsia="方正小标宋简体" w:cs="Times New Roman"/>
          <w:color w:val="auto"/>
          <w:kern w:val="2"/>
          <w:sz w:val="44"/>
          <w:szCs w:val="44"/>
          <w:highlight w:val="none"/>
          <w:lang w:val="en-US" w:eastAsia="zh-CN" w:bidi="ar-SA"/>
        </w:rPr>
        <w:t>公开文字说明</w:t>
      </w:r>
    </w:p>
    <w:p>
      <w:pPr>
        <w:spacing w:line="600" w:lineRule="exact"/>
        <w:jc w:val="center"/>
        <w:outlineLvl w:val="0"/>
        <w:rPr>
          <w:rFonts w:ascii="Times New Roman" w:hAnsi="Times New Roman" w:eastAsia="方正小标宋简体"/>
          <w:color w:val="auto"/>
          <w:sz w:val="72"/>
          <w:szCs w:val="72"/>
          <w:highlight w:val="none"/>
        </w:rPr>
      </w:pPr>
    </w:p>
    <w:p>
      <w:pPr>
        <w:pStyle w:val="21"/>
        <w:rPr>
          <w:rFonts w:ascii="Times New Roman" w:hAnsi="Times New Roman"/>
        </w:rPr>
        <w:sectPr>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pPr>
    </w:p>
    <w:p>
      <w:pPr>
        <w:rPr>
          <w:rFonts w:ascii="Times New Roman" w:hAnsi="Times New Roman"/>
        </w:rPr>
      </w:pPr>
    </w:p>
    <w:p>
      <w:pPr>
        <w:pStyle w:val="2"/>
        <w:jc w:val="center"/>
        <w:rPr>
          <w:rFonts w:hint="eastAsia" w:ascii="Times New Roman" w:hAnsi="Times New Roman" w:eastAsia="方正小标宋简体" w:cs="Times New Roman"/>
          <w:color w:val="auto"/>
          <w:kern w:val="2"/>
          <w:sz w:val="44"/>
          <w:szCs w:val="44"/>
          <w:highlight w:val="none"/>
          <w:lang w:val="en-US" w:eastAsia="zh-CN" w:bidi="ar-SA"/>
        </w:rPr>
      </w:pPr>
    </w:p>
    <w:p>
      <w:pPr>
        <w:pStyle w:val="2"/>
        <w:jc w:val="center"/>
        <w:rPr>
          <w:rFonts w:hint="eastAsia" w:ascii="Times New Roman" w:hAnsi="Times New Roman" w:eastAsia="方正小标宋简体" w:cs="Times New Roman"/>
          <w:color w:val="auto"/>
          <w:kern w:val="2"/>
          <w:sz w:val="44"/>
          <w:szCs w:val="44"/>
          <w:highlight w:val="none"/>
          <w:lang w:val="en-US" w:eastAsia="zh-CN" w:bidi="ar-SA"/>
        </w:rPr>
      </w:pPr>
    </w:p>
    <w:p>
      <w:pPr>
        <w:pStyle w:val="2"/>
        <w:jc w:val="center"/>
        <w:rPr>
          <w:rFonts w:hint="eastAsia" w:ascii="Times New Roman" w:hAnsi="Times New Roman" w:eastAsia="方正小标宋简体" w:cs="Times New Roman"/>
          <w:color w:val="auto"/>
          <w:kern w:val="2"/>
          <w:sz w:val="44"/>
          <w:szCs w:val="44"/>
          <w:highlight w:val="none"/>
          <w:lang w:val="en-US" w:eastAsia="zh-CN" w:bidi="ar-SA"/>
        </w:rPr>
      </w:pPr>
    </w:p>
    <w:p>
      <w:pPr>
        <w:pStyle w:val="2"/>
        <w:jc w:val="center"/>
        <w:rPr>
          <w:rFonts w:hint="eastAsia" w:ascii="Times New Roman" w:hAnsi="Times New Roman" w:eastAsia="方正小标宋简体" w:cs="Times New Roman"/>
          <w:color w:val="auto"/>
          <w:kern w:val="2"/>
          <w:sz w:val="44"/>
          <w:szCs w:val="44"/>
          <w:highlight w:val="none"/>
          <w:lang w:val="en-US" w:eastAsia="zh-CN" w:bidi="ar-SA"/>
        </w:rPr>
      </w:pPr>
    </w:p>
    <w:bookmarkEnd w:id="0"/>
    <w:bookmarkEnd w:id="1"/>
    <w:bookmarkEnd w:id="2"/>
    <w:bookmarkEnd w:id="3"/>
    <w:bookmarkEnd w:id="4"/>
    <w:p>
      <w:pPr>
        <w:pStyle w:val="2"/>
        <w:jc w:val="center"/>
        <w:rPr>
          <w:rFonts w:hint="eastAsia" w:ascii="Times New Roman" w:eastAsia="方正小标宋简体" w:cs="Times New Roman"/>
          <w:color w:val="auto"/>
          <w:kern w:val="2"/>
          <w:sz w:val="44"/>
          <w:szCs w:val="44"/>
          <w:highlight w:val="none"/>
          <w:lang w:val="en-US" w:eastAsia="zh-CN" w:bidi="ar-SA"/>
        </w:rPr>
      </w:pPr>
      <w:bookmarkStart w:id="6" w:name="_Toc15377426"/>
      <w:bookmarkStart w:id="7" w:name="_Toc15377194"/>
      <w:bookmarkStart w:id="8" w:name="_Toc15378442"/>
      <w:bookmarkStart w:id="9" w:name="_Toc15396598"/>
      <w:bookmarkStart w:id="10" w:name="_Toc15396476"/>
      <w:r>
        <w:rPr>
          <w:rFonts w:hint="eastAsia" w:ascii="Times New Roman" w:hAnsi="Times New Roman" w:eastAsia="方正小标宋简体" w:cs="Times New Roman"/>
          <w:color w:val="auto"/>
          <w:kern w:val="2"/>
          <w:sz w:val="44"/>
          <w:szCs w:val="44"/>
          <w:highlight w:val="none"/>
          <w:lang w:val="en-US" w:eastAsia="zh-CN" w:bidi="ar-SA"/>
        </w:rPr>
        <w:t>2024年度</w:t>
      </w:r>
      <w:bookmarkEnd w:id="5"/>
      <w:bookmarkStart w:id="11" w:name="_Toc15306268"/>
      <w:r>
        <w:rPr>
          <w:rFonts w:hint="eastAsia" w:ascii="Times New Roman" w:eastAsia="方正小标宋简体" w:cs="Times New Roman"/>
          <w:color w:val="auto"/>
          <w:kern w:val="2"/>
          <w:sz w:val="44"/>
          <w:szCs w:val="44"/>
          <w:highlight w:val="none"/>
          <w:lang w:val="en-US" w:eastAsia="zh-CN" w:bidi="ar-SA"/>
        </w:rPr>
        <w:t>攀枝花市人民政府办公室</w:t>
      </w:r>
    </w:p>
    <w:p>
      <w:pPr>
        <w:pStyle w:val="2"/>
        <w:jc w:val="center"/>
        <w:rPr>
          <w:rFonts w:hint="eastAsia" w:ascii="Times New Roman" w:hAnsi="Times New Roman" w:eastAsia="方正小标宋简体" w:cs="Times New Roman"/>
          <w:color w:val="auto"/>
          <w:kern w:val="2"/>
          <w:sz w:val="44"/>
          <w:szCs w:val="44"/>
          <w:highlight w:val="none"/>
          <w:lang w:val="en-US" w:eastAsia="zh-CN" w:bidi="ar-SA"/>
        </w:rPr>
      </w:pPr>
      <w:r>
        <w:rPr>
          <w:rFonts w:hint="eastAsia" w:ascii="Times New Roman" w:eastAsia="方正小标宋简体" w:cs="Times New Roman"/>
          <w:color w:val="auto"/>
          <w:kern w:val="2"/>
          <w:sz w:val="44"/>
          <w:szCs w:val="44"/>
          <w:highlight w:val="none"/>
          <w:lang w:val="en-US" w:eastAsia="zh-CN" w:bidi="ar-SA"/>
        </w:rPr>
        <w:t>单位</w:t>
      </w:r>
      <w:r>
        <w:rPr>
          <w:rFonts w:hint="eastAsia" w:ascii="Times New Roman" w:hAnsi="Times New Roman" w:eastAsia="方正小标宋简体" w:cs="Times New Roman"/>
          <w:color w:val="auto"/>
          <w:kern w:val="2"/>
          <w:sz w:val="44"/>
          <w:szCs w:val="44"/>
          <w:highlight w:val="none"/>
          <w:lang w:val="en-US" w:eastAsia="zh-CN" w:bidi="ar-SA"/>
        </w:rPr>
        <w:t>决算</w:t>
      </w:r>
      <w:bookmarkEnd w:id="6"/>
      <w:bookmarkEnd w:id="7"/>
      <w:bookmarkEnd w:id="8"/>
      <w:bookmarkEnd w:id="9"/>
      <w:bookmarkEnd w:id="10"/>
      <w:bookmarkEnd w:id="11"/>
    </w:p>
    <w:p>
      <w:pPr>
        <w:widowControl/>
        <w:jc w:val="center"/>
        <w:rPr>
          <w:rFonts w:ascii="Times New Roman" w:hAnsi="Times New Roman" w:eastAsia="方正小标宋简体"/>
          <w:color w:val="auto"/>
          <w:sz w:val="36"/>
          <w:szCs w:val="36"/>
          <w:highlight w:val="none"/>
        </w:rPr>
      </w:pPr>
    </w:p>
    <w:p>
      <w:pPr>
        <w:bidi w:val="0"/>
        <w:rPr>
          <w:rFonts w:ascii="Times New Roman" w:hAnsi="Times New Roman" w:eastAsia="方正小标宋简体"/>
          <w:color w:val="auto"/>
          <w:sz w:val="36"/>
          <w:szCs w:val="36"/>
          <w:highlight w:val="none"/>
        </w:rPr>
      </w:pPr>
    </w:p>
    <w:p>
      <w:pPr>
        <w:bidi w:val="0"/>
        <w:rPr>
          <w:rFonts w:ascii="Times New Roman" w:hAnsi="Times New Roman" w:eastAsia="方正小标宋简体"/>
          <w:color w:val="auto"/>
          <w:sz w:val="36"/>
          <w:szCs w:val="36"/>
          <w:highlight w:val="none"/>
        </w:rPr>
      </w:pPr>
    </w:p>
    <w:p>
      <w:pPr>
        <w:bidi w:val="0"/>
        <w:rPr>
          <w:rFonts w:ascii="Times New Roman" w:hAnsi="Times New Roman" w:eastAsia="方正小标宋简体"/>
          <w:color w:val="auto"/>
          <w:sz w:val="36"/>
          <w:szCs w:val="36"/>
          <w:highlight w:val="none"/>
        </w:rPr>
      </w:pPr>
    </w:p>
    <w:p>
      <w:pPr>
        <w:bidi w:val="0"/>
        <w:rPr>
          <w:rFonts w:ascii="Times New Roman" w:hAnsi="Times New Roman" w:eastAsia="方正小标宋简体"/>
          <w:color w:val="auto"/>
          <w:sz w:val="36"/>
          <w:szCs w:val="36"/>
          <w:highlight w:val="none"/>
        </w:rPr>
      </w:pPr>
    </w:p>
    <w:p>
      <w:pPr>
        <w:bidi w:val="0"/>
        <w:rPr>
          <w:rFonts w:ascii="Times New Roman" w:hAnsi="Times New Roman" w:eastAsia="方正小标宋简体"/>
          <w:color w:val="auto"/>
          <w:sz w:val="36"/>
          <w:szCs w:val="36"/>
          <w:highlight w:val="none"/>
        </w:rPr>
      </w:pPr>
    </w:p>
    <w:p>
      <w:pPr>
        <w:bidi w:val="0"/>
        <w:rPr>
          <w:rFonts w:ascii="Times New Roman" w:hAnsi="Times New Roman" w:eastAsia="方正小标宋简体"/>
          <w:color w:val="auto"/>
          <w:sz w:val="36"/>
          <w:szCs w:val="36"/>
          <w:highlight w:val="none"/>
        </w:rPr>
      </w:pPr>
    </w:p>
    <w:p>
      <w:pPr>
        <w:bidi w:val="0"/>
        <w:rPr>
          <w:rFonts w:ascii="Times New Roman" w:hAnsi="Times New Roman" w:eastAsia="方正小标宋简体"/>
          <w:color w:val="auto"/>
          <w:sz w:val="36"/>
          <w:szCs w:val="36"/>
          <w:highlight w:val="none"/>
        </w:rPr>
      </w:pPr>
    </w:p>
    <w:p>
      <w:pPr>
        <w:bidi w:val="0"/>
        <w:rPr>
          <w:rFonts w:ascii="Times New Roman" w:hAnsi="Times New Roman" w:eastAsia="方正小标宋简体"/>
          <w:color w:val="auto"/>
          <w:sz w:val="36"/>
          <w:szCs w:val="36"/>
          <w:highlight w:val="none"/>
        </w:rPr>
      </w:pPr>
    </w:p>
    <w:p>
      <w:pPr>
        <w:bidi w:val="0"/>
        <w:rPr>
          <w:rFonts w:ascii="Times New Roman" w:hAnsi="Times New Roman" w:eastAsia="方正小标宋简体"/>
          <w:color w:val="auto"/>
          <w:sz w:val="36"/>
          <w:szCs w:val="36"/>
          <w:highlight w:val="none"/>
        </w:rPr>
      </w:pPr>
    </w:p>
    <w:p>
      <w:pPr>
        <w:bidi w:val="0"/>
        <w:rPr>
          <w:rFonts w:ascii="Times New Roman" w:hAnsi="Times New Roman" w:eastAsia="方正小标宋简体"/>
          <w:color w:val="auto"/>
          <w:sz w:val="36"/>
          <w:szCs w:val="36"/>
          <w:highlight w:val="none"/>
        </w:rPr>
      </w:pPr>
    </w:p>
    <w:p>
      <w:pPr>
        <w:bidi w:val="0"/>
        <w:rPr>
          <w:rFonts w:ascii="Times New Roman" w:hAnsi="Times New Roman" w:eastAsia="方正小标宋简体"/>
          <w:color w:val="auto"/>
          <w:sz w:val="36"/>
          <w:szCs w:val="36"/>
          <w:highlight w:val="none"/>
        </w:rPr>
      </w:pPr>
    </w:p>
    <w:p>
      <w:pPr>
        <w:bidi w:val="0"/>
        <w:jc w:val="left"/>
        <w:rPr>
          <w:rFonts w:ascii="Times New Roman" w:hAnsi="Times New Roman" w:eastAsia="黑体"/>
          <w:color w:val="auto"/>
          <w:sz w:val="48"/>
          <w:szCs w:val="48"/>
          <w:highlight w:val="none"/>
        </w:rPr>
      </w:pPr>
      <w:r>
        <w:rPr>
          <w:rFonts w:ascii="Times New Roman" w:hAnsi="Times New Roman" w:eastAsia="方正小标宋简体"/>
          <w:color w:val="auto"/>
          <w:sz w:val="36"/>
          <w:szCs w:val="36"/>
          <w:highlight w:val="none"/>
        </w:rPr>
        <w:br w:type="page"/>
      </w:r>
      <w:r>
        <w:rPr>
          <w:rFonts w:hint="eastAsia" w:ascii="Times New Roman" w:hAnsi="Times New Roman" w:eastAsia="黑体"/>
          <w:color w:val="auto"/>
          <w:sz w:val="48"/>
          <w:szCs w:val="48"/>
          <w:highlight w:val="none"/>
        </w:rPr>
        <w:t>目录</w:t>
      </w:r>
    </w:p>
    <w:p>
      <w:pPr>
        <w:widowControl/>
        <w:jc w:val="center"/>
        <w:rPr>
          <w:rFonts w:ascii="Times New Roman" w:hAnsi="Times New Roman" w:eastAsia="黑体" w:cstheme="minorBidi"/>
          <w:color w:val="auto"/>
          <w:sz w:val="28"/>
          <w:szCs w:val="28"/>
          <w:highlight w:val="none"/>
        </w:rPr>
      </w:pPr>
    </w:p>
    <w:p>
      <w:pPr>
        <w:pStyle w:val="13"/>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公开时间：20</w:t>
      </w:r>
      <w:r>
        <w:rPr>
          <w:rFonts w:hint="eastAsia" w:ascii="Times New Roman" w:hAnsi="Times New Roman" w:eastAsia="仿宋_GB2312" w:cs="仿宋_GB2312"/>
          <w:color w:val="auto"/>
          <w:sz w:val="32"/>
          <w:szCs w:val="32"/>
          <w:highlight w:val="none"/>
          <w:lang w:val="en-US" w:eastAsia="zh-CN"/>
        </w:rPr>
        <w:t>25</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val="en-US" w:eastAsia="zh-CN"/>
        </w:rPr>
        <w:t xml:space="preserve"> 9 </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 xml:space="preserve"> 17 </w:t>
      </w:r>
      <w:r>
        <w:rPr>
          <w:rFonts w:hint="eastAsia" w:ascii="Times New Roman" w:hAnsi="Times New Roman" w:eastAsia="仿宋_GB2312" w:cs="仿宋_GB2312"/>
          <w:color w:val="auto"/>
          <w:sz w:val="32"/>
          <w:szCs w:val="32"/>
          <w:highlight w:val="none"/>
        </w:rPr>
        <w:t>日</w:t>
      </w:r>
    </w:p>
    <w:sdt>
      <w:sdtPr>
        <w:rPr>
          <w:rFonts w:ascii="宋体" w:hAnsi="宋体" w:eastAsia="宋体" w:cs="Times New Roman"/>
          <w:kern w:val="2"/>
          <w:sz w:val="21"/>
          <w:szCs w:val="24"/>
          <w:lang w:val="en-US" w:eastAsia="zh-CN" w:bidi="ar-SA"/>
        </w:rPr>
        <w:id w:val="816754740"/>
        <w:docPartObj>
          <w:docPartGallery w:val="Table of Contents"/>
          <w:docPartUnique/>
        </w:docPartObj>
      </w:sdtPr>
      <w:sdtEndPr>
        <w:rPr>
          <w:rFonts w:ascii="Times New Roman" w:hAnsi="Times New Roman" w:eastAsia="宋体" w:cs="Times New Roman"/>
          <w:sz w:val="20"/>
          <w:szCs w:val="20"/>
        </w:rPr>
      </w:sdtEndPr>
      <w:sdtContent>
        <w:p>
          <w:pPr>
            <w:spacing w:before="0" w:beforeLines="0" w:after="0" w:afterLines="0" w:line="240" w:lineRule="auto"/>
            <w:ind w:left="0" w:leftChars="0" w:right="0" w:rightChars="0" w:firstLine="0" w:firstLineChars="0"/>
            <w:jc w:val="center"/>
          </w:pPr>
          <w:bookmarkStart w:id="12" w:name="_Toc1731031580_WPSOffice_Type2"/>
        </w:p>
        <w:p>
          <w:pPr>
            <w:pStyle w:val="37"/>
            <w:keepNext w:val="0"/>
            <w:keepLines w:val="0"/>
            <w:pageBreakBefore w:val="0"/>
            <w:widowControl/>
            <w:tabs>
              <w:tab w:val="right" w:leader="dot" w:pos="8306"/>
            </w:tabs>
            <w:kinsoku/>
            <w:wordWrap/>
            <w:overflowPunct/>
            <w:topLinePunct w:val="0"/>
            <w:autoSpaceDE/>
            <w:autoSpaceDN/>
            <w:bidi w:val="0"/>
            <w:adjustRightInd/>
            <w:snapToGrid/>
            <w:spacing w:line="370" w:lineRule="exact"/>
            <w:textAlignment w:val="auto"/>
          </w:pPr>
          <w:r>
            <w:rPr>
              <w:b/>
              <w:bCs/>
            </w:rPr>
            <w:fldChar w:fldCharType="begin"/>
          </w:r>
          <w:r>
            <w:instrText xml:space="preserve"> HYPERLINK \l _Toc204349368_WPSOffice_Level1 </w:instrText>
          </w:r>
          <w:r>
            <w:rPr>
              <w:b/>
              <w:bCs/>
            </w:rPr>
            <w:fldChar w:fldCharType="separate"/>
          </w:r>
          <w:sdt>
            <w:sdtPr>
              <w:rPr>
                <w:rFonts w:ascii="Times New Roman" w:hAnsi="Times New Roman" w:eastAsia="宋体" w:cs="Times New Roman"/>
                <w:b/>
                <w:bCs/>
                <w:kern w:val="44"/>
                <w:sz w:val="44"/>
                <w:szCs w:val="44"/>
                <w:lang w:val="en-US" w:eastAsia="zh-CN" w:bidi="ar-SA"/>
              </w:rPr>
              <w:id w:val="816754740"/>
              <w:placeholder>
                <w:docPart w:val="{f6097144-55e2-49a7-a727-62ccff64b659}"/>
              </w:placeholder>
            </w:sdtPr>
            <w:sdtEndPr>
              <w:rPr>
                <w:rFonts w:ascii="Times New Roman" w:hAnsi="Times New Roman" w:eastAsia="宋体" w:cs="Times New Roman"/>
                <w:b/>
                <w:bCs/>
                <w:kern w:val="44"/>
                <w:sz w:val="44"/>
                <w:szCs w:val="44"/>
                <w:lang w:val="en-US" w:eastAsia="zh-CN" w:bidi="ar-SA"/>
              </w:rPr>
            </w:sdtEndPr>
            <w:sdtContent>
              <w:r>
                <w:rPr>
                  <w:rFonts w:hint="eastAsia" w:ascii="Times New Roman" w:hAnsi="Times New Roman" w:eastAsia="方正小标宋简体" w:cs="方正小标宋简体"/>
                  <w:b/>
                  <w:bCs/>
                </w:rPr>
                <w:t>第一部分  单位概况</w:t>
              </w:r>
            </w:sdtContent>
          </w:sdt>
          <w:r>
            <w:rPr>
              <w:b/>
              <w:bCs/>
            </w:rPr>
            <w:tab/>
          </w:r>
          <w:r>
            <w:rPr>
              <w:rFonts w:hint="eastAsia"/>
              <w:b/>
              <w:bCs/>
              <w:lang w:val="en-US" w:eastAsia="zh-CN"/>
            </w:rPr>
            <w:t>3</w:t>
          </w:r>
          <w:r>
            <w:rPr>
              <w:b/>
              <w:bCs/>
            </w:rPr>
            <w:fldChar w:fldCharType="end"/>
          </w:r>
        </w:p>
        <w:p>
          <w:pPr>
            <w:pStyle w:val="38"/>
            <w:keepNext w:val="0"/>
            <w:keepLines w:val="0"/>
            <w:pageBreakBefore w:val="0"/>
            <w:widowControl/>
            <w:tabs>
              <w:tab w:val="right" w:leader="dot" w:pos="8306"/>
            </w:tabs>
            <w:kinsoku/>
            <w:wordWrap/>
            <w:overflowPunct/>
            <w:topLinePunct w:val="0"/>
            <w:autoSpaceDE/>
            <w:autoSpaceDN/>
            <w:bidi w:val="0"/>
            <w:adjustRightInd/>
            <w:snapToGrid/>
            <w:spacing w:line="370" w:lineRule="exact"/>
            <w:textAlignment w:val="auto"/>
          </w:pPr>
          <w:r>
            <w:fldChar w:fldCharType="begin"/>
          </w:r>
          <w:r>
            <w:instrText xml:space="preserve"> HYPERLINK \l _Toc1731031580_WPSOffice_Level2 </w:instrText>
          </w:r>
          <w:r>
            <w:fldChar w:fldCharType="separate"/>
          </w:r>
          <w:sdt>
            <w:sdtPr>
              <w:rPr>
                <w:rFonts w:ascii="Times New Roman" w:hAnsi="Times New Roman" w:eastAsia="宋体" w:cs="Times New Roman"/>
                <w:b/>
                <w:bCs/>
                <w:kern w:val="44"/>
                <w:sz w:val="44"/>
                <w:szCs w:val="44"/>
                <w:lang w:val="en-US" w:eastAsia="zh-CN" w:bidi="ar-SA"/>
              </w:rPr>
              <w:id w:val="816754740"/>
              <w:placeholder>
                <w:docPart w:val="{478f8be7-5420-4299-8044-b38f49c33ec5}"/>
              </w:placeholder>
            </w:sdtPr>
            <w:sdtEndPr>
              <w:rPr>
                <w:rFonts w:ascii="Times New Roman" w:hAnsi="Times New Roman" w:eastAsia="宋体" w:cs="Times New Roman"/>
                <w:b/>
                <w:bCs/>
                <w:kern w:val="44"/>
                <w:sz w:val="44"/>
                <w:szCs w:val="44"/>
                <w:lang w:val="en-US" w:eastAsia="zh-CN" w:bidi="ar-SA"/>
              </w:rPr>
            </w:sdtEndPr>
            <w:sdtContent>
              <w:r>
                <w:rPr>
                  <w:rFonts w:hint="eastAsia" w:ascii="Times New Roman" w:hAnsi="Times New Roman" w:eastAsia="黑体" w:cstheme="majorBidi"/>
                </w:rPr>
                <w:t>一、主要职责</w:t>
              </w:r>
            </w:sdtContent>
          </w:sdt>
          <w:r>
            <w:tab/>
          </w:r>
          <w:r>
            <w:rPr>
              <w:rFonts w:hint="eastAsia"/>
              <w:lang w:val="en-US" w:eastAsia="zh-CN"/>
            </w:rPr>
            <w:t>3</w:t>
          </w:r>
          <w:r>
            <w:fldChar w:fldCharType="end"/>
          </w:r>
        </w:p>
        <w:p>
          <w:pPr>
            <w:pStyle w:val="38"/>
            <w:keepNext w:val="0"/>
            <w:keepLines w:val="0"/>
            <w:pageBreakBefore w:val="0"/>
            <w:widowControl/>
            <w:tabs>
              <w:tab w:val="right" w:leader="dot" w:pos="8306"/>
            </w:tabs>
            <w:kinsoku/>
            <w:wordWrap/>
            <w:overflowPunct/>
            <w:topLinePunct w:val="0"/>
            <w:autoSpaceDE/>
            <w:autoSpaceDN/>
            <w:bidi w:val="0"/>
            <w:adjustRightInd/>
            <w:snapToGrid/>
            <w:spacing w:line="370" w:lineRule="exact"/>
            <w:textAlignment w:val="auto"/>
          </w:pPr>
          <w:r>
            <w:fldChar w:fldCharType="begin"/>
          </w:r>
          <w:r>
            <w:instrText xml:space="preserve"> HYPERLINK \l _Toc2005162551_WPSOffice_Level2 </w:instrText>
          </w:r>
          <w:r>
            <w:fldChar w:fldCharType="separate"/>
          </w:r>
          <w:sdt>
            <w:sdtPr>
              <w:rPr>
                <w:rFonts w:ascii="Times New Roman" w:hAnsi="Times New Roman" w:eastAsia="宋体" w:cs="Times New Roman"/>
                <w:b/>
                <w:bCs/>
                <w:kern w:val="44"/>
                <w:sz w:val="44"/>
                <w:szCs w:val="44"/>
                <w:lang w:val="en-US" w:eastAsia="zh-CN" w:bidi="ar-SA"/>
              </w:rPr>
              <w:id w:val="816754740"/>
              <w:placeholder>
                <w:docPart w:val="{0515b897-449c-4b4a-a860-0bcbd786c4a7}"/>
              </w:placeholder>
            </w:sdtPr>
            <w:sdtEndPr>
              <w:rPr>
                <w:rFonts w:ascii="Times New Roman" w:hAnsi="Times New Roman" w:eastAsia="宋体" w:cs="Times New Roman"/>
                <w:b/>
                <w:bCs/>
                <w:kern w:val="44"/>
                <w:sz w:val="44"/>
                <w:szCs w:val="44"/>
                <w:lang w:val="en-US" w:eastAsia="zh-CN" w:bidi="ar-SA"/>
              </w:rPr>
            </w:sdtEndPr>
            <w:sdtContent>
              <w:r>
                <w:rPr>
                  <w:rFonts w:hint="eastAsia" w:ascii="Times New Roman" w:hAnsi="Times New Roman" w:eastAsia="黑体" w:cstheme="majorBidi"/>
                </w:rPr>
                <w:t>二、机构设置</w:t>
              </w:r>
            </w:sdtContent>
          </w:sdt>
          <w:r>
            <w:tab/>
          </w:r>
          <w:r>
            <w:rPr>
              <w:rFonts w:hint="eastAsia"/>
              <w:lang w:val="en-US" w:eastAsia="zh-CN"/>
            </w:rPr>
            <w:t>5</w:t>
          </w:r>
          <w:r>
            <w:fldChar w:fldCharType="end"/>
          </w:r>
        </w:p>
        <w:p>
          <w:pPr>
            <w:pStyle w:val="37"/>
            <w:keepNext w:val="0"/>
            <w:keepLines w:val="0"/>
            <w:pageBreakBefore w:val="0"/>
            <w:widowControl/>
            <w:tabs>
              <w:tab w:val="right" w:leader="dot" w:pos="8306"/>
            </w:tabs>
            <w:kinsoku/>
            <w:wordWrap/>
            <w:overflowPunct/>
            <w:topLinePunct w:val="0"/>
            <w:autoSpaceDE/>
            <w:autoSpaceDN/>
            <w:bidi w:val="0"/>
            <w:adjustRightInd/>
            <w:snapToGrid/>
            <w:spacing w:line="370" w:lineRule="exact"/>
            <w:textAlignment w:val="auto"/>
          </w:pPr>
          <w:r>
            <w:rPr>
              <w:b/>
              <w:bCs/>
            </w:rPr>
            <w:fldChar w:fldCharType="begin"/>
          </w:r>
          <w:r>
            <w:instrText xml:space="preserve"> HYPERLINK \l _Toc1731031580_WPSOffice_Level1 </w:instrText>
          </w:r>
          <w:r>
            <w:rPr>
              <w:b/>
              <w:bCs/>
            </w:rPr>
            <w:fldChar w:fldCharType="separate"/>
          </w:r>
          <w:sdt>
            <w:sdtPr>
              <w:rPr>
                <w:rFonts w:ascii="Times New Roman" w:hAnsi="Times New Roman" w:eastAsia="宋体" w:cs="Times New Roman"/>
                <w:b/>
                <w:bCs/>
                <w:kern w:val="44"/>
                <w:sz w:val="44"/>
                <w:szCs w:val="44"/>
                <w:lang w:val="en-US" w:eastAsia="zh-CN" w:bidi="ar-SA"/>
              </w:rPr>
              <w:id w:val="816754740"/>
              <w:placeholder>
                <w:docPart w:val="{4bd3e04b-0252-4a0e-9335-63eb1c321b11}"/>
              </w:placeholder>
            </w:sdtPr>
            <w:sdtEndPr>
              <w:rPr>
                <w:rFonts w:ascii="Times New Roman" w:hAnsi="Times New Roman" w:eastAsia="宋体" w:cs="Times New Roman"/>
                <w:b/>
                <w:bCs/>
                <w:kern w:val="44"/>
                <w:sz w:val="44"/>
                <w:szCs w:val="44"/>
                <w:lang w:val="en-US" w:eastAsia="zh-CN" w:bidi="ar-SA"/>
              </w:rPr>
            </w:sdtEndPr>
            <w:sdtContent>
              <w:r>
                <w:rPr>
                  <w:rFonts w:hint="eastAsia" w:ascii="Times New Roman" w:hAnsi="Times New Roman" w:eastAsia="方正小标宋简体" w:cs="方正小标宋简体"/>
                  <w:b/>
                  <w:bCs/>
                </w:rPr>
                <w:t>第二部分  2024年度单位决算情况说明</w:t>
              </w:r>
            </w:sdtContent>
          </w:sdt>
          <w:r>
            <w:rPr>
              <w:b/>
              <w:bCs/>
            </w:rPr>
            <w:tab/>
          </w:r>
          <w:r>
            <w:rPr>
              <w:rFonts w:hint="eastAsia"/>
              <w:b/>
              <w:bCs/>
              <w:lang w:val="en-US" w:eastAsia="zh-CN"/>
            </w:rPr>
            <w:t>6</w:t>
          </w:r>
          <w:r>
            <w:rPr>
              <w:b/>
              <w:bCs/>
            </w:rPr>
            <w:fldChar w:fldCharType="end"/>
          </w:r>
        </w:p>
        <w:p>
          <w:pPr>
            <w:pStyle w:val="38"/>
            <w:keepNext w:val="0"/>
            <w:keepLines w:val="0"/>
            <w:pageBreakBefore w:val="0"/>
            <w:widowControl/>
            <w:tabs>
              <w:tab w:val="right" w:leader="dot" w:pos="8306"/>
            </w:tabs>
            <w:kinsoku/>
            <w:wordWrap/>
            <w:overflowPunct/>
            <w:topLinePunct w:val="0"/>
            <w:autoSpaceDE/>
            <w:autoSpaceDN/>
            <w:bidi w:val="0"/>
            <w:adjustRightInd/>
            <w:snapToGrid/>
            <w:spacing w:line="370" w:lineRule="exact"/>
            <w:textAlignment w:val="auto"/>
          </w:pPr>
          <w:r>
            <w:fldChar w:fldCharType="begin"/>
          </w:r>
          <w:r>
            <w:instrText xml:space="preserve"> HYPERLINK \l _Toc1705856527_WPSOffice_Level2 </w:instrText>
          </w:r>
          <w:r>
            <w:fldChar w:fldCharType="separate"/>
          </w:r>
          <w:sdt>
            <w:sdtPr>
              <w:rPr>
                <w:rFonts w:ascii="Times New Roman" w:hAnsi="Times New Roman" w:eastAsia="宋体" w:cs="Times New Roman"/>
                <w:b/>
                <w:bCs/>
                <w:kern w:val="44"/>
                <w:sz w:val="44"/>
                <w:szCs w:val="44"/>
                <w:lang w:val="en-US" w:eastAsia="zh-CN" w:bidi="ar-SA"/>
              </w:rPr>
              <w:id w:val="816754740"/>
              <w:placeholder>
                <w:docPart w:val="{4b76f297-ea6c-49ea-9c5f-31b6ef083125}"/>
              </w:placeholder>
            </w:sdtPr>
            <w:sdtEndPr>
              <w:rPr>
                <w:rFonts w:ascii="Times New Roman" w:hAnsi="Times New Roman" w:eastAsia="宋体" w:cs="Times New Roman"/>
                <w:b/>
                <w:bCs/>
                <w:kern w:val="44"/>
                <w:sz w:val="44"/>
                <w:szCs w:val="44"/>
                <w:lang w:val="en-US" w:eastAsia="zh-CN" w:bidi="ar-SA"/>
              </w:rPr>
            </w:sdtEndPr>
            <w:sdtContent>
              <w:r>
                <w:rPr>
                  <w:rFonts w:hint="eastAsia" w:ascii="Times New Roman" w:hAnsi="Times New Roman" w:eastAsia="黑体" w:cs="Times New Roman"/>
                </w:rPr>
                <w:t>一、收</w:t>
              </w:r>
              <w:r>
                <w:rPr>
                  <w:rFonts w:hint="eastAsia" w:ascii="Times New Roman" w:hAnsi="Times New Roman" w:eastAsia="黑体" w:cstheme="majorBidi"/>
                </w:rPr>
                <w:t>入支出决算总体情况说明</w:t>
              </w:r>
            </w:sdtContent>
          </w:sdt>
          <w:r>
            <w:tab/>
          </w:r>
          <w:r>
            <w:rPr>
              <w:rFonts w:hint="eastAsia"/>
              <w:lang w:val="en-US" w:eastAsia="zh-CN"/>
            </w:rPr>
            <w:t>6</w:t>
          </w:r>
          <w:r>
            <w:fldChar w:fldCharType="end"/>
          </w:r>
        </w:p>
        <w:p>
          <w:pPr>
            <w:pStyle w:val="38"/>
            <w:keepNext w:val="0"/>
            <w:keepLines w:val="0"/>
            <w:pageBreakBefore w:val="0"/>
            <w:widowControl/>
            <w:tabs>
              <w:tab w:val="right" w:leader="dot" w:pos="8306"/>
            </w:tabs>
            <w:kinsoku/>
            <w:wordWrap/>
            <w:overflowPunct/>
            <w:topLinePunct w:val="0"/>
            <w:autoSpaceDE/>
            <w:autoSpaceDN/>
            <w:bidi w:val="0"/>
            <w:adjustRightInd/>
            <w:snapToGrid/>
            <w:spacing w:line="370" w:lineRule="exact"/>
            <w:textAlignment w:val="auto"/>
          </w:pPr>
          <w:r>
            <w:fldChar w:fldCharType="begin"/>
          </w:r>
          <w:r>
            <w:instrText xml:space="preserve"> HYPERLINK \l _Toc1727646274_WPSOffice_Level2 </w:instrText>
          </w:r>
          <w:r>
            <w:fldChar w:fldCharType="separate"/>
          </w:r>
          <w:sdt>
            <w:sdtPr>
              <w:rPr>
                <w:rFonts w:ascii="Times New Roman" w:hAnsi="Times New Roman" w:eastAsia="宋体" w:cs="Times New Roman"/>
                <w:b/>
                <w:bCs/>
                <w:kern w:val="44"/>
                <w:sz w:val="44"/>
                <w:szCs w:val="44"/>
                <w:lang w:val="en-US" w:eastAsia="zh-CN" w:bidi="ar-SA"/>
              </w:rPr>
              <w:id w:val="816754740"/>
              <w:placeholder>
                <w:docPart w:val="{eefc5a22-9001-4d38-a183-442efbf2cecd}"/>
              </w:placeholder>
            </w:sdtPr>
            <w:sdtEndPr>
              <w:rPr>
                <w:rFonts w:ascii="Times New Roman" w:hAnsi="Times New Roman" w:eastAsia="宋体" w:cs="Times New Roman"/>
                <w:b/>
                <w:bCs/>
                <w:kern w:val="44"/>
                <w:sz w:val="44"/>
                <w:szCs w:val="44"/>
                <w:lang w:val="en-US" w:eastAsia="zh-CN" w:bidi="ar-SA"/>
              </w:rPr>
            </w:sdtEndPr>
            <w:sdtContent>
              <w:r>
                <w:rPr>
                  <w:rFonts w:hint="eastAsia" w:ascii="Times New Roman" w:hAnsi="Times New Roman" w:eastAsia="黑体" w:cs="Times New Roman"/>
                </w:rPr>
                <w:t>二、收入决算情况说明</w:t>
              </w:r>
            </w:sdtContent>
          </w:sdt>
          <w:r>
            <w:tab/>
          </w:r>
          <w:r>
            <w:rPr>
              <w:rFonts w:hint="eastAsia"/>
              <w:lang w:val="en-US" w:eastAsia="zh-CN"/>
            </w:rPr>
            <w:t>6</w:t>
          </w:r>
          <w:r>
            <w:fldChar w:fldCharType="end"/>
          </w:r>
        </w:p>
        <w:p>
          <w:pPr>
            <w:pStyle w:val="38"/>
            <w:keepNext w:val="0"/>
            <w:keepLines w:val="0"/>
            <w:pageBreakBefore w:val="0"/>
            <w:widowControl/>
            <w:tabs>
              <w:tab w:val="right" w:leader="dot" w:pos="8306"/>
            </w:tabs>
            <w:kinsoku/>
            <w:wordWrap/>
            <w:overflowPunct/>
            <w:topLinePunct w:val="0"/>
            <w:autoSpaceDE/>
            <w:autoSpaceDN/>
            <w:bidi w:val="0"/>
            <w:adjustRightInd/>
            <w:snapToGrid/>
            <w:spacing w:line="370" w:lineRule="exact"/>
            <w:textAlignment w:val="auto"/>
          </w:pPr>
          <w:r>
            <w:fldChar w:fldCharType="begin"/>
          </w:r>
          <w:r>
            <w:instrText xml:space="preserve"> HYPERLINK \l _Toc863913277_WPSOffice_Level2 </w:instrText>
          </w:r>
          <w:r>
            <w:fldChar w:fldCharType="separate"/>
          </w:r>
          <w:sdt>
            <w:sdtPr>
              <w:rPr>
                <w:rFonts w:ascii="Times New Roman" w:hAnsi="Times New Roman" w:eastAsia="宋体" w:cs="Times New Roman"/>
                <w:b/>
                <w:bCs/>
                <w:kern w:val="44"/>
                <w:sz w:val="44"/>
                <w:szCs w:val="44"/>
                <w:lang w:val="en-US" w:eastAsia="zh-CN" w:bidi="ar-SA"/>
              </w:rPr>
              <w:id w:val="816754740"/>
              <w:placeholder>
                <w:docPart w:val="{c2db00bb-4ff8-4ac7-af77-3326a0d20361}"/>
              </w:placeholder>
            </w:sdtPr>
            <w:sdtEndPr>
              <w:rPr>
                <w:rFonts w:ascii="Times New Roman" w:hAnsi="Times New Roman" w:eastAsia="宋体" w:cs="Times New Roman"/>
                <w:b/>
                <w:bCs/>
                <w:kern w:val="44"/>
                <w:sz w:val="44"/>
                <w:szCs w:val="44"/>
                <w:lang w:val="en-US" w:eastAsia="zh-CN" w:bidi="ar-SA"/>
              </w:rPr>
            </w:sdtEndPr>
            <w:sdtContent>
              <w:r>
                <w:rPr>
                  <w:rFonts w:hint="eastAsia" w:ascii="Times New Roman" w:hAnsi="Times New Roman" w:eastAsia="黑体" w:cs="Times New Roman"/>
                </w:rPr>
                <w:t>三、支</w:t>
              </w:r>
              <w:r>
                <w:rPr>
                  <w:rFonts w:hint="eastAsia" w:ascii="Times New Roman" w:hAnsi="Times New Roman" w:eastAsia="黑体" w:cstheme="majorBidi"/>
                </w:rPr>
                <w:t>出决算情况说明</w:t>
              </w:r>
            </w:sdtContent>
          </w:sdt>
          <w:r>
            <w:tab/>
          </w:r>
          <w:r>
            <w:rPr>
              <w:rFonts w:hint="eastAsia"/>
              <w:lang w:val="en-US" w:eastAsia="zh-CN"/>
            </w:rPr>
            <w:t>7</w:t>
          </w:r>
          <w:r>
            <w:fldChar w:fldCharType="end"/>
          </w:r>
        </w:p>
        <w:p>
          <w:pPr>
            <w:pStyle w:val="38"/>
            <w:keepNext w:val="0"/>
            <w:keepLines w:val="0"/>
            <w:pageBreakBefore w:val="0"/>
            <w:widowControl/>
            <w:tabs>
              <w:tab w:val="right" w:leader="dot" w:pos="8306"/>
            </w:tabs>
            <w:kinsoku/>
            <w:wordWrap/>
            <w:overflowPunct/>
            <w:topLinePunct w:val="0"/>
            <w:autoSpaceDE/>
            <w:autoSpaceDN/>
            <w:bidi w:val="0"/>
            <w:adjustRightInd/>
            <w:snapToGrid/>
            <w:spacing w:line="370" w:lineRule="exact"/>
            <w:textAlignment w:val="auto"/>
          </w:pPr>
          <w:r>
            <w:fldChar w:fldCharType="begin"/>
          </w:r>
          <w:r>
            <w:instrText xml:space="preserve"> HYPERLINK \l _Toc1614477815_WPSOffice_Level2 </w:instrText>
          </w:r>
          <w:r>
            <w:fldChar w:fldCharType="separate"/>
          </w:r>
          <w:sdt>
            <w:sdtPr>
              <w:rPr>
                <w:rFonts w:ascii="Times New Roman" w:hAnsi="Times New Roman" w:eastAsia="宋体" w:cs="Times New Roman"/>
                <w:b/>
                <w:bCs/>
                <w:kern w:val="44"/>
                <w:sz w:val="44"/>
                <w:szCs w:val="44"/>
                <w:lang w:val="en-US" w:eastAsia="zh-CN" w:bidi="ar-SA"/>
              </w:rPr>
              <w:id w:val="816754740"/>
              <w:placeholder>
                <w:docPart w:val="{de42ce3d-4c15-466e-8730-e9b5e9dbb85c}"/>
              </w:placeholder>
            </w:sdtPr>
            <w:sdtEndPr>
              <w:rPr>
                <w:rFonts w:ascii="Times New Roman" w:hAnsi="Times New Roman" w:eastAsia="宋体" w:cs="Times New Roman"/>
                <w:b/>
                <w:bCs/>
                <w:kern w:val="44"/>
                <w:sz w:val="44"/>
                <w:szCs w:val="44"/>
                <w:lang w:val="en-US" w:eastAsia="zh-CN" w:bidi="ar-SA"/>
              </w:rPr>
            </w:sdtEndPr>
            <w:sdtContent>
              <w:r>
                <w:rPr>
                  <w:rFonts w:hint="eastAsia" w:ascii="Times New Roman" w:hAnsi="Times New Roman" w:eastAsia="黑体" w:cs="Times New Roman"/>
                </w:rPr>
                <w:t>四、财</w:t>
              </w:r>
              <w:r>
                <w:rPr>
                  <w:rFonts w:hint="eastAsia" w:ascii="Times New Roman" w:hAnsi="Times New Roman" w:eastAsia="黑体" w:cstheme="majorBidi"/>
                </w:rPr>
                <w:t>政拨款收入支出决算总体情况说明</w:t>
              </w:r>
            </w:sdtContent>
          </w:sdt>
          <w:r>
            <w:tab/>
          </w:r>
          <w:r>
            <w:rPr>
              <w:rFonts w:hint="eastAsia"/>
              <w:lang w:val="en-US" w:eastAsia="zh-CN"/>
            </w:rPr>
            <w:t>8</w:t>
          </w:r>
          <w:r>
            <w:fldChar w:fldCharType="end"/>
          </w:r>
        </w:p>
        <w:p>
          <w:pPr>
            <w:pStyle w:val="38"/>
            <w:keepNext w:val="0"/>
            <w:keepLines w:val="0"/>
            <w:pageBreakBefore w:val="0"/>
            <w:widowControl/>
            <w:tabs>
              <w:tab w:val="right" w:leader="dot" w:pos="8306"/>
            </w:tabs>
            <w:kinsoku/>
            <w:wordWrap/>
            <w:overflowPunct/>
            <w:topLinePunct w:val="0"/>
            <w:autoSpaceDE/>
            <w:autoSpaceDN/>
            <w:bidi w:val="0"/>
            <w:adjustRightInd/>
            <w:snapToGrid/>
            <w:spacing w:line="370" w:lineRule="exact"/>
            <w:textAlignment w:val="auto"/>
          </w:pPr>
          <w:r>
            <w:fldChar w:fldCharType="begin"/>
          </w:r>
          <w:r>
            <w:instrText xml:space="preserve"> HYPERLINK \l _Toc1070458612_WPSOffice_Level2 </w:instrText>
          </w:r>
          <w:r>
            <w:fldChar w:fldCharType="separate"/>
          </w:r>
          <w:sdt>
            <w:sdtPr>
              <w:rPr>
                <w:rFonts w:ascii="Times New Roman" w:hAnsi="Times New Roman" w:eastAsia="宋体" w:cs="Times New Roman"/>
                <w:b/>
                <w:bCs/>
                <w:kern w:val="44"/>
                <w:sz w:val="44"/>
                <w:szCs w:val="44"/>
                <w:lang w:val="en-US" w:eastAsia="zh-CN" w:bidi="ar-SA"/>
              </w:rPr>
              <w:id w:val="816754740"/>
              <w:placeholder>
                <w:docPart w:val="{0bf4b022-1d2c-4af2-a67f-3d249d63c47d}"/>
              </w:placeholder>
            </w:sdtPr>
            <w:sdtEndPr>
              <w:rPr>
                <w:rFonts w:ascii="Times New Roman" w:hAnsi="Times New Roman" w:eastAsia="宋体" w:cs="Times New Roman"/>
                <w:b/>
                <w:bCs/>
                <w:kern w:val="44"/>
                <w:sz w:val="44"/>
                <w:szCs w:val="44"/>
                <w:lang w:val="en-US" w:eastAsia="zh-CN" w:bidi="ar-SA"/>
              </w:rPr>
            </w:sdtEndPr>
            <w:sdtContent>
              <w:r>
                <w:rPr>
                  <w:rFonts w:hint="eastAsia" w:ascii="Times New Roman" w:hAnsi="Times New Roman" w:eastAsia="黑体" w:cs="Times New Roman"/>
                </w:rPr>
                <w:t>五、一</w:t>
              </w:r>
              <w:r>
                <w:rPr>
                  <w:rFonts w:hint="eastAsia" w:ascii="Times New Roman" w:hAnsi="Times New Roman" w:eastAsia="黑体" w:cstheme="majorBidi"/>
                </w:rPr>
                <w:t>般公共预算财政拨款支出决算情况说明</w:t>
              </w:r>
            </w:sdtContent>
          </w:sdt>
          <w:r>
            <w:tab/>
          </w:r>
          <w:r>
            <w:rPr>
              <w:rFonts w:hint="eastAsia"/>
              <w:lang w:val="en-US" w:eastAsia="zh-CN"/>
            </w:rPr>
            <w:t>8</w:t>
          </w:r>
          <w:r>
            <w:fldChar w:fldCharType="end"/>
          </w:r>
        </w:p>
        <w:p>
          <w:pPr>
            <w:pStyle w:val="38"/>
            <w:keepNext w:val="0"/>
            <w:keepLines w:val="0"/>
            <w:pageBreakBefore w:val="0"/>
            <w:widowControl/>
            <w:tabs>
              <w:tab w:val="right" w:leader="dot" w:pos="8306"/>
            </w:tabs>
            <w:kinsoku/>
            <w:wordWrap/>
            <w:overflowPunct/>
            <w:topLinePunct w:val="0"/>
            <w:autoSpaceDE/>
            <w:autoSpaceDN/>
            <w:bidi w:val="0"/>
            <w:adjustRightInd/>
            <w:snapToGrid/>
            <w:spacing w:line="370" w:lineRule="exact"/>
            <w:textAlignment w:val="auto"/>
          </w:pPr>
          <w:r>
            <w:fldChar w:fldCharType="begin"/>
          </w:r>
          <w:r>
            <w:instrText xml:space="preserve"> HYPERLINK \l _Toc1689448444_WPSOffice_Level2 </w:instrText>
          </w:r>
          <w:r>
            <w:fldChar w:fldCharType="separate"/>
          </w:r>
          <w:sdt>
            <w:sdtPr>
              <w:rPr>
                <w:rFonts w:ascii="Times New Roman" w:hAnsi="Times New Roman" w:eastAsia="宋体" w:cs="Times New Roman"/>
                <w:b/>
                <w:bCs/>
                <w:kern w:val="44"/>
                <w:sz w:val="44"/>
                <w:szCs w:val="44"/>
                <w:lang w:val="en-US" w:eastAsia="zh-CN" w:bidi="ar-SA"/>
              </w:rPr>
              <w:id w:val="816754740"/>
              <w:placeholder>
                <w:docPart w:val="{f3f55f3c-e46d-45ec-8426-ef81b93d6ddb}"/>
              </w:placeholder>
            </w:sdtPr>
            <w:sdtEndPr>
              <w:rPr>
                <w:rFonts w:ascii="Times New Roman" w:hAnsi="Times New Roman" w:eastAsia="宋体" w:cs="Times New Roman"/>
                <w:b/>
                <w:bCs/>
                <w:kern w:val="44"/>
                <w:sz w:val="44"/>
                <w:szCs w:val="44"/>
                <w:lang w:val="en-US" w:eastAsia="zh-CN" w:bidi="ar-SA"/>
              </w:rPr>
            </w:sdtEndPr>
            <w:sdtContent>
              <w:r>
                <w:rPr>
                  <w:rFonts w:hint="eastAsia" w:ascii="Times New Roman" w:hAnsi="Times New Roman" w:eastAsia="黑体" w:cs="Times New Roman"/>
                </w:rPr>
                <w:t>六、一</w:t>
              </w:r>
              <w:r>
                <w:rPr>
                  <w:rFonts w:hint="eastAsia" w:ascii="Times New Roman" w:hAnsi="Times New Roman" w:eastAsia="黑体" w:cstheme="majorBidi"/>
                </w:rPr>
                <w:t>般公共预算财政拨款基本支出决算情况说明</w:t>
              </w:r>
            </w:sdtContent>
          </w:sdt>
          <w:r>
            <w:tab/>
          </w:r>
          <w:bookmarkStart w:id="13" w:name="_Toc1689448444_WPSOffice_Level2Page"/>
          <w:r>
            <w:t>1</w:t>
          </w:r>
          <w:bookmarkEnd w:id="13"/>
          <w:r>
            <w:rPr>
              <w:rFonts w:hint="eastAsia"/>
              <w:lang w:val="en-US" w:eastAsia="zh-CN"/>
            </w:rPr>
            <w:t>2</w:t>
          </w:r>
          <w:r>
            <w:fldChar w:fldCharType="end"/>
          </w:r>
        </w:p>
        <w:p>
          <w:pPr>
            <w:pStyle w:val="38"/>
            <w:keepNext w:val="0"/>
            <w:keepLines w:val="0"/>
            <w:pageBreakBefore w:val="0"/>
            <w:widowControl/>
            <w:tabs>
              <w:tab w:val="right" w:leader="dot" w:pos="8306"/>
            </w:tabs>
            <w:kinsoku/>
            <w:wordWrap/>
            <w:overflowPunct/>
            <w:topLinePunct w:val="0"/>
            <w:autoSpaceDE/>
            <w:autoSpaceDN/>
            <w:bidi w:val="0"/>
            <w:adjustRightInd/>
            <w:snapToGrid/>
            <w:spacing w:line="370" w:lineRule="exact"/>
            <w:textAlignment w:val="auto"/>
          </w:pPr>
          <w:r>
            <w:fldChar w:fldCharType="begin"/>
          </w:r>
          <w:r>
            <w:instrText xml:space="preserve"> HYPERLINK \l _Toc1773026843_WPSOffice_Level2 </w:instrText>
          </w:r>
          <w:r>
            <w:fldChar w:fldCharType="separate"/>
          </w:r>
          <w:sdt>
            <w:sdtPr>
              <w:rPr>
                <w:rFonts w:ascii="Times New Roman" w:hAnsi="Times New Roman" w:eastAsia="宋体" w:cs="Times New Roman"/>
                <w:b/>
                <w:bCs/>
                <w:kern w:val="44"/>
                <w:sz w:val="44"/>
                <w:szCs w:val="44"/>
                <w:lang w:val="en-US" w:eastAsia="zh-CN" w:bidi="ar-SA"/>
              </w:rPr>
              <w:id w:val="816754740"/>
              <w:placeholder>
                <w:docPart w:val="{997a0337-ab34-41bd-a3c3-4012d460d010}"/>
              </w:placeholder>
            </w:sdtPr>
            <w:sdtEndPr>
              <w:rPr>
                <w:rFonts w:ascii="Times New Roman" w:hAnsi="Times New Roman" w:eastAsia="宋体" w:cs="Times New Roman"/>
                <w:b/>
                <w:bCs/>
                <w:kern w:val="44"/>
                <w:sz w:val="44"/>
                <w:szCs w:val="44"/>
                <w:lang w:val="en-US" w:eastAsia="zh-CN" w:bidi="ar-SA"/>
              </w:rPr>
            </w:sdtEndPr>
            <w:sdtContent>
              <w:r>
                <w:rPr>
                  <w:rFonts w:hint="eastAsia" w:ascii="Times New Roman" w:hAnsi="Times New Roman" w:eastAsia="黑体" w:cs="Times New Roman"/>
                </w:rPr>
                <w:t>七、</w:t>
              </w:r>
              <w:r>
                <w:rPr>
                  <w:rFonts w:hint="eastAsia" w:ascii="Times New Roman" w:hAnsi="Times New Roman" w:eastAsia="黑体" w:cstheme="majorBidi"/>
                </w:rPr>
                <w:t>财政拨款“三公”经费支出决算情况说明</w:t>
              </w:r>
            </w:sdtContent>
          </w:sdt>
          <w:r>
            <w:tab/>
          </w:r>
          <w:bookmarkStart w:id="14" w:name="_Toc1773026843_WPSOffice_Level2Page"/>
          <w:r>
            <w:t>1</w:t>
          </w:r>
          <w:bookmarkEnd w:id="14"/>
          <w:r>
            <w:rPr>
              <w:rFonts w:hint="eastAsia"/>
              <w:lang w:val="en-US" w:eastAsia="zh-CN"/>
            </w:rPr>
            <w:t>2</w:t>
          </w:r>
          <w:r>
            <w:fldChar w:fldCharType="end"/>
          </w:r>
        </w:p>
        <w:p>
          <w:pPr>
            <w:pStyle w:val="38"/>
            <w:keepNext w:val="0"/>
            <w:keepLines w:val="0"/>
            <w:pageBreakBefore w:val="0"/>
            <w:widowControl/>
            <w:tabs>
              <w:tab w:val="right" w:leader="dot" w:pos="8306"/>
            </w:tabs>
            <w:kinsoku/>
            <w:wordWrap/>
            <w:overflowPunct/>
            <w:topLinePunct w:val="0"/>
            <w:autoSpaceDE/>
            <w:autoSpaceDN/>
            <w:bidi w:val="0"/>
            <w:adjustRightInd/>
            <w:snapToGrid/>
            <w:spacing w:line="370" w:lineRule="exact"/>
            <w:textAlignment w:val="auto"/>
          </w:pPr>
          <w:r>
            <w:fldChar w:fldCharType="begin"/>
          </w:r>
          <w:r>
            <w:instrText xml:space="preserve"> HYPERLINK \l _Toc150656862_WPSOffice_Level2 </w:instrText>
          </w:r>
          <w:r>
            <w:fldChar w:fldCharType="separate"/>
          </w:r>
          <w:sdt>
            <w:sdtPr>
              <w:rPr>
                <w:rFonts w:ascii="Times New Roman" w:hAnsi="Times New Roman" w:eastAsia="宋体" w:cs="Times New Roman"/>
                <w:b/>
                <w:bCs/>
                <w:kern w:val="44"/>
                <w:sz w:val="44"/>
                <w:szCs w:val="44"/>
                <w:lang w:val="en-US" w:eastAsia="zh-CN" w:bidi="ar-SA"/>
              </w:rPr>
              <w:id w:val="816754740"/>
              <w:placeholder>
                <w:docPart w:val="{21333c9f-82e6-447b-af31-6586c53589a6}"/>
              </w:placeholder>
            </w:sdtPr>
            <w:sdtEndPr>
              <w:rPr>
                <w:rFonts w:ascii="Times New Roman" w:hAnsi="Times New Roman" w:eastAsia="宋体" w:cs="Times New Roman"/>
                <w:b/>
                <w:bCs/>
                <w:kern w:val="44"/>
                <w:sz w:val="44"/>
                <w:szCs w:val="44"/>
                <w:lang w:val="en-US" w:eastAsia="zh-CN" w:bidi="ar-SA"/>
              </w:rPr>
            </w:sdtEndPr>
            <w:sdtContent>
              <w:r>
                <w:rPr>
                  <w:rFonts w:hint="eastAsia" w:ascii="Times New Roman" w:hAnsi="Times New Roman" w:eastAsia="黑体" w:cs="Times New Roman"/>
                </w:rPr>
                <w:t>八、</w:t>
              </w:r>
              <w:r>
                <w:rPr>
                  <w:rFonts w:hint="eastAsia" w:ascii="Times New Roman" w:hAnsi="Times New Roman" w:eastAsia="黑体" w:cstheme="majorBidi"/>
                </w:rPr>
                <w:t>政府性基金预算支出决算情况说明</w:t>
              </w:r>
            </w:sdtContent>
          </w:sdt>
          <w:r>
            <w:tab/>
          </w:r>
          <w:bookmarkStart w:id="15" w:name="_Toc150656862_WPSOffice_Level2Page"/>
          <w:r>
            <w:t>1</w:t>
          </w:r>
          <w:bookmarkEnd w:id="15"/>
          <w:r>
            <w:rPr>
              <w:rFonts w:hint="eastAsia"/>
              <w:lang w:val="en-US" w:eastAsia="zh-CN"/>
            </w:rPr>
            <w:t>4</w:t>
          </w:r>
          <w:r>
            <w:fldChar w:fldCharType="end"/>
          </w:r>
        </w:p>
        <w:p>
          <w:pPr>
            <w:pStyle w:val="38"/>
            <w:keepNext w:val="0"/>
            <w:keepLines w:val="0"/>
            <w:pageBreakBefore w:val="0"/>
            <w:widowControl/>
            <w:tabs>
              <w:tab w:val="right" w:leader="dot" w:pos="8306"/>
            </w:tabs>
            <w:kinsoku/>
            <w:wordWrap/>
            <w:overflowPunct/>
            <w:topLinePunct w:val="0"/>
            <w:autoSpaceDE/>
            <w:autoSpaceDN/>
            <w:bidi w:val="0"/>
            <w:adjustRightInd/>
            <w:snapToGrid/>
            <w:spacing w:line="370" w:lineRule="exact"/>
            <w:textAlignment w:val="auto"/>
          </w:pPr>
          <w:r>
            <w:fldChar w:fldCharType="begin"/>
          </w:r>
          <w:r>
            <w:instrText xml:space="preserve"> HYPERLINK \l _Toc620822329_WPSOffice_Level2 </w:instrText>
          </w:r>
          <w:r>
            <w:fldChar w:fldCharType="separate"/>
          </w:r>
          <w:sdt>
            <w:sdtPr>
              <w:rPr>
                <w:rFonts w:ascii="Times New Roman" w:hAnsi="Times New Roman" w:eastAsia="宋体" w:cs="Times New Roman"/>
                <w:b/>
                <w:bCs/>
                <w:kern w:val="44"/>
                <w:sz w:val="44"/>
                <w:szCs w:val="44"/>
                <w:lang w:val="en-US" w:eastAsia="zh-CN" w:bidi="ar-SA"/>
              </w:rPr>
              <w:id w:val="816754740"/>
              <w:placeholder>
                <w:docPart w:val="{cadbd507-70c5-47ab-bb09-e5f6a9858cbd}"/>
              </w:placeholder>
            </w:sdtPr>
            <w:sdtEndPr>
              <w:rPr>
                <w:rFonts w:ascii="Times New Roman" w:hAnsi="Times New Roman" w:eastAsia="宋体" w:cs="Times New Roman"/>
                <w:b/>
                <w:bCs/>
                <w:kern w:val="44"/>
                <w:sz w:val="44"/>
                <w:szCs w:val="44"/>
                <w:lang w:val="en-US" w:eastAsia="zh-CN" w:bidi="ar-SA"/>
              </w:rPr>
            </w:sdtEndPr>
            <w:sdtContent>
              <w:r>
                <w:rPr>
                  <w:rFonts w:hint="eastAsia" w:ascii="Times New Roman" w:hAnsi="Times New Roman" w:eastAsia="黑体" w:cstheme="majorBidi"/>
                </w:rPr>
                <w:t>九、国有资本经营预算支出决算情况说明</w:t>
              </w:r>
            </w:sdtContent>
          </w:sdt>
          <w:r>
            <w:tab/>
          </w:r>
          <w:bookmarkStart w:id="16" w:name="_Toc620822329_WPSOffice_Level2Page"/>
          <w:r>
            <w:t>1</w:t>
          </w:r>
          <w:bookmarkEnd w:id="16"/>
          <w:r>
            <w:rPr>
              <w:rFonts w:hint="eastAsia"/>
              <w:lang w:val="en-US" w:eastAsia="zh-CN"/>
            </w:rPr>
            <w:t>4</w:t>
          </w:r>
          <w:r>
            <w:fldChar w:fldCharType="end"/>
          </w:r>
        </w:p>
        <w:p>
          <w:pPr>
            <w:pStyle w:val="38"/>
            <w:keepNext w:val="0"/>
            <w:keepLines w:val="0"/>
            <w:pageBreakBefore w:val="0"/>
            <w:widowControl/>
            <w:tabs>
              <w:tab w:val="right" w:leader="dot" w:pos="8306"/>
            </w:tabs>
            <w:kinsoku/>
            <w:wordWrap/>
            <w:overflowPunct/>
            <w:topLinePunct w:val="0"/>
            <w:autoSpaceDE/>
            <w:autoSpaceDN/>
            <w:bidi w:val="0"/>
            <w:adjustRightInd/>
            <w:snapToGrid/>
            <w:spacing w:line="370" w:lineRule="exact"/>
            <w:textAlignment w:val="auto"/>
          </w:pPr>
          <w:r>
            <w:fldChar w:fldCharType="begin"/>
          </w:r>
          <w:r>
            <w:instrText xml:space="preserve"> HYPERLINK \l _Toc320557116_WPSOffice_Level2 </w:instrText>
          </w:r>
          <w:r>
            <w:fldChar w:fldCharType="separate"/>
          </w:r>
          <w:sdt>
            <w:sdtPr>
              <w:rPr>
                <w:rFonts w:ascii="Times New Roman" w:hAnsi="Times New Roman" w:eastAsia="宋体" w:cs="Times New Roman"/>
                <w:b/>
                <w:bCs/>
                <w:kern w:val="44"/>
                <w:sz w:val="44"/>
                <w:szCs w:val="44"/>
                <w:lang w:val="en-US" w:eastAsia="zh-CN" w:bidi="ar-SA"/>
              </w:rPr>
              <w:id w:val="816754740"/>
              <w:placeholder>
                <w:docPart w:val="{7ec27e81-db40-4186-845d-598d569b2bda}"/>
              </w:placeholder>
            </w:sdtPr>
            <w:sdtEndPr>
              <w:rPr>
                <w:rFonts w:ascii="Times New Roman" w:hAnsi="Times New Roman" w:eastAsia="宋体" w:cs="Times New Roman"/>
                <w:b/>
                <w:bCs/>
                <w:kern w:val="44"/>
                <w:sz w:val="44"/>
                <w:szCs w:val="44"/>
                <w:lang w:val="en-US" w:eastAsia="zh-CN" w:bidi="ar-SA"/>
              </w:rPr>
            </w:sdtEndPr>
            <w:sdtContent>
              <w:r>
                <w:rPr>
                  <w:rFonts w:hint="eastAsia" w:ascii="Times New Roman" w:hAnsi="Times New Roman" w:eastAsia="黑体" w:cstheme="majorBidi"/>
                </w:rPr>
                <w:t>十、其他重要事项的情况说明</w:t>
              </w:r>
            </w:sdtContent>
          </w:sdt>
          <w:r>
            <w:tab/>
          </w:r>
          <w:bookmarkStart w:id="17" w:name="_Toc320557116_WPSOffice_Level2Page"/>
          <w:r>
            <w:t>1</w:t>
          </w:r>
          <w:bookmarkEnd w:id="17"/>
          <w:r>
            <w:rPr>
              <w:rFonts w:hint="eastAsia"/>
              <w:lang w:val="en-US" w:eastAsia="zh-CN"/>
            </w:rPr>
            <w:t>4</w:t>
          </w:r>
          <w:r>
            <w:fldChar w:fldCharType="end"/>
          </w:r>
        </w:p>
        <w:p>
          <w:pPr>
            <w:pStyle w:val="37"/>
            <w:keepNext w:val="0"/>
            <w:keepLines w:val="0"/>
            <w:pageBreakBefore w:val="0"/>
            <w:widowControl/>
            <w:tabs>
              <w:tab w:val="right" w:leader="dot" w:pos="8306"/>
            </w:tabs>
            <w:kinsoku/>
            <w:wordWrap/>
            <w:overflowPunct/>
            <w:topLinePunct w:val="0"/>
            <w:autoSpaceDE/>
            <w:autoSpaceDN/>
            <w:bidi w:val="0"/>
            <w:adjustRightInd/>
            <w:snapToGrid/>
            <w:spacing w:line="370" w:lineRule="exact"/>
            <w:textAlignment w:val="auto"/>
          </w:pPr>
          <w:r>
            <w:rPr>
              <w:b/>
              <w:bCs/>
            </w:rPr>
            <w:fldChar w:fldCharType="begin"/>
          </w:r>
          <w:r>
            <w:instrText xml:space="preserve"> HYPERLINK \l _Toc2005162551_WPSOffice_Level1 </w:instrText>
          </w:r>
          <w:r>
            <w:rPr>
              <w:b/>
              <w:bCs/>
            </w:rPr>
            <w:fldChar w:fldCharType="separate"/>
          </w:r>
          <w:sdt>
            <w:sdtPr>
              <w:rPr>
                <w:rFonts w:ascii="Times New Roman" w:hAnsi="Times New Roman" w:eastAsia="宋体" w:cs="Times New Roman"/>
                <w:b/>
                <w:bCs/>
                <w:kern w:val="44"/>
                <w:sz w:val="44"/>
                <w:szCs w:val="44"/>
                <w:lang w:val="en-US" w:eastAsia="zh-CN" w:bidi="ar-SA"/>
              </w:rPr>
              <w:id w:val="816754740"/>
              <w:placeholder>
                <w:docPart w:val="{3f8d39e2-471c-4eb9-93d4-2004f6066063}"/>
              </w:placeholder>
            </w:sdtPr>
            <w:sdtEndPr>
              <w:rPr>
                <w:rFonts w:ascii="Times New Roman" w:hAnsi="Times New Roman" w:eastAsia="宋体" w:cs="Times New Roman"/>
                <w:b/>
                <w:bCs/>
                <w:kern w:val="44"/>
                <w:sz w:val="44"/>
                <w:szCs w:val="44"/>
                <w:lang w:val="en-US" w:eastAsia="zh-CN" w:bidi="ar-SA"/>
              </w:rPr>
            </w:sdtEndPr>
            <w:sdtContent>
              <w:r>
                <w:rPr>
                  <w:rFonts w:hint="eastAsia" w:ascii="Times New Roman" w:hAnsi="Times New Roman" w:eastAsia="黑体" w:cs="Times New Roman"/>
                  <w:b/>
                  <w:bCs/>
                </w:rPr>
                <w:t>第三部分  名词解释</w:t>
              </w:r>
            </w:sdtContent>
          </w:sdt>
          <w:r>
            <w:rPr>
              <w:b/>
              <w:bCs/>
            </w:rPr>
            <w:tab/>
          </w:r>
          <w:bookmarkStart w:id="18" w:name="_Toc2005162551_WPSOffice_Level1Page"/>
          <w:r>
            <w:rPr>
              <w:b/>
              <w:bCs/>
            </w:rPr>
            <w:t>1</w:t>
          </w:r>
          <w:bookmarkEnd w:id="18"/>
          <w:r>
            <w:rPr>
              <w:rFonts w:hint="eastAsia"/>
              <w:b/>
              <w:bCs/>
              <w:lang w:val="en-US" w:eastAsia="zh-CN"/>
            </w:rPr>
            <w:t>6</w:t>
          </w:r>
          <w:r>
            <w:rPr>
              <w:b/>
              <w:bCs/>
            </w:rPr>
            <w:fldChar w:fldCharType="end"/>
          </w:r>
        </w:p>
        <w:p>
          <w:pPr>
            <w:pStyle w:val="37"/>
            <w:keepNext w:val="0"/>
            <w:keepLines w:val="0"/>
            <w:pageBreakBefore w:val="0"/>
            <w:widowControl/>
            <w:tabs>
              <w:tab w:val="right" w:leader="dot" w:pos="8306"/>
            </w:tabs>
            <w:kinsoku/>
            <w:wordWrap/>
            <w:overflowPunct/>
            <w:topLinePunct w:val="0"/>
            <w:autoSpaceDE/>
            <w:autoSpaceDN/>
            <w:bidi w:val="0"/>
            <w:adjustRightInd/>
            <w:snapToGrid/>
            <w:spacing w:line="370" w:lineRule="exact"/>
            <w:textAlignment w:val="auto"/>
          </w:pPr>
          <w:r>
            <w:rPr>
              <w:b/>
              <w:bCs/>
            </w:rPr>
            <w:fldChar w:fldCharType="begin"/>
          </w:r>
          <w:r>
            <w:instrText xml:space="preserve"> HYPERLINK \l _Toc1705856527_WPSOffice_Level1 </w:instrText>
          </w:r>
          <w:r>
            <w:rPr>
              <w:b/>
              <w:bCs/>
            </w:rPr>
            <w:fldChar w:fldCharType="separate"/>
          </w:r>
          <w:sdt>
            <w:sdtPr>
              <w:rPr>
                <w:rFonts w:ascii="Times New Roman" w:hAnsi="Times New Roman" w:eastAsia="宋体" w:cs="Times New Roman"/>
                <w:b/>
                <w:bCs/>
                <w:kern w:val="44"/>
                <w:sz w:val="44"/>
                <w:szCs w:val="44"/>
                <w:lang w:val="en-US" w:eastAsia="zh-CN" w:bidi="ar-SA"/>
              </w:rPr>
              <w:id w:val="816754740"/>
              <w:placeholder>
                <w:docPart w:val="{e9fc3531-dc01-42bf-b79f-07303b3baf48}"/>
              </w:placeholder>
            </w:sdtPr>
            <w:sdtEndPr>
              <w:rPr>
                <w:rFonts w:ascii="Times New Roman" w:hAnsi="Times New Roman" w:eastAsia="宋体" w:cs="Times New Roman"/>
                <w:b/>
                <w:bCs/>
                <w:kern w:val="44"/>
                <w:sz w:val="44"/>
                <w:szCs w:val="44"/>
                <w:lang w:val="en-US" w:eastAsia="zh-CN" w:bidi="ar-SA"/>
              </w:rPr>
            </w:sdtEndPr>
            <w:sdtContent>
              <w:r>
                <w:rPr>
                  <w:rFonts w:hint="eastAsia" w:ascii="Times New Roman" w:hAnsi="Times New Roman" w:eastAsia="黑体" w:cs="Times New Roman"/>
                  <w:b/>
                  <w:bCs/>
                </w:rPr>
                <w:t>第四部分  附件</w:t>
              </w:r>
            </w:sdtContent>
          </w:sdt>
          <w:r>
            <w:rPr>
              <w:b/>
              <w:bCs/>
            </w:rPr>
            <w:tab/>
          </w:r>
          <w:bookmarkStart w:id="19" w:name="_Toc1705856527_WPSOffice_Level1Page"/>
          <w:r>
            <w:rPr>
              <w:b/>
              <w:bCs/>
            </w:rPr>
            <w:t>2</w:t>
          </w:r>
          <w:bookmarkEnd w:id="19"/>
          <w:r>
            <w:rPr>
              <w:rFonts w:hint="eastAsia"/>
              <w:b/>
              <w:bCs/>
              <w:lang w:val="en-US" w:eastAsia="zh-CN"/>
            </w:rPr>
            <w:t>0</w:t>
          </w:r>
          <w:r>
            <w:rPr>
              <w:b/>
              <w:bCs/>
            </w:rPr>
            <w:fldChar w:fldCharType="end"/>
          </w:r>
        </w:p>
        <w:p>
          <w:pPr>
            <w:pStyle w:val="37"/>
            <w:keepNext w:val="0"/>
            <w:keepLines w:val="0"/>
            <w:pageBreakBefore w:val="0"/>
            <w:widowControl/>
            <w:tabs>
              <w:tab w:val="right" w:leader="dot" w:pos="8306"/>
            </w:tabs>
            <w:kinsoku/>
            <w:wordWrap/>
            <w:overflowPunct/>
            <w:topLinePunct w:val="0"/>
            <w:autoSpaceDE/>
            <w:autoSpaceDN/>
            <w:bidi w:val="0"/>
            <w:adjustRightInd/>
            <w:snapToGrid/>
            <w:spacing w:line="370" w:lineRule="exact"/>
            <w:textAlignment w:val="auto"/>
          </w:pPr>
          <w:r>
            <w:rPr>
              <w:b/>
              <w:bCs/>
            </w:rPr>
            <w:fldChar w:fldCharType="begin"/>
          </w:r>
          <w:r>
            <w:instrText xml:space="preserve"> HYPERLINK \l _Toc1727646274_WPSOffice_Level1 </w:instrText>
          </w:r>
          <w:r>
            <w:rPr>
              <w:b/>
              <w:bCs/>
            </w:rPr>
            <w:fldChar w:fldCharType="separate"/>
          </w:r>
          <w:sdt>
            <w:sdtPr>
              <w:rPr>
                <w:rFonts w:ascii="Times New Roman" w:hAnsi="Times New Roman" w:eastAsia="宋体" w:cs="Times New Roman"/>
                <w:b/>
                <w:bCs/>
                <w:kern w:val="44"/>
                <w:sz w:val="44"/>
                <w:szCs w:val="44"/>
                <w:lang w:val="en-US" w:eastAsia="zh-CN" w:bidi="ar-SA"/>
              </w:rPr>
              <w:id w:val="816754740"/>
              <w:placeholder>
                <w:docPart w:val="{bd4cc7b2-627a-408a-9453-9f7bf8777834}"/>
              </w:placeholder>
            </w:sdtPr>
            <w:sdtEndPr>
              <w:rPr>
                <w:rFonts w:ascii="Times New Roman" w:hAnsi="Times New Roman" w:eastAsia="宋体" w:cs="Times New Roman"/>
                <w:b/>
                <w:bCs/>
                <w:kern w:val="44"/>
                <w:sz w:val="44"/>
                <w:szCs w:val="44"/>
                <w:lang w:val="en-US" w:eastAsia="zh-CN" w:bidi="ar-SA"/>
              </w:rPr>
            </w:sdtEndPr>
            <w:sdtContent>
              <w:r>
                <w:rPr>
                  <w:rFonts w:hint="eastAsia" w:ascii="Times New Roman" w:hAnsi="Times New Roman" w:eastAsia="黑体" w:cs="Times New Roman"/>
                  <w:b/>
                  <w:bCs/>
                </w:rPr>
                <w:t>第五部分 附表</w:t>
              </w:r>
            </w:sdtContent>
          </w:sdt>
          <w:r>
            <w:rPr>
              <w:b/>
              <w:bCs/>
            </w:rPr>
            <w:tab/>
          </w:r>
          <w:bookmarkStart w:id="20" w:name="_Toc1727646274_WPSOffice_Level1Page"/>
          <w:r>
            <w:rPr>
              <w:b/>
              <w:bCs/>
            </w:rPr>
            <w:t>2</w:t>
          </w:r>
          <w:r>
            <w:rPr>
              <w:rFonts w:hint="eastAsia"/>
              <w:b/>
              <w:bCs/>
              <w:lang w:val="en-US" w:eastAsia="zh-CN"/>
            </w:rPr>
            <w:t>0</w:t>
          </w:r>
          <w:bookmarkEnd w:id="20"/>
          <w:r>
            <w:rPr>
              <w:b/>
              <w:bCs/>
            </w:rPr>
            <w:fldChar w:fldCharType="end"/>
          </w:r>
        </w:p>
        <w:p>
          <w:pPr>
            <w:pStyle w:val="38"/>
            <w:keepNext w:val="0"/>
            <w:keepLines w:val="0"/>
            <w:pageBreakBefore w:val="0"/>
            <w:widowControl/>
            <w:tabs>
              <w:tab w:val="right" w:leader="dot" w:pos="8306"/>
            </w:tabs>
            <w:kinsoku/>
            <w:wordWrap/>
            <w:overflowPunct/>
            <w:topLinePunct w:val="0"/>
            <w:autoSpaceDE/>
            <w:autoSpaceDN/>
            <w:bidi w:val="0"/>
            <w:adjustRightInd/>
            <w:snapToGrid/>
            <w:spacing w:line="370" w:lineRule="exact"/>
            <w:textAlignment w:val="auto"/>
          </w:pPr>
          <w:r>
            <w:fldChar w:fldCharType="begin"/>
          </w:r>
          <w:r>
            <w:instrText xml:space="preserve"> HYPERLINK \l _Toc1640683570_WPSOffice_Level2 </w:instrText>
          </w:r>
          <w:r>
            <w:fldChar w:fldCharType="separate"/>
          </w:r>
          <w:sdt>
            <w:sdtPr>
              <w:rPr>
                <w:rFonts w:ascii="Times New Roman" w:hAnsi="Times New Roman" w:eastAsia="宋体" w:cs="Times New Roman"/>
                <w:b/>
                <w:bCs/>
                <w:kern w:val="44"/>
                <w:sz w:val="44"/>
                <w:szCs w:val="44"/>
                <w:lang w:val="en-US" w:eastAsia="zh-CN" w:bidi="ar-SA"/>
              </w:rPr>
              <w:id w:val="816754740"/>
              <w:placeholder>
                <w:docPart w:val="{3eea80dc-9248-47ad-a3c2-15a274d6cbd0}"/>
              </w:placeholder>
            </w:sdtPr>
            <w:sdtEndPr>
              <w:rPr>
                <w:rFonts w:ascii="Times New Roman" w:hAnsi="Times New Roman" w:eastAsia="宋体" w:cs="Times New Roman"/>
                <w:b/>
                <w:bCs/>
                <w:kern w:val="44"/>
                <w:sz w:val="44"/>
                <w:szCs w:val="44"/>
                <w:lang w:val="en-US" w:eastAsia="zh-CN" w:bidi="ar-SA"/>
              </w:rPr>
            </w:sdtEndPr>
            <w:sdtContent>
              <w:r>
                <w:rPr>
                  <w:rFonts w:hint="eastAsia" w:ascii="Times New Roman" w:hAnsi="Times New Roman" w:eastAsia="仿宋_GB2312" w:cs="仿宋_GB2312"/>
                </w:rPr>
                <w:t>一、收入支出决算总表</w:t>
              </w:r>
            </w:sdtContent>
          </w:sdt>
          <w:r>
            <w:tab/>
          </w:r>
          <w:bookmarkStart w:id="21" w:name="_Toc1640683570_WPSOffice_Level2Page"/>
          <w:r>
            <w:t>2</w:t>
          </w:r>
          <w:bookmarkEnd w:id="21"/>
          <w:r>
            <w:rPr>
              <w:rFonts w:hint="eastAsia"/>
              <w:lang w:val="en-US" w:eastAsia="zh-CN"/>
            </w:rPr>
            <w:t>0</w:t>
          </w:r>
          <w:r>
            <w:fldChar w:fldCharType="end"/>
          </w:r>
        </w:p>
        <w:p>
          <w:pPr>
            <w:pStyle w:val="38"/>
            <w:keepNext w:val="0"/>
            <w:keepLines w:val="0"/>
            <w:pageBreakBefore w:val="0"/>
            <w:widowControl/>
            <w:tabs>
              <w:tab w:val="right" w:leader="dot" w:pos="8306"/>
            </w:tabs>
            <w:kinsoku/>
            <w:wordWrap/>
            <w:overflowPunct/>
            <w:topLinePunct w:val="0"/>
            <w:autoSpaceDE/>
            <w:autoSpaceDN/>
            <w:bidi w:val="0"/>
            <w:adjustRightInd/>
            <w:snapToGrid/>
            <w:spacing w:line="370" w:lineRule="exact"/>
            <w:textAlignment w:val="auto"/>
          </w:pPr>
          <w:r>
            <w:fldChar w:fldCharType="begin"/>
          </w:r>
          <w:r>
            <w:instrText xml:space="preserve"> HYPERLINK \l _Toc130479404_WPSOffice_Level2 </w:instrText>
          </w:r>
          <w:r>
            <w:fldChar w:fldCharType="separate"/>
          </w:r>
          <w:sdt>
            <w:sdtPr>
              <w:rPr>
                <w:rFonts w:ascii="Times New Roman" w:hAnsi="Times New Roman" w:eastAsia="宋体" w:cs="Times New Roman"/>
                <w:b/>
                <w:bCs/>
                <w:kern w:val="44"/>
                <w:sz w:val="44"/>
                <w:szCs w:val="44"/>
                <w:lang w:val="en-US" w:eastAsia="zh-CN" w:bidi="ar-SA"/>
              </w:rPr>
              <w:id w:val="816754740"/>
              <w:placeholder>
                <w:docPart w:val="{e623334f-fe19-4c41-ba24-0949f4957ce3}"/>
              </w:placeholder>
            </w:sdtPr>
            <w:sdtEndPr>
              <w:rPr>
                <w:rFonts w:ascii="Times New Roman" w:hAnsi="Times New Roman" w:eastAsia="宋体" w:cs="Times New Roman"/>
                <w:b/>
                <w:bCs/>
                <w:kern w:val="44"/>
                <w:sz w:val="44"/>
                <w:szCs w:val="44"/>
                <w:lang w:val="en-US" w:eastAsia="zh-CN" w:bidi="ar-SA"/>
              </w:rPr>
            </w:sdtEndPr>
            <w:sdtContent>
              <w:r>
                <w:rPr>
                  <w:rFonts w:hint="eastAsia" w:ascii="Times New Roman" w:hAnsi="Times New Roman" w:eastAsia="仿宋_GB2312" w:cs="仿宋_GB2312"/>
                </w:rPr>
                <w:t>二、收入决算表</w:t>
              </w:r>
            </w:sdtContent>
          </w:sdt>
          <w:r>
            <w:tab/>
          </w:r>
          <w:bookmarkStart w:id="22" w:name="_Toc130479404_WPSOffice_Level2Page"/>
          <w:r>
            <w:t>2</w:t>
          </w:r>
          <w:bookmarkEnd w:id="22"/>
          <w:r>
            <w:rPr>
              <w:rFonts w:hint="eastAsia"/>
              <w:lang w:val="en-US" w:eastAsia="zh-CN"/>
            </w:rPr>
            <w:t>0</w:t>
          </w:r>
          <w:r>
            <w:fldChar w:fldCharType="end"/>
          </w:r>
        </w:p>
        <w:p>
          <w:pPr>
            <w:pStyle w:val="38"/>
            <w:keepNext w:val="0"/>
            <w:keepLines w:val="0"/>
            <w:pageBreakBefore w:val="0"/>
            <w:widowControl/>
            <w:tabs>
              <w:tab w:val="right" w:leader="dot" w:pos="8306"/>
            </w:tabs>
            <w:kinsoku/>
            <w:wordWrap/>
            <w:overflowPunct/>
            <w:topLinePunct w:val="0"/>
            <w:autoSpaceDE/>
            <w:autoSpaceDN/>
            <w:bidi w:val="0"/>
            <w:adjustRightInd/>
            <w:snapToGrid/>
            <w:spacing w:line="370" w:lineRule="exact"/>
            <w:textAlignment w:val="auto"/>
          </w:pPr>
          <w:r>
            <w:fldChar w:fldCharType="begin"/>
          </w:r>
          <w:r>
            <w:instrText xml:space="preserve"> HYPERLINK \l _Toc1288739566_WPSOffice_Level2 </w:instrText>
          </w:r>
          <w:r>
            <w:fldChar w:fldCharType="separate"/>
          </w:r>
          <w:sdt>
            <w:sdtPr>
              <w:rPr>
                <w:rFonts w:ascii="Times New Roman" w:hAnsi="Times New Roman" w:eastAsia="宋体" w:cs="Times New Roman"/>
                <w:b/>
                <w:bCs/>
                <w:kern w:val="44"/>
                <w:sz w:val="44"/>
                <w:szCs w:val="44"/>
                <w:lang w:val="en-US" w:eastAsia="zh-CN" w:bidi="ar-SA"/>
              </w:rPr>
              <w:id w:val="816754740"/>
              <w:placeholder>
                <w:docPart w:val="{6e268ae7-a815-4212-81d6-84d20c02c9c9}"/>
              </w:placeholder>
            </w:sdtPr>
            <w:sdtEndPr>
              <w:rPr>
                <w:rFonts w:ascii="Times New Roman" w:hAnsi="Times New Roman" w:eastAsia="宋体" w:cs="Times New Roman"/>
                <w:b/>
                <w:bCs/>
                <w:kern w:val="44"/>
                <w:sz w:val="44"/>
                <w:szCs w:val="44"/>
                <w:lang w:val="en-US" w:eastAsia="zh-CN" w:bidi="ar-SA"/>
              </w:rPr>
            </w:sdtEndPr>
            <w:sdtContent>
              <w:r>
                <w:rPr>
                  <w:rFonts w:hint="eastAsia" w:ascii="Times New Roman" w:hAnsi="Times New Roman" w:eastAsia="仿宋_GB2312" w:cs="仿宋_GB2312"/>
                </w:rPr>
                <w:t>三、支出决算表</w:t>
              </w:r>
            </w:sdtContent>
          </w:sdt>
          <w:r>
            <w:tab/>
          </w:r>
          <w:bookmarkStart w:id="23" w:name="_Toc1288739566_WPSOffice_Level2Page"/>
          <w:r>
            <w:t>2</w:t>
          </w:r>
          <w:bookmarkEnd w:id="23"/>
          <w:r>
            <w:rPr>
              <w:rFonts w:hint="eastAsia"/>
              <w:lang w:val="en-US" w:eastAsia="zh-CN"/>
            </w:rPr>
            <w:t>0</w:t>
          </w:r>
          <w:r>
            <w:fldChar w:fldCharType="end"/>
          </w:r>
        </w:p>
        <w:p>
          <w:pPr>
            <w:pStyle w:val="38"/>
            <w:keepNext w:val="0"/>
            <w:keepLines w:val="0"/>
            <w:pageBreakBefore w:val="0"/>
            <w:widowControl/>
            <w:tabs>
              <w:tab w:val="right" w:leader="dot" w:pos="8306"/>
            </w:tabs>
            <w:kinsoku/>
            <w:wordWrap/>
            <w:overflowPunct/>
            <w:topLinePunct w:val="0"/>
            <w:autoSpaceDE/>
            <w:autoSpaceDN/>
            <w:bidi w:val="0"/>
            <w:adjustRightInd/>
            <w:snapToGrid/>
            <w:spacing w:line="370" w:lineRule="exact"/>
            <w:textAlignment w:val="auto"/>
          </w:pPr>
          <w:r>
            <w:fldChar w:fldCharType="begin"/>
          </w:r>
          <w:r>
            <w:instrText xml:space="preserve"> HYPERLINK \l _Toc710317184_WPSOffice_Level2 </w:instrText>
          </w:r>
          <w:r>
            <w:fldChar w:fldCharType="separate"/>
          </w:r>
          <w:sdt>
            <w:sdtPr>
              <w:rPr>
                <w:rFonts w:ascii="Times New Roman" w:hAnsi="Times New Roman" w:eastAsia="宋体" w:cs="Times New Roman"/>
                <w:b/>
                <w:bCs/>
                <w:kern w:val="44"/>
                <w:sz w:val="44"/>
                <w:szCs w:val="44"/>
                <w:lang w:val="en-US" w:eastAsia="zh-CN" w:bidi="ar-SA"/>
              </w:rPr>
              <w:id w:val="816754740"/>
              <w:placeholder>
                <w:docPart w:val="{b0fa8657-3acf-48e6-b554-d62577eea75e}"/>
              </w:placeholder>
            </w:sdtPr>
            <w:sdtEndPr>
              <w:rPr>
                <w:rFonts w:ascii="Times New Roman" w:hAnsi="Times New Roman" w:eastAsia="宋体" w:cs="Times New Roman"/>
                <w:b/>
                <w:bCs/>
                <w:kern w:val="44"/>
                <w:sz w:val="44"/>
                <w:szCs w:val="44"/>
                <w:lang w:val="en-US" w:eastAsia="zh-CN" w:bidi="ar-SA"/>
              </w:rPr>
            </w:sdtEndPr>
            <w:sdtContent>
              <w:r>
                <w:rPr>
                  <w:rFonts w:hint="eastAsia" w:ascii="Times New Roman" w:hAnsi="Times New Roman" w:eastAsia="仿宋_GB2312" w:cs="仿宋_GB2312"/>
                </w:rPr>
                <w:t>四、财政拨款收入支出决算总表</w:t>
              </w:r>
            </w:sdtContent>
          </w:sdt>
          <w:r>
            <w:tab/>
          </w:r>
          <w:bookmarkStart w:id="24" w:name="_Toc710317184_WPSOffice_Level2Page"/>
          <w:r>
            <w:t>2</w:t>
          </w:r>
          <w:bookmarkEnd w:id="24"/>
          <w:r>
            <w:rPr>
              <w:rFonts w:hint="eastAsia"/>
              <w:lang w:val="en-US" w:eastAsia="zh-CN"/>
            </w:rPr>
            <w:t>0</w:t>
          </w:r>
          <w:r>
            <w:fldChar w:fldCharType="end"/>
          </w:r>
        </w:p>
        <w:p>
          <w:pPr>
            <w:pStyle w:val="38"/>
            <w:keepNext w:val="0"/>
            <w:keepLines w:val="0"/>
            <w:pageBreakBefore w:val="0"/>
            <w:widowControl/>
            <w:tabs>
              <w:tab w:val="right" w:leader="dot" w:pos="8306"/>
            </w:tabs>
            <w:kinsoku/>
            <w:wordWrap/>
            <w:overflowPunct/>
            <w:topLinePunct w:val="0"/>
            <w:autoSpaceDE/>
            <w:autoSpaceDN/>
            <w:bidi w:val="0"/>
            <w:adjustRightInd/>
            <w:snapToGrid/>
            <w:spacing w:line="370" w:lineRule="exact"/>
            <w:textAlignment w:val="auto"/>
          </w:pPr>
          <w:r>
            <w:fldChar w:fldCharType="begin"/>
          </w:r>
          <w:r>
            <w:instrText xml:space="preserve"> HYPERLINK \l _Toc1957025982_WPSOffice_Level2 </w:instrText>
          </w:r>
          <w:r>
            <w:fldChar w:fldCharType="separate"/>
          </w:r>
          <w:sdt>
            <w:sdtPr>
              <w:rPr>
                <w:rFonts w:ascii="Times New Roman" w:hAnsi="Times New Roman" w:eastAsia="宋体" w:cs="Times New Roman"/>
                <w:b/>
                <w:bCs/>
                <w:kern w:val="44"/>
                <w:sz w:val="44"/>
                <w:szCs w:val="44"/>
                <w:lang w:val="en-US" w:eastAsia="zh-CN" w:bidi="ar-SA"/>
              </w:rPr>
              <w:id w:val="816754740"/>
              <w:placeholder>
                <w:docPart w:val="{a356e931-35ee-4713-8474-643eda73c80b}"/>
              </w:placeholder>
            </w:sdtPr>
            <w:sdtEndPr>
              <w:rPr>
                <w:rFonts w:ascii="Times New Roman" w:hAnsi="Times New Roman" w:eastAsia="宋体" w:cs="Times New Roman"/>
                <w:b/>
                <w:bCs/>
                <w:kern w:val="44"/>
                <w:sz w:val="44"/>
                <w:szCs w:val="44"/>
                <w:lang w:val="en-US" w:eastAsia="zh-CN" w:bidi="ar-SA"/>
              </w:rPr>
            </w:sdtEndPr>
            <w:sdtContent>
              <w:r>
                <w:rPr>
                  <w:rFonts w:hint="eastAsia" w:ascii="Times New Roman" w:hAnsi="Times New Roman" w:eastAsia="仿宋_GB2312" w:cs="仿宋_GB2312"/>
                </w:rPr>
                <w:t>五、财政拨款支出决算明细表</w:t>
              </w:r>
            </w:sdtContent>
          </w:sdt>
          <w:r>
            <w:tab/>
          </w:r>
          <w:bookmarkStart w:id="25" w:name="_Toc1957025982_WPSOffice_Level2Page"/>
          <w:r>
            <w:t>2</w:t>
          </w:r>
          <w:bookmarkEnd w:id="25"/>
          <w:r>
            <w:rPr>
              <w:rFonts w:hint="eastAsia"/>
              <w:lang w:val="en-US" w:eastAsia="zh-CN"/>
            </w:rPr>
            <w:t>0</w:t>
          </w:r>
          <w:r>
            <w:fldChar w:fldCharType="end"/>
          </w:r>
        </w:p>
        <w:p>
          <w:pPr>
            <w:pStyle w:val="38"/>
            <w:keepNext w:val="0"/>
            <w:keepLines w:val="0"/>
            <w:pageBreakBefore w:val="0"/>
            <w:widowControl/>
            <w:tabs>
              <w:tab w:val="right" w:leader="dot" w:pos="8306"/>
            </w:tabs>
            <w:kinsoku/>
            <w:wordWrap/>
            <w:overflowPunct/>
            <w:topLinePunct w:val="0"/>
            <w:autoSpaceDE/>
            <w:autoSpaceDN/>
            <w:bidi w:val="0"/>
            <w:adjustRightInd/>
            <w:snapToGrid/>
            <w:spacing w:line="370" w:lineRule="exact"/>
            <w:textAlignment w:val="auto"/>
          </w:pPr>
          <w:r>
            <w:fldChar w:fldCharType="begin"/>
          </w:r>
          <w:r>
            <w:instrText xml:space="preserve"> HYPERLINK \l _Toc1995945080_WPSOffice_Level2 </w:instrText>
          </w:r>
          <w:r>
            <w:fldChar w:fldCharType="separate"/>
          </w:r>
          <w:sdt>
            <w:sdtPr>
              <w:rPr>
                <w:rFonts w:ascii="Times New Roman" w:hAnsi="Times New Roman" w:eastAsia="宋体" w:cs="Times New Roman"/>
                <w:b/>
                <w:bCs/>
                <w:kern w:val="44"/>
                <w:sz w:val="44"/>
                <w:szCs w:val="44"/>
                <w:lang w:val="en-US" w:eastAsia="zh-CN" w:bidi="ar-SA"/>
              </w:rPr>
              <w:id w:val="816754740"/>
              <w:placeholder>
                <w:docPart w:val="{6b36350d-c884-4b9b-a30b-957d4027fd23}"/>
              </w:placeholder>
            </w:sdtPr>
            <w:sdtEndPr>
              <w:rPr>
                <w:rFonts w:ascii="Times New Roman" w:hAnsi="Times New Roman" w:eastAsia="宋体" w:cs="Times New Roman"/>
                <w:b/>
                <w:bCs/>
                <w:kern w:val="44"/>
                <w:sz w:val="44"/>
                <w:szCs w:val="44"/>
                <w:lang w:val="en-US" w:eastAsia="zh-CN" w:bidi="ar-SA"/>
              </w:rPr>
            </w:sdtEndPr>
            <w:sdtContent>
              <w:r>
                <w:rPr>
                  <w:rFonts w:hint="eastAsia" w:ascii="Times New Roman" w:hAnsi="Times New Roman" w:eastAsia="仿宋_GB2312" w:cs="仿宋_GB2312"/>
                </w:rPr>
                <w:t>六、一般公共预算财政拨款支出决算表</w:t>
              </w:r>
            </w:sdtContent>
          </w:sdt>
          <w:r>
            <w:tab/>
          </w:r>
          <w:bookmarkStart w:id="26" w:name="_Toc1995945080_WPSOffice_Level2Page"/>
          <w:r>
            <w:t>2</w:t>
          </w:r>
          <w:bookmarkEnd w:id="26"/>
          <w:r>
            <w:rPr>
              <w:rFonts w:hint="eastAsia"/>
              <w:lang w:val="en-US" w:eastAsia="zh-CN"/>
            </w:rPr>
            <w:t>0</w:t>
          </w:r>
          <w:r>
            <w:fldChar w:fldCharType="end"/>
          </w:r>
        </w:p>
        <w:p>
          <w:pPr>
            <w:pStyle w:val="38"/>
            <w:keepNext w:val="0"/>
            <w:keepLines w:val="0"/>
            <w:pageBreakBefore w:val="0"/>
            <w:widowControl/>
            <w:tabs>
              <w:tab w:val="right" w:leader="dot" w:pos="8306"/>
            </w:tabs>
            <w:kinsoku/>
            <w:wordWrap/>
            <w:overflowPunct/>
            <w:topLinePunct w:val="0"/>
            <w:autoSpaceDE/>
            <w:autoSpaceDN/>
            <w:bidi w:val="0"/>
            <w:adjustRightInd/>
            <w:snapToGrid/>
            <w:spacing w:line="370" w:lineRule="exact"/>
            <w:textAlignment w:val="auto"/>
          </w:pPr>
          <w:r>
            <w:fldChar w:fldCharType="begin"/>
          </w:r>
          <w:r>
            <w:instrText xml:space="preserve"> HYPERLINK \l _Toc1739650329_WPSOffice_Level2 </w:instrText>
          </w:r>
          <w:r>
            <w:fldChar w:fldCharType="separate"/>
          </w:r>
          <w:sdt>
            <w:sdtPr>
              <w:rPr>
                <w:rFonts w:ascii="Times New Roman" w:hAnsi="Times New Roman" w:eastAsia="宋体" w:cs="Times New Roman"/>
                <w:b/>
                <w:bCs/>
                <w:kern w:val="44"/>
                <w:sz w:val="44"/>
                <w:szCs w:val="44"/>
                <w:lang w:val="en-US" w:eastAsia="zh-CN" w:bidi="ar-SA"/>
              </w:rPr>
              <w:id w:val="816754740"/>
              <w:placeholder>
                <w:docPart w:val="{5680a8d8-1a44-42c3-a60b-c187a881b914}"/>
              </w:placeholder>
            </w:sdtPr>
            <w:sdtEndPr>
              <w:rPr>
                <w:rFonts w:ascii="Times New Roman" w:hAnsi="Times New Roman" w:eastAsia="宋体" w:cs="Times New Roman"/>
                <w:b/>
                <w:bCs/>
                <w:kern w:val="44"/>
                <w:sz w:val="44"/>
                <w:szCs w:val="44"/>
                <w:lang w:val="en-US" w:eastAsia="zh-CN" w:bidi="ar-SA"/>
              </w:rPr>
            </w:sdtEndPr>
            <w:sdtContent>
              <w:r>
                <w:rPr>
                  <w:rFonts w:hint="eastAsia" w:ascii="Times New Roman" w:hAnsi="Times New Roman" w:eastAsia="仿宋_GB2312" w:cs="仿宋_GB2312"/>
                </w:rPr>
                <w:t>七、一般公共预算财政拨款支出决算明细表</w:t>
              </w:r>
            </w:sdtContent>
          </w:sdt>
          <w:r>
            <w:tab/>
          </w:r>
          <w:bookmarkStart w:id="27" w:name="_Toc1739650329_WPSOffice_Level2Page"/>
          <w:r>
            <w:t>2</w:t>
          </w:r>
          <w:bookmarkEnd w:id="27"/>
          <w:r>
            <w:rPr>
              <w:rFonts w:hint="eastAsia"/>
              <w:lang w:val="en-US" w:eastAsia="zh-CN"/>
            </w:rPr>
            <w:t>0</w:t>
          </w:r>
          <w:r>
            <w:fldChar w:fldCharType="end"/>
          </w:r>
        </w:p>
        <w:p>
          <w:pPr>
            <w:pStyle w:val="38"/>
            <w:keepNext w:val="0"/>
            <w:keepLines w:val="0"/>
            <w:pageBreakBefore w:val="0"/>
            <w:widowControl/>
            <w:tabs>
              <w:tab w:val="right" w:leader="dot" w:pos="8306"/>
            </w:tabs>
            <w:kinsoku/>
            <w:wordWrap/>
            <w:overflowPunct/>
            <w:topLinePunct w:val="0"/>
            <w:autoSpaceDE/>
            <w:autoSpaceDN/>
            <w:bidi w:val="0"/>
            <w:adjustRightInd/>
            <w:snapToGrid/>
            <w:spacing w:line="370" w:lineRule="exact"/>
            <w:textAlignment w:val="auto"/>
          </w:pPr>
          <w:r>
            <w:fldChar w:fldCharType="begin"/>
          </w:r>
          <w:r>
            <w:instrText xml:space="preserve"> HYPERLINK \l _Toc1256447869_WPSOffice_Level2 </w:instrText>
          </w:r>
          <w:r>
            <w:fldChar w:fldCharType="separate"/>
          </w:r>
          <w:sdt>
            <w:sdtPr>
              <w:rPr>
                <w:rFonts w:ascii="Times New Roman" w:hAnsi="Times New Roman" w:eastAsia="宋体" w:cs="Times New Roman"/>
                <w:b/>
                <w:bCs/>
                <w:kern w:val="44"/>
                <w:sz w:val="44"/>
                <w:szCs w:val="44"/>
                <w:lang w:val="en-US" w:eastAsia="zh-CN" w:bidi="ar-SA"/>
              </w:rPr>
              <w:id w:val="816754740"/>
              <w:placeholder>
                <w:docPart w:val="{0ec9d608-fd9f-426b-a55b-f3ca62d57c0e}"/>
              </w:placeholder>
            </w:sdtPr>
            <w:sdtEndPr>
              <w:rPr>
                <w:rFonts w:ascii="Times New Roman" w:hAnsi="Times New Roman" w:eastAsia="宋体" w:cs="Times New Roman"/>
                <w:b/>
                <w:bCs/>
                <w:kern w:val="44"/>
                <w:sz w:val="44"/>
                <w:szCs w:val="44"/>
                <w:lang w:val="en-US" w:eastAsia="zh-CN" w:bidi="ar-SA"/>
              </w:rPr>
            </w:sdtEndPr>
            <w:sdtContent>
              <w:r>
                <w:rPr>
                  <w:rFonts w:hint="eastAsia" w:ascii="Times New Roman" w:hAnsi="Times New Roman" w:eastAsia="仿宋_GB2312" w:cs="仿宋_GB2312"/>
                </w:rPr>
                <w:t>八、一般公共预算财政拨款基本支出决算表</w:t>
              </w:r>
            </w:sdtContent>
          </w:sdt>
          <w:r>
            <w:tab/>
          </w:r>
          <w:bookmarkStart w:id="28" w:name="_Toc1256447869_WPSOffice_Level2Page"/>
          <w:r>
            <w:t>2</w:t>
          </w:r>
          <w:bookmarkEnd w:id="28"/>
          <w:r>
            <w:rPr>
              <w:rFonts w:hint="eastAsia"/>
              <w:lang w:val="en-US" w:eastAsia="zh-CN"/>
            </w:rPr>
            <w:t>0</w:t>
          </w:r>
          <w:r>
            <w:fldChar w:fldCharType="end"/>
          </w:r>
        </w:p>
        <w:p>
          <w:pPr>
            <w:pStyle w:val="38"/>
            <w:keepNext w:val="0"/>
            <w:keepLines w:val="0"/>
            <w:pageBreakBefore w:val="0"/>
            <w:widowControl/>
            <w:tabs>
              <w:tab w:val="right" w:leader="dot" w:pos="8306"/>
            </w:tabs>
            <w:kinsoku/>
            <w:wordWrap/>
            <w:overflowPunct/>
            <w:topLinePunct w:val="0"/>
            <w:autoSpaceDE/>
            <w:autoSpaceDN/>
            <w:bidi w:val="0"/>
            <w:adjustRightInd/>
            <w:snapToGrid/>
            <w:spacing w:line="370" w:lineRule="exact"/>
            <w:textAlignment w:val="auto"/>
          </w:pPr>
          <w:r>
            <w:fldChar w:fldCharType="begin"/>
          </w:r>
          <w:r>
            <w:instrText xml:space="preserve"> HYPERLINK \l _Toc1118286855_WPSOffice_Level2 </w:instrText>
          </w:r>
          <w:r>
            <w:fldChar w:fldCharType="separate"/>
          </w:r>
          <w:sdt>
            <w:sdtPr>
              <w:rPr>
                <w:rFonts w:ascii="Times New Roman" w:hAnsi="Times New Roman" w:eastAsia="宋体" w:cs="Times New Roman"/>
                <w:b/>
                <w:bCs/>
                <w:kern w:val="44"/>
                <w:sz w:val="44"/>
                <w:szCs w:val="44"/>
                <w:lang w:val="en-US" w:eastAsia="zh-CN" w:bidi="ar-SA"/>
              </w:rPr>
              <w:id w:val="816754740"/>
              <w:placeholder>
                <w:docPart w:val="{e8128a04-6c96-4474-90bc-8c4afe625219}"/>
              </w:placeholder>
            </w:sdtPr>
            <w:sdtEndPr>
              <w:rPr>
                <w:rFonts w:ascii="Times New Roman" w:hAnsi="Times New Roman" w:eastAsia="宋体" w:cs="Times New Roman"/>
                <w:b/>
                <w:bCs/>
                <w:kern w:val="44"/>
                <w:sz w:val="44"/>
                <w:szCs w:val="44"/>
                <w:lang w:val="en-US" w:eastAsia="zh-CN" w:bidi="ar-SA"/>
              </w:rPr>
            </w:sdtEndPr>
            <w:sdtContent>
              <w:r>
                <w:rPr>
                  <w:rFonts w:hint="eastAsia" w:ascii="Times New Roman" w:hAnsi="Times New Roman" w:eastAsia="仿宋_GB2312" w:cs="仿宋_GB2312"/>
                </w:rPr>
                <w:t>九、一般公共预算财政拨款项目支出决算表</w:t>
              </w:r>
            </w:sdtContent>
          </w:sdt>
          <w:r>
            <w:tab/>
          </w:r>
          <w:bookmarkStart w:id="29" w:name="_Toc1118286855_WPSOffice_Level2Page"/>
          <w:r>
            <w:t>2</w:t>
          </w:r>
          <w:bookmarkEnd w:id="29"/>
          <w:r>
            <w:rPr>
              <w:rFonts w:hint="eastAsia"/>
              <w:lang w:val="en-US" w:eastAsia="zh-CN"/>
            </w:rPr>
            <w:t>0</w:t>
          </w:r>
          <w:r>
            <w:fldChar w:fldCharType="end"/>
          </w:r>
        </w:p>
        <w:p>
          <w:pPr>
            <w:pStyle w:val="38"/>
            <w:keepNext w:val="0"/>
            <w:keepLines w:val="0"/>
            <w:pageBreakBefore w:val="0"/>
            <w:widowControl/>
            <w:tabs>
              <w:tab w:val="right" w:leader="dot" w:pos="8306"/>
            </w:tabs>
            <w:kinsoku/>
            <w:wordWrap/>
            <w:overflowPunct/>
            <w:topLinePunct w:val="0"/>
            <w:autoSpaceDE/>
            <w:autoSpaceDN/>
            <w:bidi w:val="0"/>
            <w:adjustRightInd/>
            <w:snapToGrid/>
            <w:spacing w:line="370" w:lineRule="exact"/>
            <w:textAlignment w:val="auto"/>
          </w:pPr>
          <w:r>
            <w:fldChar w:fldCharType="begin"/>
          </w:r>
          <w:r>
            <w:instrText xml:space="preserve"> HYPERLINK \l _Toc1298670193_WPSOffice_Level2 </w:instrText>
          </w:r>
          <w:r>
            <w:fldChar w:fldCharType="separate"/>
          </w:r>
          <w:sdt>
            <w:sdtPr>
              <w:rPr>
                <w:rFonts w:ascii="Times New Roman" w:hAnsi="Times New Roman" w:eastAsia="宋体" w:cs="Times New Roman"/>
                <w:b/>
                <w:bCs/>
                <w:kern w:val="44"/>
                <w:sz w:val="44"/>
                <w:szCs w:val="44"/>
                <w:lang w:val="en-US" w:eastAsia="zh-CN" w:bidi="ar-SA"/>
              </w:rPr>
              <w:id w:val="816754740"/>
              <w:placeholder>
                <w:docPart w:val="{ef4d12b5-bd09-4b74-af3d-206227b12657}"/>
              </w:placeholder>
            </w:sdtPr>
            <w:sdtEndPr>
              <w:rPr>
                <w:rFonts w:ascii="Times New Roman" w:hAnsi="Times New Roman" w:eastAsia="宋体" w:cs="Times New Roman"/>
                <w:b/>
                <w:bCs/>
                <w:kern w:val="44"/>
                <w:sz w:val="44"/>
                <w:szCs w:val="44"/>
                <w:lang w:val="en-US" w:eastAsia="zh-CN" w:bidi="ar-SA"/>
              </w:rPr>
            </w:sdtEndPr>
            <w:sdtContent>
              <w:r>
                <w:rPr>
                  <w:rFonts w:hint="eastAsia" w:ascii="Times New Roman" w:hAnsi="Times New Roman" w:eastAsia="仿宋_GB2312" w:cs="仿宋_GB2312"/>
                </w:rPr>
                <w:t>十、政府性基金预算财政拨款收入支出决算表</w:t>
              </w:r>
            </w:sdtContent>
          </w:sdt>
          <w:r>
            <w:tab/>
          </w:r>
          <w:bookmarkStart w:id="30" w:name="_Toc1298670193_WPSOffice_Level2Page"/>
          <w:r>
            <w:t>2</w:t>
          </w:r>
          <w:bookmarkEnd w:id="30"/>
          <w:r>
            <w:rPr>
              <w:rFonts w:hint="eastAsia"/>
              <w:lang w:val="en-US" w:eastAsia="zh-CN"/>
            </w:rPr>
            <w:t>0</w:t>
          </w:r>
          <w:r>
            <w:fldChar w:fldCharType="end"/>
          </w:r>
        </w:p>
        <w:p>
          <w:pPr>
            <w:pStyle w:val="38"/>
            <w:keepNext w:val="0"/>
            <w:keepLines w:val="0"/>
            <w:pageBreakBefore w:val="0"/>
            <w:widowControl/>
            <w:tabs>
              <w:tab w:val="right" w:leader="dot" w:pos="8306"/>
            </w:tabs>
            <w:kinsoku/>
            <w:wordWrap/>
            <w:overflowPunct/>
            <w:topLinePunct w:val="0"/>
            <w:autoSpaceDE/>
            <w:autoSpaceDN/>
            <w:bidi w:val="0"/>
            <w:adjustRightInd/>
            <w:snapToGrid/>
            <w:spacing w:line="370" w:lineRule="exact"/>
            <w:textAlignment w:val="auto"/>
          </w:pPr>
          <w:r>
            <w:fldChar w:fldCharType="begin"/>
          </w:r>
          <w:r>
            <w:instrText xml:space="preserve"> HYPERLINK \l _Toc1387656186_WPSOffice_Level2 </w:instrText>
          </w:r>
          <w:r>
            <w:fldChar w:fldCharType="separate"/>
          </w:r>
          <w:sdt>
            <w:sdtPr>
              <w:rPr>
                <w:rFonts w:ascii="Times New Roman" w:hAnsi="Times New Roman" w:eastAsia="宋体" w:cs="Times New Roman"/>
                <w:b/>
                <w:bCs/>
                <w:kern w:val="44"/>
                <w:sz w:val="44"/>
                <w:szCs w:val="44"/>
                <w:lang w:val="en-US" w:eastAsia="zh-CN" w:bidi="ar-SA"/>
              </w:rPr>
              <w:id w:val="816754740"/>
              <w:placeholder>
                <w:docPart w:val="{22fc2e1f-fdbd-4ca2-8373-dc7fc7ff5530}"/>
              </w:placeholder>
            </w:sdtPr>
            <w:sdtEndPr>
              <w:rPr>
                <w:rFonts w:ascii="Times New Roman" w:hAnsi="Times New Roman" w:eastAsia="宋体" w:cs="Times New Roman"/>
                <w:b/>
                <w:bCs/>
                <w:kern w:val="44"/>
                <w:sz w:val="44"/>
                <w:szCs w:val="44"/>
                <w:lang w:val="en-US" w:eastAsia="zh-CN" w:bidi="ar-SA"/>
              </w:rPr>
            </w:sdtEndPr>
            <w:sdtContent>
              <w:r>
                <w:rPr>
                  <w:rFonts w:hint="eastAsia" w:ascii="Times New Roman" w:hAnsi="Times New Roman" w:eastAsia="仿宋_GB2312" w:cs="仿宋_GB2312"/>
                </w:rPr>
                <w:t>十一、国有资本经营预算财政拨款收入支出决算表</w:t>
              </w:r>
            </w:sdtContent>
          </w:sdt>
          <w:r>
            <w:tab/>
          </w:r>
          <w:bookmarkStart w:id="31" w:name="_Toc1387656186_WPSOffice_Level2Page"/>
          <w:r>
            <w:t>2</w:t>
          </w:r>
          <w:bookmarkEnd w:id="31"/>
          <w:r>
            <w:rPr>
              <w:rFonts w:hint="eastAsia"/>
              <w:lang w:val="en-US" w:eastAsia="zh-CN"/>
            </w:rPr>
            <w:t>0</w:t>
          </w:r>
          <w:r>
            <w:fldChar w:fldCharType="end"/>
          </w:r>
        </w:p>
        <w:p>
          <w:pPr>
            <w:pStyle w:val="38"/>
            <w:keepNext w:val="0"/>
            <w:keepLines w:val="0"/>
            <w:pageBreakBefore w:val="0"/>
            <w:widowControl/>
            <w:tabs>
              <w:tab w:val="right" w:leader="dot" w:pos="8306"/>
            </w:tabs>
            <w:kinsoku/>
            <w:wordWrap/>
            <w:overflowPunct/>
            <w:topLinePunct w:val="0"/>
            <w:autoSpaceDE/>
            <w:autoSpaceDN/>
            <w:bidi w:val="0"/>
            <w:adjustRightInd/>
            <w:snapToGrid/>
            <w:spacing w:line="370" w:lineRule="exact"/>
            <w:textAlignment w:val="auto"/>
          </w:pPr>
          <w:r>
            <w:fldChar w:fldCharType="begin"/>
          </w:r>
          <w:r>
            <w:instrText xml:space="preserve"> HYPERLINK \l _Toc31090444_WPSOffice_Level2 </w:instrText>
          </w:r>
          <w:r>
            <w:fldChar w:fldCharType="separate"/>
          </w:r>
          <w:sdt>
            <w:sdtPr>
              <w:rPr>
                <w:rFonts w:ascii="Times New Roman" w:hAnsi="Times New Roman" w:eastAsia="宋体" w:cs="Times New Roman"/>
                <w:b/>
                <w:bCs/>
                <w:kern w:val="44"/>
                <w:sz w:val="44"/>
                <w:szCs w:val="44"/>
                <w:lang w:val="en-US" w:eastAsia="zh-CN" w:bidi="ar-SA"/>
              </w:rPr>
              <w:id w:val="816754740"/>
              <w:placeholder>
                <w:docPart w:val="{a6ceab21-e630-48e1-93a3-4303f3d93ee0}"/>
              </w:placeholder>
            </w:sdtPr>
            <w:sdtEndPr>
              <w:rPr>
                <w:rFonts w:ascii="Times New Roman" w:hAnsi="Times New Roman" w:eastAsia="宋体" w:cs="Times New Roman"/>
                <w:b/>
                <w:bCs/>
                <w:kern w:val="44"/>
                <w:sz w:val="44"/>
                <w:szCs w:val="44"/>
                <w:lang w:val="en-US" w:eastAsia="zh-CN" w:bidi="ar-SA"/>
              </w:rPr>
            </w:sdtEndPr>
            <w:sdtContent>
              <w:r>
                <w:rPr>
                  <w:rFonts w:hint="eastAsia" w:ascii="Times New Roman" w:hAnsi="Times New Roman" w:eastAsia="仿宋_GB2312" w:cs="仿宋_GB2312"/>
                </w:rPr>
                <w:t>十二、国有资本经营预算财政拨款支出决算表</w:t>
              </w:r>
            </w:sdtContent>
          </w:sdt>
          <w:r>
            <w:tab/>
          </w:r>
          <w:bookmarkStart w:id="32" w:name="_Toc31090444_WPSOffice_Level2Page"/>
          <w:r>
            <w:t>2</w:t>
          </w:r>
          <w:bookmarkEnd w:id="32"/>
          <w:r>
            <w:rPr>
              <w:rFonts w:hint="eastAsia"/>
              <w:lang w:val="en-US" w:eastAsia="zh-CN"/>
            </w:rPr>
            <w:t>0</w:t>
          </w:r>
          <w:r>
            <w:fldChar w:fldCharType="end"/>
          </w:r>
        </w:p>
        <w:p>
          <w:pPr>
            <w:pStyle w:val="38"/>
            <w:keepNext w:val="0"/>
            <w:keepLines w:val="0"/>
            <w:pageBreakBefore w:val="0"/>
            <w:widowControl/>
            <w:tabs>
              <w:tab w:val="right" w:leader="dot" w:pos="8306"/>
            </w:tabs>
            <w:kinsoku/>
            <w:wordWrap/>
            <w:overflowPunct/>
            <w:topLinePunct w:val="0"/>
            <w:autoSpaceDE/>
            <w:autoSpaceDN/>
            <w:bidi w:val="0"/>
            <w:adjustRightInd/>
            <w:snapToGrid/>
            <w:spacing w:line="370" w:lineRule="exact"/>
            <w:textAlignment w:val="auto"/>
          </w:pPr>
          <w:r>
            <w:fldChar w:fldCharType="begin"/>
          </w:r>
          <w:r>
            <w:instrText xml:space="preserve"> HYPERLINK \l _Toc602395552_WPSOffice_Level2 </w:instrText>
          </w:r>
          <w:r>
            <w:fldChar w:fldCharType="separate"/>
          </w:r>
          <w:sdt>
            <w:sdtPr>
              <w:rPr>
                <w:rFonts w:ascii="Times New Roman" w:hAnsi="Times New Roman" w:eastAsia="宋体" w:cs="Times New Roman"/>
                <w:b/>
                <w:bCs/>
                <w:kern w:val="44"/>
                <w:sz w:val="44"/>
                <w:szCs w:val="44"/>
                <w:lang w:val="en-US" w:eastAsia="zh-CN" w:bidi="ar-SA"/>
              </w:rPr>
              <w:id w:val="816754740"/>
              <w:placeholder>
                <w:docPart w:val="{ac1abae8-ed02-46af-8086-28d4af9bfa63}"/>
              </w:placeholder>
            </w:sdtPr>
            <w:sdtEndPr>
              <w:rPr>
                <w:rFonts w:ascii="Times New Roman" w:hAnsi="Times New Roman" w:eastAsia="宋体" w:cs="Times New Roman"/>
                <w:b/>
                <w:bCs/>
                <w:kern w:val="44"/>
                <w:sz w:val="44"/>
                <w:szCs w:val="44"/>
                <w:lang w:val="en-US" w:eastAsia="zh-CN" w:bidi="ar-SA"/>
              </w:rPr>
            </w:sdtEndPr>
            <w:sdtContent>
              <w:r>
                <w:rPr>
                  <w:rFonts w:hint="eastAsia" w:ascii="Times New Roman" w:hAnsi="Times New Roman" w:eastAsia="仿宋_GB2312" w:cs="仿宋_GB2312"/>
                </w:rPr>
                <w:t>十三、财政拨款“三公”经费支出决算表</w:t>
              </w:r>
            </w:sdtContent>
          </w:sdt>
          <w:r>
            <w:tab/>
          </w:r>
          <w:bookmarkStart w:id="33" w:name="_Toc602395552_WPSOffice_Level2Page"/>
          <w:r>
            <w:t>2</w:t>
          </w:r>
          <w:bookmarkEnd w:id="33"/>
          <w:r>
            <w:rPr>
              <w:rFonts w:hint="eastAsia"/>
              <w:lang w:val="en-US" w:eastAsia="zh-CN"/>
            </w:rPr>
            <w:t>0</w:t>
          </w:r>
          <w:r>
            <w:fldChar w:fldCharType="end"/>
          </w:r>
          <w:bookmarkEnd w:id="12"/>
        </w:p>
      </w:sdtContent>
    </w:sdt>
    <w:p>
      <w:pPr>
        <w:pStyle w:val="3"/>
        <w:jc w:val="center"/>
        <w:rPr>
          <w:rStyle w:val="30"/>
          <w:rFonts w:hint="eastAsia" w:ascii="Times New Roman" w:hAnsi="Times New Roman" w:eastAsia="方正小标宋简体" w:cs="方正小标宋简体"/>
          <w:b/>
          <w:bCs w:val="0"/>
          <w:color w:val="auto"/>
          <w:highlight w:val="none"/>
        </w:rPr>
      </w:pPr>
      <w:bookmarkStart w:id="34" w:name="_Toc204349368_WPSOffice_Level1"/>
      <w:r>
        <w:rPr>
          <w:rFonts w:hint="eastAsia" w:ascii="Times New Roman" w:hAnsi="Times New Roman" w:eastAsia="方正小标宋简体" w:cs="方正小标宋简体"/>
          <w:b w:val="0"/>
          <w:color w:val="auto"/>
          <w:highlight w:val="none"/>
        </w:rPr>
        <w:t>第一部分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Style w:val="30"/>
          <w:rFonts w:hint="eastAsia" w:eastAsia="方正小标宋简体" w:cs="方正小标宋简体"/>
          <w:b w:val="0"/>
          <w:bCs w:val="0"/>
          <w:color w:val="auto"/>
          <w:highlight w:val="none"/>
          <w:lang w:eastAsia="zh-CN"/>
        </w:rPr>
        <w:t>单位</w:t>
      </w:r>
      <w:r>
        <w:rPr>
          <w:rStyle w:val="30"/>
          <w:rFonts w:hint="eastAsia" w:ascii="Times New Roman" w:hAnsi="Times New Roman" w:eastAsia="方正小标宋简体" w:cs="方正小标宋简体"/>
          <w:b w:val="0"/>
          <w:bCs w:val="0"/>
          <w:color w:val="auto"/>
          <w:highlight w:val="none"/>
        </w:rPr>
        <w:t>概况</w:t>
      </w:r>
      <w:bookmarkEnd w:id="34"/>
    </w:p>
    <w:p>
      <w:pPr>
        <w:widowControl/>
        <w:jc w:val="left"/>
        <w:rPr>
          <w:rFonts w:ascii="Times New Roman" w:hAnsi="Times New Roman" w:eastAsia="黑体"/>
          <w:color w:val="auto"/>
          <w:sz w:val="32"/>
          <w:szCs w:val="32"/>
          <w:highlight w:val="none"/>
        </w:rPr>
      </w:pPr>
    </w:p>
    <w:p>
      <w:pPr>
        <w:pStyle w:val="4"/>
        <w:pageBreakBefore w:val="0"/>
        <w:widowControl w:val="0"/>
        <w:kinsoku/>
        <w:wordWrap/>
        <w:overflowPunct/>
        <w:topLinePunct w:val="0"/>
        <w:autoSpaceDE/>
        <w:autoSpaceDN/>
        <w:bidi w:val="0"/>
        <w:spacing w:before="0" w:after="0" w:line="240" w:lineRule="auto"/>
        <w:ind w:left="0" w:firstLine="640" w:firstLineChars="200"/>
        <w:textAlignment w:val="auto"/>
        <w:rPr>
          <w:rFonts w:hint="default" w:ascii="Times New Roman" w:hAnsi="Times New Roman" w:eastAsia="黑体"/>
          <w:b w:val="0"/>
          <w:color w:val="auto"/>
          <w:highlight w:val="none"/>
          <w:lang w:val="en-US" w:eastAsia="zh-CN"/>
        </w:rPr>
      </w:pPr>
      <w:bookmarkStart w:id="35" w:name="_Toc1731031580_WPSOffice_Level2"/>
      <w:r>
        <w:rPr>
          <w:rFonts w:hint="eastAsia" w:ascii="Times New Roman" w:hAnsi="Times New Roman" w:eastAsia="黑体"/>
          <w:b w:val="0"/>
          <w:color w:val="auto"/>
          <w:highlight w:val="none"/>
          <w:lang w:val="en-US" w:eastAsia="zh-CN"/>
        </w:rPr>
        <w:t>一</w:t>
      </w:r>
      <w:r>
        <w:rPr>
          <w:rFonts w:hint="eastAsia" w:ascii="Times New Roman" w:hAnsi="Times New Roman" w:eastAsia="黑体"/>
          <w:b w:val="0"/>
          <w:color w:val="auto"/>
          <w:highlight w:val="none"/>
        </w:rPr>
        <w:t>、</w:t>
      </w:r>
      <w:r>
        <w:rPr>
          <w:rFonts w:hint="eastAsia" w:ascii="Times New Roman" w:hAnsi="Times New Roman" w:eastAsia="黑体"/>
          <w:b w:val="0"/>
          <w:color w:val="auto"/>
          <w:highlight w:val="none"/>
          <w:lang w:eastAsia="zh-CN"/>
        </w:rPr>
        <w:t>主要职责</w:t>
      </w:r>
      <w:bookmarkEnd w:id="35"/>
      <w:bookmarkStart w:id="36" w:name="_Toc2003080004_WPSOffice_Level2"/>
      <w:bookmarkStart w:id="37" w:name="_Toc598249215_WPSOffice_Level2"/>
    </w:p>
    <w:p>
      <w:pPr>
        <w:pStyle w:val="1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642" w:firstLineChars="200"/>
        <w:jc w:val="left"/>
        <w:textAlignment w:val="auto"/>
        <w:rPr>
          <w:rFonts w:hint="default" w:ascii="Times New Roman" w:hAnsi="Times New Roman" w:eastAsia="楷体_GB2312" w:cs="Times New Roman"/>
          <w:b/>
          <w:color w:val="auto"/>
          <w:kern w:val="2"/>
          <w:sz w:val="32"/>
          <w:szCs w:val="32"/>
          <w:highlight w:val="none"/>
          <w:lang w:val="en-US" w:eastAsia="zh-CN" w:bidi="ar-SA"/>
        </w:rPr>
      </w:pPr>
      <w:bookmarkStart w:id="38" w:name="_Toc4440"/>
      <w:bookmarkStart w:id="39" w:name="_Toc29819"/>
      <w:bookmarkStart w:id="40" w:name="_Toc363"/>
      <w:r>
        <w:rPr>
          <w:rFonts w:hint="eastAsia" w:ascii="Times New Roman" w:hAnsi="Times New Roman" w:eastAsia="楷体_GB2312" w:cs="Times New Roman"/>
          <w:b/>
          <w:color w:val="auto"/>
          <w:kern w:val="2"/>
          <w:sz w:val="32"/>
          <w:szCs w:val="32"/>
          <w:highlight w:val="none"/>
          <w:lang w:val="en-US" w:eastAsia="zh-CN" w:bidi="ar-SA"/>
        </w:rPr>
        <w:t>（一）市政府办公室职能简介。</w:t>
      </w:r>
      <w:bookmarkEnd w:id="36"/>
      <w:bookmarkEnd w:id="37"/>
      <w:bookmarkEnd w:id="38"/>
      <w:bookmarkEnd w:id="39"/>
      <w:bookmarkEnd w:id="40"/>
    </w:p>
    <w:p>
      <w:pPr>
        <w:pStyle w:val="1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方正仿宋_GBK" w:hAnsi="方正仿宋_GBK" w:eastAsia="方正仿宋_GBK" w:cs="方正仿宋_GBK"/>
          <w:b w:val="0"/>
          <w:bCs w:val="0"/>
          <w:color w:val="333333"/>
          <w:spacing w:val="0"/>
          <w:sz w:val="32"/>
          <w:szCs w:val="32"/>
        </w:rPr>
      </w:pPr>
      <w:r>
        <w:rPr>
          <w:rFonts w:hint="eastAsia" w:ascii="方正仿宋_GBK" w:hAnsi="方正仿宋_GBK" w:eastAsia="方正仿宋_GBK" w:cs="方正仿宋_GBK"/>
          <w:b w:val="0"/>
          <w:bCs w:val="0"/>
          <w:color w:val="333333"/>
          <w:spacing w:val="0"/>
          <w:sz w:val="32"/>
          <w:szCs w:val="32"/>
        </w:rPr>
        <w:t>1</w:t>
      </w:r>
      <w:r>
        <w:rPr>
          <w:rFonts w:hint="eastAsia" w:ascii="方正仿宋_GBK" w:hAnsi="方正仿宋_GBK" w:eastAsia="方正仿宋_GBK" w:cs="方正仿宋_GBK"/>
          <w:kern w:val="2"/>
          <w:sz w:val="32"/>
          <w:szCs w:val="32"/>
          <w:lang w:val="en-US" w:eastAsia="zh-CN" w:bidi="ar-SA"/>
        </w:rPr>
        <w:t>．</w:t>
      </w:r>
      <w:r>
        <w:rPr>
          <w:rFonts w:hint="eastAsia" w:ascii="方正仿宋_GBK" w:hAnsi="方正仿宋_GBK" w:eastAsia="方正仿宋_GBK" w:cs="方正仿宋_GBK"/>
          <w:b w:val="0"/>
          <w:bCs w:val="0"/>
          <w:color w:val="333333"/>
          <w:spacing w:val="0"/>
          <w:sz w:val="32"/>
          <w:szCs w:val="32"/>
        </w:rPr>
        <w:t>协助市政府领导同志组织起草或审核以市政府、市政府办公室名义发布的公文。办理省政府、省政府办公厅及省直部门发送市政府的文电。指导全市行政机关公文处理工作。</w:t>
      </w:r>
    </w:p>
    <w:p>
      <w:pPr>
        <w:pStyle w:val="1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方正仿宋_GBK" w:hAnsi="方正仿宋_GBK" w:eastAsia="方正仿宋_GBK" w:cs="方正仿宋_GBK"/>
          <w:b w:val="0"/>
          <w:bCs w:val="0"/>
          <w:color w:val="333333"/>
          <w:spacing w:val="0"/>
          <w:sz w:val="32"/>
          <w:szCs w:val="32"/>
        </w:rPr>
      </w:pPr>
      <w:r>
        <w:rPr>
          <w:rFonts w:hint="eastAsia" w:ascii="方正仿宋_GBK" w:hAnsi="方正仿宋_GBK" w:eastAsia="方正仿宋_GBK" w:cs="方正仿宋_GBK"/>
          <w:b w:val="0"/>
          <w:bCs w:val="0"/>
          <w:color w:val="333333"/>
          <w:spacing w:val="0"/>
          <w:sz w:val="32"/>
          <w:szCs w:val="32"/>
        </w:rPr>
        <w:t>2</w:t>
      </w:r>
      <w:r>
        <w:rPr>
          <w:rFonts w:hint="eastAsia" w:ascii="方正仿宋_GBK" w:hAnsi="方正仿宋_GBK" w:eastAsia="方正仿宋_GBK" w:cs="方正仿宋_GBK"/>
          <w:kern w:val="2"/>
          <w:sz w:val="32"/>
          <w:szCs w:val="32"/>
          <w:lang w:val="en-US" w:eastAsia="zh-CN" w:bidi="ar-SA"/>
        </w:rPr>
        <w:t>．</w:t>
      </w:r>
      <w:r>
        <w:rPr>
          <w:rFonts w:hint="eastAsia" w:ascii="方正仿宋_GBK" w:hAnsi="方正仿宋_GBK" w:eastAsia="方正仿宋_GBK" w:cs="方正仿宋_GBK"/>
          <w:b w:val="0"/>
          <w:bCs w:val="0"/>
          <w:color w:val="333333"/>
          <w:spacing w:val="0"/>
          <w:sz w:val="32"/>
          <w:szCs w:val="32"/>
        </w:rPr>
        <w:t>研究市政府部门和县（区）人民政府</w:t>
      </w:r>
      <w:r>
        <w:rPr>
          <w:rFonts w:hint="eastAsia" w:ascii="方正仿宋_GBK" w:hAnsi="方正仿宋_GBK" w:eastAsia="方正仿宋_GBK" w:cs="方正仿宋_GBK"/>
          <w:b w:val="0"/>
          <w:bCs w:val="0"/>
          <w:color w:val="333333"/>
          <w:spacing w:val="0"/>
          <w:sz w:val="32"/>
          <w:szCs w:val="32"/>
          <w:lang w:eastAsia="zh-CN"/>
        </w:rPr>
        <w:t>、市政府派出机构</w:t>
      </w:r>
      <w:r>
        <w:rPr>
          <w:rFonts w:hint="eastAsia" w:ascii="方正仿宋_GBK" w:hAnsi="方正仿宋_GBK" w:eastAsia="方正仿宋_GBK" w:cs="方正仿宋_GBK"/>
          <w:b w:val="0"/>
          <w:bCs w:val="0"/>
          <w:color w:val="333333"/>
          <w:spacing w:val="0"/>
          <w:sz w:val="32"/>
          <w:szCs w:val="32"/>
        </w:rPr>
        <w:t>请示市政府的事项，提出审核意见，报市政府领导同志审批。</w:t>
      </w:r>
    </w:p>
    <w:p>
      <w:pPr>
        <w:pStyle w:val="1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方正仿宋_GBK" w:hAnsi="方正仿宋_GBK" w:eastAsia="方正仿宋_GBK" w:cs="方正仿宋_GBK"/>
          <w:b w:val="0"/>
          <w:bCs w:val="0"/>
          <w:color w:val="333333"/>
          <w:spacing w:val="0"/>
          <w:sz w:val="32"/>
          <w:szCs w:val="32"/>
        </w:rPr>
      </w:pPr>
      <w:r>
        <w:rPr>
          <w:rFonts w:hint="eastAsia" w:ascii="方正仿宋_GBK" w:hAnsi="方正仿宋_GBK" w:eastAsia="方正仿宋_GBK" w:cs="方正仿宋_GBK"/>
          <w:b w:val="0"/>
          <w:bCs w:val="0"/>
          <w:color w:val="333333"/>
          <w:spacing w:val="0"/>
          <w:sz w:val="32"/>
          <w:szCs w:val="32"/>
        </w:rPr>
        <w:t>3</w:t>
      </w:r>
      <w:r>
        <w:rPr>
          <w:rFonts w:hint="eastAsia" w:ascii="方正仿宋_GBK" w:hAnsi="方正仿宋_GBK" w:eastAsia="方正仿宋_GBK" w:cs="方正仿宋_GBK"/>
          <w:kern w:val="2"/>
          <w:sz w:val="32"/>
          <w:szCs w:val="32"/>
          <w:lang w:val="en-US" w:eastAsia="zh-CN" w:bidi="ar-SA"/>
        </w:rPr>
        <w:t>．</w:t>
      </w:r>
      <w:r>
        <w:rPr>
          <w:rFonts w:hint="eastAsia" w:ascii="方正仿宋_GBK" w:hAnsi="方正仿宋_GBK" w:eastAsia="方正仿宋_GBK" w:cs="方正仿宋_GBK"/>
          <w:b w:val="0"/>
          <w:bCs w:val="0"/>
          <w:color w:val="333333"/>
          <w:spacing w:val="0"/>
          <w:sz w:val="32"/>
          <w:szCs w:val="32"/>
        </w:rPr>
        <w:t>负责市政府会议的准备工作，协助市政府领导同志组织实施会议决定事项。</w:t>
      </w:r>
    </w:p>
    <w:p>
      <w:pPr>
        <w:pStyle w:val="1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方正仿宋_GBK" w:hAnsi="方正仿宋_GBK" w:eastAsia="方正仿宋_GBK" w:cs="方正仿宋_GBK"/>
          <w:b w:val="0"/>
          <w:bCs w:val="0"/>
          <w:color w:val="333333"/>
          <w:spacing w:val="0"/>
          <w:sz w:val="32"/>
          <w:szCs w:val="32"/>
        </w:rPr>
      </w:pPr>
      <w:r>
        <w:rPr>
          <w:rFonts w:hint="eastAsia" w:ascii="方正仿宋_GBK" w:hAnsi="方正仿宋_GBK" w:eastAsia="方正仿宋_GBK" w:cs="方正仿宋_GBK"/>
          <w:b w:val="0"/>
          <w:bCs w:val="0"/>
          <w:color w:val="333333"/>
          <w:spacing w:val="0"/>
          <w:sz w:val="32"/>
          <w:szCs w:val="32"/>
        </w:rPr>
        <w:t>4</w:t>
      </w:r>
      <w:r>
        <w:rPr>
          <w:rFonts w:hint="eastAsia" w:ascii="方正仿宋_GBK" w:hAnsi="方正仿宋_GBK" w:eastAsia="方正仿宋_GBK" w:cs="方正仿宋_GBK"/>
          <w:kern w:val="2"/>
          <w:sz w:val="32"/>
          <w:szCs w:val="32"/>
          <w:lang w:val="en-US" w:eastAsia="zh-CN" w:bidi="ar-SA"/>
        </w:rPr>
        <w:t>．</w:t>
      </w:r>
      <w:r>
        <w:rPr>
          <w:rFonts w:hint="eastAsia" w:ascii="方正仿宋_GBK" w:hAnsi="方正仿宋_GBK" w:eastAsia="方正仿宋_GBK" w:cs="方正仿宋_GBK"/>
          <w:b w:val="0"/>
          <w:bCs w:val="0"/>
          <w:color w:val="333333"/>
          <w:spacing w:val="0"/>
          <w:sz w:val="32"/>
          <w:szCs w:val="32"/>
        </w:rPr>
        <w:t>督促检查市政府部门和县（区）人民政府</w:t>
      </w:r>
      <w:r>
        <w:rPr>
          <w:rFonts w:hint="eastAsia" w:ascii="方正仿宋_GBK" w:hAnsi="方正仿宋_GBK" w:eastAsia="方正仿宋_GBK" w:cs="方正仿宋_GBK"/>
          <w:b w:val="0"/>
          <w:bCs w:val="0"/>
          <w:color w:val="333333"/>
          <w:spacing w:val="0"/>
          <w:sz w:val="32"/>
          <w:szCs w:val="32"/>
          <w:lang w:eastAsia="zh-CN"/>
        </w:rPr>
        <w:t>、市政府派出机构</w:t>
      </w:r>
      <w:r>
        <w:rPr>
          <w:rFonts w:hint="eastAsia" w:ascii="方正仿宋_GBK" w:hAnsi="方正仿宋_GBK" w:eastAsia="方正仿宋_GBK" w:cs="方正仿宋_GBK"/>
          <w:b w:val="0"/>
          <w:bCs w:val="0"/>
          <w:color w:val="333333"/>
          <w:spacing w:val="0"/>
          <w:sz w:val="32"/>
          <w:szCs w:val="32"/>
        </w:rPr>
        <w:t>对市政府决定事项及市政府领导同志指示的贯彻落实情况，及时向市政府领导同志报告。</w:t>
      </w:r>
    </w:p>
    <w:p>
      <w:pPr>
        <w:pStyle w:val="1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方正仿宋_GBK" w:hAnsi="方正仿宋_GBK" w:eastAsia="方正仿宋_GBK" w:cs="方正仿宋_GBK"/>
          <w:b w:val="0"/>
          <w:bCs w:val="0"/>
          <w:color w:val="333333"/>
          <w:spacing w:val="0"/>
          <w:sz w:val="32"/>
          <w:szCs w:val="32"/>
        </w:rPr>
      </w:pPr>
      <w:r>
        <w:rPr>
          <w:rFonts w:hint="eastAsia" w:ascii="方正仿宋_GBK" w:hAnsi="方正仿宋_GBK" w:eastAsia="方正仿宋_GBK" w:cs="方正仿宋_GBK"/>
          <w:b w:val="0"/>
          <w:bCs w:val="0"/>
          <w:color w:val="333333"/>
          <w:spacing w:val="0"/>
          <w:sz w:val="32"/>
          <w:szCs w:val="32"/>
        </w:rPr>
        <w:t>5</w:t>
      </w:r>
      <w:r>
        <w:rPr>
          <w:rFonts w:hint="eastAsia" w:ascii="方正仿宋_GBK" w:hAnsi="方正仿宋_GBK" w:eastAsia="方正仿宋_GBK" w:cs="方正仿宋_GBK"/>
          <w:kern w:val="2"/>
          <w:sz w:val="32"/>
          <w:szCs w:val="32"/>
          <w:lang w:val="en-US" w:eastAsia="zh-CN" w:bidi="ar-SA"/>
        </w:rPr>
        <w:t>．</w:t>
      </w:r>
      <w:r>
        <w:rPr>
          <w:rFonts w:hint="eastAsia" w:ascii="方正仿宋_GBK" w:hAnsi="方正仿宋_GBK" w:eastAsia="方正仿宋_GBK" w:cs="方正仿宋_GBK"/>
          <w:b w:val="0"/>
          <w:bCs w:val="0"/>
          <w:color w:val="333333"/>
          <w:spacing w:val="0"/>
          <w:sz w:val="32"/>
          <w:szCs w:val="32"/>
        </w:rPr>
        <w:t>根据市政府领导同志的指示，对市政府部门间争议问题提出处理意见和建议，报市政府领导同志决定。</w:t>
      </w:r>
    </w:p>
    <w:p>
      <w:pPr>
        <w:pStyle w:val="1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方正仿宋_GBK" w:hAnsi="方正仿宋_GBK" w:eastAsia="方正仿宋_GBK" w:cs="方正仿宋_GBK"/>
          <w:b w:val="0"/>
          <w:bCs w:val="0"/>
          <w:color w:val="333333"/>
          <w:spacing w:val="0"/>
          <w:sz w:val="32"/>
          <w:szCs w:val="32"/>
        </w:rPr>
      </w:pPr>
      <w:r>
        <w:rPr>
          <w:rFonts w:hint="eastAsia" w:ascii="方正仿宋_GBK" w:hAnsi="方正仿宋_GBK" w:eastAsia="方正仿宋_GBK" w:cs="方正仿宋_GBK"/>
          <w:b w:val="0"/>
          <w:bCs w:val="0"/>
          <w:color w:val="333333"/>
          <w:spacing w:val="0"/>
          <w:sz w:val="32"/>
          <w:szCs w:val="32"/>
        </w:rPr>
        <w:t>6</w:t>
      </w:r>
      <w:r>
        <w:rPr>
          <w:rFonts w:hint="eastAsia" w:ascii="方正仿宋_GBK" w:hAnsi="方正仿宋_GBK" w:eastAsia="方正仿宋_GBK" w:cs="方正仿宋_GBK"/>
          <w:kern w:val="2"/>
          <w:sz w:val="32"/>
          <w:szCs w:val="32"/>
          <w:lang w:val="en-US" w:eastAsia="zh-CN" w:bidi="ar-SA"/>
        </w:rPr>
        <w:t>．</w:t>
      </w:r>
      <w:r>
        <w:rPr>
          <w:rFonts w:hint="eastAsia" w:ascii="方正仿宋_GBK" w:hAnsi="方正仿宋_GBK" w:eastAsia="方正仿宋_GBK" w:cs="方正仿宋_GBK"/>
          <w:b w:val="0"/>
          <w:bCs w:val="0"/>
          <w:color w:val="333333"/>
          <w:spacing w:val="0"/>
          <w:sz w:val="32"/>
          <w:szCs w:val="32"/>
        </w:rPr>
        <w:t>负责市政府值班工作，指导市政府部门和县（区）人民政府</w:t>
      </w:r>
      <w:r>
        <w:rPr>
          <w:rFonts w:hint="eastAsia" w:ascii="方正仿宋_GBK" w:hAnsi="方正仿宋_GBK" w:eastAsia="方正仿宋_GBK" w:cs="方正仿宋_GBK"/>
          <w:b w:val="0"/>
          <w:bCs w:val="0"/>
          <w:color w:val="333333"/>
          <w:spacing w:val="0"/>
          <w:sz w:val="32"/>
          <w:szCs w:val="32"/>
          <w:lang w:eastAsia="zh-CN"/>
        </w:rPr>
        <w:t>、市政府派出机构</w:t>
      </w:r>
      <w:r>
        <w:rPr>
          <w:rFonts w:hint="eastAsia" w:ascii="方正仿宋_GBK" w:hAnsi="方正仿宋_GBK" w:eastAsia="方正仿宋_GBK" w:cs="方正仿宋_GBK"/>
          <w:b w:val="0"/>
          <w:bCs w:val="0"/>
          <w:color w:val="333333"/>
          <w:spacing w:val="0"/>
          <w:sz w:val="32"/>
          <w:szCs w:val="32"/>
        </w:rPr>
        <w:t>值班工作，及时报告重要情况。</w:t>
      </w:r>
    </w:p>
    <w:p>
      <w:pPr>
        <w:pStyle w:val="1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方正仿宋_GBK" w:hAnsi="方正仿宋_GBK" w:eastAsia="方正仿宋_GBK" w:cs="方正仿宋_GBK"/>
          <w:b w:val="0"/>
          <w:bCs w:val="0"/>
          <w:color w:val="333333"/>
          <w:spacing w:val="0"/>
          <w:sz w:val="32"/>
          <w:szCs w:val="32"/>
        </w:rPr>
      </w:pPr>
      <w:r>
        <w:rPr>
          <w:rFonts w:hint="eastAsia" w:ascii="方正仿宋_GBK" w:hAnsi="方正仿宋_GBK" w:eastAsia="方正仿宋_GBK" w:cs="方正仿宋_GBK"/>
          <w:b w:val="0"/>
          <w:bCs w:val="0"/>
          <w:color w:val="333333"/>
          <w:spacing w:val="0"/>
          <w:sz w:val="32"/>
          <w:szCs w:val="32"/>
        </w:rPr>
        <w:t>7</w:t>
      </w:r>
      <w:r>
        <w:rPr>
          <w:rFonts w:hint="eastAsia" w:ascii="方正仿宋_GBK" w:hAnsi="方正仿宋_GBK" w:eastAsia="方正仿宋_GBK" w:cs="方正仿宋_GBK"/>
          <w:kern w:val="2"/>
          <w:sz w:val="32"/>
          <w:szCs w:val="32"/>
          <w:lang w:val="en-US" w:eastAsia="zh-CN" w:bidi="ar-SA"/>
        </w:rPr>
        <w:t>．</w:t>
      </w:r>
      <w:r>
        <w:rPr>
          <w:rFonts w:hint="eastAsia" w:ascii="方正仿宋_GBK" w:hAnsi="方正仿宋_GBK" w:eastAsia="方正仿宋_GBK" w:cs="方正仿宋_GBK"/>
          <w:b w:val="0"/>
          <w:bCs w:val="0"/>
          <w:color w:val="333333"/>
          <w:spacing w:val="0"/>
          <w:sz w:val="32"/>
          <w:szCs w:val="32"/>
        </w:rPr>
        <w:t>指导、监督全市政府信息公开工作，指导、监督全市政府系统电子政务工作和政府网站建设。</w:t>
      </w:r>
    </w:p>
    <w:p>
      <w:pPr>
        <w:pStyle w:val="1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方正仿宋_GBK" w:hAnsi="方正仿宋_GBK" w:eastAsia="方正仿宋_GBK" w:cs="方正仿宋_GBK"/>
          <w:b w:val="0"/>
          <w:bCs w:val="0"/>
          <w:color w:val="333333"/>
          <w:spacing w:val="0"/>
          <w:sz w:val="32"/>
          <w:szCs w:val="32"/>
        </w:rPr>
      </w:pPr>
      <w:r>
        <w:rPr>
          <w:rFonts w:hint="eastAsia" w:ascii="方正仿宋_GBK" w:hAnsi="方正仿宋_GBK" w:eastAsia="方正仿宋_GBK" w:cs="方正仿宋_GBK"/>
          <w:b w:val="0"/>
          <w:bCs w:val="0"/>
          <w:color w:val="333333"/>
          <w:spacing w:val="0"/>
          <w:sz w:val="32"/>
          <w:szCs w:val="32"/>
        </w:rPr>
        <w:t>8</w:t>
      </w:r>
      <w:r>
        <w:rPr>
          <w:rFonts w:hint="eastAsia" w:ascii="方正仿宋_GBK" w:hAnsi="方正仿宋_GBK" w:eastAsia="方正仿宋_GBK" w:cs="方正仿宋_GBK"/>
          <w:kern w:val="2"/>
          <w:sz w:val="32"/>
          <w:szCs w:val="32"/>
          <w:lang w:val="en-US" w:eastAsia="zh-CN" w:bidi="ar-SA"/>
        </w:rPr>
        <w:t>．</w:t>
      </w:r>
      <w:r>
        <w:rPr>
          <w:rFonts w:hint="eastAsia" w:ascii="方正仿宋_GBK" w:hAnsi="方正仿宋_GBK" w:eastAsia="方正仿宋_GBK" w:cs="方正仿宋_GBK"/>
          <w:b w:val="0"/>
          <w:bCs w:val="0"/>
          <w:color w:val="333333"/>
          <w:spacing w:val="0"/>
          <w:sz w:val="32"/>
          <w:szCs w:val="32"/>
        </w:rPr>
        <w:t>围绕市政府中心工作和市政府领导同志的指示，组织专题调查研究，及时反映情况，提出政策性建议。</w:t>
      </w:r>
    </w:p>
    <w:p>
      <w:pPr>
        <w:pStyle w:val="1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方正仿宋_GBK" w:hAnsi="方正仿宋_GBK" w:eastAsia="方正仿宋_GBK" w:cs="方正仿宋_GBK"/>
          <w:b w:val="0"/>
          <w:bCs w:val="0"/>
          <w:color w:val="333333"/>
          <w:spacing w:val="0"/>
          <w:sz w:val="32"/>
          <w:szCs w:val="32"/>
        </w:rPr>
      </w:pPr>
      <w:r>
        <w:rPr>
          <w:rFonts w:hint="eastAsia" w:ascii="方正仿宋_GBK" w:hAnsi="方正仿宋_GBK" w:eastAsia="方正仿宋_GBK" w:cs="方正仿宋_GBK"/>
          <w:color w:val="333333"/>
          <w:spacing w:val="0"/>
          <w:sz w:val="32"/>
          <w:szCs w:val="32"/>
        </w:rPr>
        <w:t>9</w:t>
      </w:r>
      <w:r>
        <w:rPr>
          <w:rFonts w:hint="eastAsia" w:ascii="方正仿宋_GBK" w:hAnsi="方正仿宋_GBK" w:eastAsia="方正仿宋_GBK" w:cs="方正仿宋_GBK"/>
          <w:kern w:val="2"/>
          <w:sz w:val="32"/>
          <w:szCs w:val="32"/>
          <w:lang w:val="en-US" w:eastAsia="zh-CN" w:bidi="ar-SA"/>
        </w:rPr>
        <w:t>．</w:t>
      </w:r>
      <w:r>
        <w:rPr>
          <w:rFonts w:hint="eastAsia" w:ascii="方正仿宋_GBK" w:hAnsi="方正仿宋_GBK" w:eastAsia="方正仿宋_GBK" w:cs="方正仿宋_GBK"/>
          <w:b w:val="0"/>
          <w:bCs w:val="0"/>
          <w:color w:val="333333"/>
          <w:spacing w:val="0"/>
          <w:sz w:val="32"/>
          <w:szCs w:val="32"/>
          <w:lang w:val="en-US" w:eastAsia="zh-CN"/>
        </w:rPr>
        <w:t>统筹管理全市外事工作，归口管理全市因公出国（境）工作，负责全市涉外管理、相关礼宾接待、国际友好城市缔结和对外友协工作，办理其他相关涉外事务。</w:t>
      </w:r>
    </w:p>
    <w:p>
      <w:pPr>
        <w:pStyle w:val="1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方正仿宋_GBK" w:hAnsi="方正仿宋_GBK" w:eastAsia="方正仿宋_GBK" w:cs="方正仿宋_GBK"/>
          <w:b w:val="0"/>
          <w:bCs w:val="0"/>
          <w:color w:val="333333"/>
          <w:spacing w:val="0"/>
          <w:sz w:val="32"/>
          <w:szCs w:val="32"/>
          <w:lang w:eastAsia="zh-CN"/>
        </w:rPr>
      </w:pPr>
      <w:r>
        <w:rPr>
          <w:rFonts w:hint="eastAsia" w:ascii="方正仿宋_GBK" w:hAnsi="方正仿宋_GBK" w:eastAsia="方正仿宋_GBK" w:cs="方正仿宋_GBK"/>
          <w:b w:val="0"/>
          <w:bCs w:val="0"/>
          <w:color w:val="333333"/>
          <w:spacing w:val="0"/>
          <w:sz w:val="32"/>
          <w:szCs w:val="32"/>
        </w:rPr>
        <w:t>1</w:t>
      </w:r>
      <w:r>
        <w:rPr>
          <w:rFonts w:hint="eastAsia" w:ascii="方正仿宋_GBK" w:hAnsi="方正仿宋_GBK" w:eastAsia="方正仿宋_GBK" w:cs="方正仿宋_GBK"/>
          <w:b w:val="0"/>
          <w:bCs w:val="0"/>
          <w:color w:val="333333"/>
          <w:spacing w:val="0"/>
          <w:sz w:val="32"/>
          <w:szCs w:val="32"/>
          <w:lang w:val="en-US" w:eastAsia="zh-CN"/>
        </w:rPr>
        <w:t>0</w:t>
      </w:r>
      <w:r>
        <w:rPr>
          <w:rFonts w:hint="eastAsia" w:ascii="方正仿宋_GBK" w:hAnsi="方正仿宋_GBK" w:eastAsia="方正仿宋_GBK" w:cs="方正仿宋_GBK"/>
          <w:kern w:val="2"/>
          <w:sz w:val="32"/>
          <w:szCs w:val="32"/>
          <w:lang w:val="en-US" w:eastAsia="zh-CN" w:bidi="ar-SA"/>
        </w:rPr>
        <w:t>．</w:t>
      </w:r>
      <w:r>
        <w:rPr>
          <w:rFonts w:hint="eastAsia" w:ascii="方正仿宋_GBK" w:hAnsi="方正仿宋_GBK" w:eastAsia="方正仿宋_GBK" w:cs="方正仿宋_GBK"/>
          <w:b w:val="0"/>
          <w:bCs w:val="0"/>
          <w:color w:val="333333"/>
          <w:spacing w:val="0"/>
          <w:sz w:val="32"/>
          <w:szCs w:val="32"/>
          <w:lang w:eastAsia="zh-CN"/>
        </w:rPr>
        <w:t>负责市政府驻外机构的管理工作。</w:t>
      </w:r>
    </w:p>
    <w:p>
      <w:pPr>
        <w:pStyle w:val="1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方正仿宋_GBK" w:hAnsi="方正仿宋_GBK" w:eastAsia="方正仿宋_GBK" w:cs="方正仿宋_GBK"/>
          <w:b w:val="0"/>
          <w:bCs w:val="0"/>
          <w:color w:val="333333"/>
          <w:spacing w:val="0"/>
          <w:sz w:val="32"/>
          <w:szCs w:val="32"/>
        </w:rPr>
      </w:pPr>
      <w:r>
        <w:rPr>
          <w:rFonts w:hint="eastAsia" w:ascii="方正仿宋_GBK" w:hAnsi="方正仿宋_GBK" w:eastAsia="方正仿宋_GBK" w:cs="方正仿宋_GBK"/>
          <w:b w:val="0"/>
          <w:bCs w:val="0"/>
          <w:color w:val="333333"/>
          <w:spacing w:val="0"/>
          <w:sz w:val="32"/>
          <w:szCs w:val="32"/>
        </w:rPr>
        <w:t>1</w:t>
      </w:r>
      <w:r>
        <w:rPr>
          <w:rFonts w:hint="eastAsia" w:ascii="方正仿宋_GBK" w:hAnsi="方正仿宋_GBK" w:eastAsia="方正仿宋_GBK" w:cs="方正仿宋_GBK"/>
          <w:b w:val="0"/>
          <w:bCs w:val="0"/>
          <w:color w:val="333333"/>
          <w:spacing w:val="0"/>
          <w:sz w:val="32"/>
          <w:szCs w:val="32"/>
          <w:lang w:val="en-US" w:eastAsia="zh-CN"/>
        </w:rPr>
        <w:t>1</w:t>
      </w:r>
      <w:r>
        <w:rPr>
          <w:rFonts w:hint="eastAsia" w:ascii="方正仿宋_GBK" w:hAnsi="方正仿宋_GBK" w:eastAsia="方正仿宋_GBK" w:cs="方正仿宋_GBK"/>
          <w:kern w:val="2"/>
          <w:sz w:val="32"/>
          <w:szCs w:val="32"/>
          <w:lang w:val="en-US" w:eastAsia="zh-CN" w:bidi="ar-SA"/>
        </w:rPr>
        <w:t>．</w:t>
      </w:r>
      <w:r>
        <w:rPr>
          <w:rFonts w:hint="eastAsia" w:ascii="方正仿宋_GBK" w:hAnsi="方正仿宋_GBK" w:eastAsia="方正仿宋_GBK" w:cs="方正仿宋_GBK"/>
          <w:b w:val="0"/>
          <w:bCs w:val="0"/>
          <w:color w:val="333333"/>
          <w:spacing w:val="0"/>
          <w:sz w:val="32"/>
          <w:szCs w:val="32"/>
          <w:lang w:eastAsia="zh-CN"/>
        </w:rPr>
        <w:t>承担市政府公布的有关行政审批事项</w:t>
      </w:r>
      <w:r>
        <w:rPr>
          <w:rFonts w:hint="eastAsia" w:ascii="方正仿宋_GBK" w:hAnsi="方正仿宋_GBK" w:eastAsia="方正仿宋_GBK" w:cs="方正仿宋_GBK"/>
          <w:b w:val="0"/>
          <w:bCs w:val="0"/>
          <w:color w:val="333333"/>
          <w:spacing w:val="0"/>
          <w:sz w:val="32"/>
          <w:szCs w:val="32"/>
        </w:rPr>
        <w:t>。</w:t>
      </w:r>
    </w:p>
    <w:p>
      <w:pPr>
        <w:pStyle w:val="1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642" w:firstLineChars="200"/>
        <w:jc w:val="left"/>
        <w:textAlignment w:val="auto"/>
        <w:rPr>
          <w:rFonts w:hint="default" w:ascii="Times New Roman" w:hAnsi="Times New Roman" w:eastAsia="仿宋" w:cs="Times New Roman"/>
          <w:color w:val="333333"/>
          <w:spacing w:val="0"/>
          <w:sz w:val="32"/>
          <w:szCs w:val="32"/>
        </w:rPr>
      </w:pPr>
      <w:bookmarkStart w:id="41" w:name="_Toc1934651194_WPSOffice_Level2"/>
      <w:bookmarkStart w:id="42" w:name="_Toc425292185_WPSOffice_Level2"/>
      <w:r>
        <w:rPr>
          <w:rFonts w:hint="default" w:ascii="Times New Roman" w:hAnsi="Times New Roman" w:eastAsia="楷体_GB2312" w:cs="Times New Roman"/>
          <w:b/>
          <w:color w:val="auto"/>
          <w:kern w:val="2"/>
          <w:sz w:val="32"/>
          <w:szCs w:val="32"/>
          <w:highlight w:val="none"/>
          <w:lang w:val="en-US" w:eastAsia="zh-CN" w:bidi="ar-SA"/>
        </w:rPr>
        <w:t>（二）市</w:t>
      </w:r>
      <w:r>
        <w:rPr>
          <w:rFonts w:hint="eastAsia" w:ascii="Times New Roman" w:hAnsi="Times New Roman" w:eastAsia="楷体_GB2312" w:cs="Times New Roman"/>
          <w:b/>
          <w:color w:val="auto"/>
          <w:kern w:val="2"/>
          <w:sz w:val="32"/>
          <w:szCs w:val="32"/>
          <w:highlight w:val="none"/>
          <w:lang w:val="en-US" w:eastAsia="zh-CN" w:bidi="ar-SA"/>
        </w:rPr>
        <w:t>网站事务</w:t>
      </w:r>
      <w:r>
        <w:rPr>
          <w:rFonts w:hint="default" w:ascii="Times New Roman" w:hAnsi="Times New Roman" w:eastAsia="楷体_GB2312" w:cs="Times New Roman"/>
          <w:b/>
          <w:color w:val="auto"/>
          <w:kern w:val="2"/>
          <w:sz w:val="32"/>
          <w:szCs w:val="32"/>
          <w:highlight w:val="none"/>
          <w:lang w:val="en-US" w:eastAsia="zh-CN" w:bidi="ar-SA"/>
        </w:rPr>
        <w:t>中心职能简介。</w:t>
      </w:r>
      <w:bookmarkEnd w:id="41"/>
      <w:bookmarkEnd w:id="42"/>
    </w:p>
    <w:p>
      <w:pPr>
        <w:pStyle w:val="1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方正仿宋_GBK" w:hAnsi="方正仿宋_GBK" w:eastAsia="方正仿宋_GBK" w:cs="方正仿宋_GBK"/>
          <w:color w:val="333333"/>
          <w:spacing w:val="0"/>
          <w:sz w:val="32"/>
          <w:szCs w:val="32"/>
        </w:rPr>
      </w:pPr>
      <w:r>
        <w:rPr>
          <w:rFonts w:hint="eastAsia" w:ascii="方正仿宋_GBK" w:hAnsi="方正仿宋_GBK" w:eastAsia="方正仿宋_GBK" w:cs="方正仿宋_GBK"/>
          <w:color w:val="333333"/>
          <w:spacing w:val="0"/>
          <w:sz w:val="32"/>
          <w:szCs w:val="32"/>
        </w:rPr>
        <w:t>1</w:t>
      </w:r>
      <w:r>
        <w:rPr>
          <w:rFonts w:hint="eastAsia" w:ascii="方正仿宋_GBK" w:hAnsi="方正仿宋_GBK" w:eastAsia="方正仿宋_GBK" w:cs="方正仿宋_GBK"/>
          <w:kern w:val="2"/>
          <w:sz w:val="32"/>
          <w:szCs w:val="32"/>
          <w:lang w:val="en-US" w:eastAsia="zh-CN" w:bidi="ar-SA"/>
        </w:rPr>
        <w:t>．</w:t>
      </w:r>
      <w:r>
        <w:rPr>
          <w:rFonts w:hint="eastAsia" w:ascii="方正仿宋_GBK" w:hAnsi="方正仿宋_GBK" w:eastAsia="方正仿宋_GBK" w:cs="方正仿宋_GBK"/>
          <w:color w:val="333333"/>
          <w:spacing w:val="0"/>
          <w:sz w:val="32"/>
          <w:szCs w:val="32"/>
          <w:lang w:eastAsia="zh-CN"/>
        </w:rPr>
        <w:t>负责攀枝花市政府网站集约化平台建设和运维管理，为政务公开、信息发布、政策解读等相关工作提供支撑服务，参与全市政府网站和政务新媒体绩效评估工作</w:t>
      </w:r>
      <w:r>
        <w:rPr>
          <w:rFonts w:hint="eastAsia" w:ascii="方正仿宋_GBK" w:hAnsi="方正仿宋_GBK" w:eastAsia="方正仿宋_GBK" w:cs="方正仿宋_GBK"/>
          <w:color w:val="333333"/>
          <w:spacing w:val="0"/>
          <w:sz w:val="32"/>
          <w:szCs w:val="32"/>
        </w:rPr>
        <w:t>。</w:t>
      </w:r>
    </w:p>
    <w:p>
      <w:pPr>
        <w:pStyle w:val="1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方正仿宋_GBK" w:hAnsi="方正仿宋_GBK" w:eastAsia="方正仿宋_GBK" w:cs="方正仿宋_GBK"/>
          <w:color w:val="333333"/>
          <w:spacing w:val="0"/>
          <w:sz w:val="32"/>
          <w:szCs w:val="32"/>
        </w:rPr>
      </w:pPr>
      <w:r>
        <w:rPr>
          <w:rFonts w:hint="eastAsia" w:ascii="方正仿宋_GBK" w:hAnsi="方正仿宋_GBK" w:eastAsia="方正仿宋_GBK" w:cs="方正仿宋_GBK"/>
          <w:color w:val="333333"/>
          <w:spacing w:val="0"/>
          <w:sz w:val="32"/>
          <w:szCs w:val="32"/>
        </w:rPr>
        <w:t>2</w:t>
      </w:r>
      <w:r>
        <w:rPr>
          <w:rFonts w:hint="eastAsia" w:ascii="方正仿宋_GBK" w:hAnsi="方正仿宋_GBK" w:eastAsia="方正仿宋_GBK" w:cs="方正仿宋_GBK"/>
          <w:kern w:val="2"/>
          <w:sz w:val="32"/>
          <w:szCs w:val="32"/>
          <w:lang w:val="en-US" w:eastAsia="zh-CN" w:bidi="ar-SA"/>
        </w:rPr>
        <w:t>．</w:t>
      </w:r>
      <w:r>
        <w:rPr>
          <w:rFonts w:hint="eastAsia" w:ascii="方正仿宋_GBK" w:hAnsi="方正仿宋_GBK" w:eastAsia="方正仿宋_GBK" w:cs="方正仿宋_GBK"/>
          <w:color w:val="333333"/>
          <w:spacing w:val="0"/>
          <w:sz w:val="32"/>
          <w:szCs w:val="32"/>
          <w:lang w:eastAsia="zh-CN"/>
        </w:rPr>
        <w:t>负责对“走好网上群众路线”等群众诉求网络渠道办理情况进行统计分析，并提出建议</w:t>
      </w:r>
      <w:r>
        <w:rPr>
          <w:rFonts w:hint="eastAsia" w:ascii="方正仿宋_GBK" w:hAnsi="方正仿宋_GBK" w:eastAsia="方正仿宋_GBK" w:cs="方正仿宋_GBK"/>
          <w:color w:val="333333"/>
          <w:spacing w:val="0"/>
          <w:sz w:val="32"/>
          <w:szCs w:val="32"/>
        </w:rPr>
        <w:t>。</w:t>
      </w:r>
    </w:p>
    <w:p>
      <w:pPr>
        <w:pStyle w:val="2"/>
        <w:pageBreakBefore w:val="0"/>
        <w:widowControl w:val="0"/>
        <w:kinsoku/>
        <w:wordWrap/>
        <w:overflowPunct/>
        <w:topLinePunct w:val="0"/>
        <w:autoSpaceDE/>
        <w:autoSpaceDN/>
        <w:bidi w:val="0"/>
        <w:adjustRightInd w:val="0"/>
        <w:spacing w:beforeLines="0" w:line="240" w:lineRule="auto"/>
        <w:ind w:left="0" w:firstLine="642" w:firstLineChars="200"/>
        <w:textAlignment w:val="auto"/>
        <w:rPr>
          <w:rFonts w:hint="default" w:ascii="Times New Roman" w:hAnsi="Times New Roman" w:eastAsia="楷体_GB2312" w:cs="Times New Roman"/>
          <w:b/>
          <w:color w:val="auto"/>
          <w:sz w:val="32"/>
          <w:highlight w:val="none"/>
        </w:rPr>
      </w:pPr>
      <w:bookmarkStart w:id="43" w:name="_Toc345528385_WPSOffice_Level2"/>
      <w:bookmarkStart w:id="44" w:name="_Toc58165406_WPSOffice_Level2"/>
      <w:r>
        <w:rPr>
          <w:rFonts w:hint="eastAsia" w:ascii="Times New Roman" w:hAnsi="Times New Roman" w:eastAsia="楷体_GB2312" w:cs="Times New Roman"/>
          <w:b/>
          <w:color w:val="auto"/>
          <w:sz w:val="32"/>
          <w:highlight w:val="none"/>
        </w:rPr>
        <w:t>（三）市决策咨询服务中心职能简介。</w:t>
      </w:r>
      <w:bookmarkEnd w:id="43"/>
      <w:bookmarkEnd w:id="44"/>
    </w:p>
    <w:p>
      <w:pPr>
        <w:pStyle w:val="1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方正仿宋_GBK" w:hAnsi="方正仿宋_GBK" w:eastAsia="方正仿宋_GBK" w:cs="方正仿宋_GBK"/>
          <w:color w:val="333333"/>
          <w:spacing w:val="0"/>
          <w:sz w:val="32"/>
          <w:szCs w:val="32"/>
          <w:lang w:val="en-US" w:eastAsia="zh-CN"/>
        </w:rPr>
      </w:pPr>
      <w:r>
        <w:rPr>
          <w:rFonts w:hint="eastAsia" w:ascii="方正仿宋_GBK" w:hAnsi="方正仿宋_GBK" w:eastAsia="方正仿宋_GBK" w:cs="方正仿宋_GBK"/>
          <w:color w:val="333333"/>
          <w:spacing w:val="0"/>
          <w:sz w:val="32"/>
          <w:szCs w:val="32"/>
        </w:rPr>
        <w:t>1</w:t>
      </w:r>
      <w:r>
        <w:rPr>
          <w:rFonts w:hint="eastAsia" w:ascii="方正仿宋_GBK" w:hAnsi="方正仿宋_GBK" w:eastAsia="方正仿宋_GBK" w:cs="方正仿宋_GBK"/>
          <w:color w:val="333333"/>
          <w:spacing w:val="0"/>
          <w:sz w:val="32"/>
          <w:szCs w:val="32"/>
          <w:lang w:val="en-US" w:eastAsia="zh-CN"/>
        </w:rPr>
        <w:t>．</w:t>
      </w:r>
      <w:r>
        <w:rPr>
          <w:rFonts w:hint="eastAsia" w:ascii="方正仿宋_GBK" w:hAnsi="方正仿宋_GBK" w:eastAsia="方正仿宋_GBK" w:cs="方正仿宋_GBK"/>
          <w:color w:val="333333"/>
          <w:spacing w:val="0"/>
          <w:sz w:val="32"/>
          <w:szCs w:val="32"/>
        </w:rPr>
        <w:t>根据市委、市政府和市决咨委安排，组织委员开展全市发展战略、中长期规划、重大决策部署、重大问题、重点项目等咨询论证活动。</w:t>
      </w:r>
    </w:p>
    <w:p>
      <w:pPr>
        <w:pStyle w:val="1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方正仿宋_GBK" w:hAnsi="方正仿宋_GBK" w:eastAsia="方正仿宋_GBK" w:cs="方正仿宋_GBK"/>
          <w:color w:val="333333"/>
          <w:spacing w:val="0"/>
          <w:sz w:val="32"/>
          <w:szCs w:val="32"/>
          <w:lang w:val="en-US" w:eastAsia="zh-CN"/>
        </w:rPr>
      </w:pPr>
      <w:r>
        <w:rPr>
          <w:rFonts w:hint="eastAsia" w:ascii="方正仿宋_GBK" w:hAnsi="方正仿宋_GBK" w:eastAsia="方正仿宋_GBK" w:cs="方正仿宋_GBK"/>
          <w:color w:val="333333"/>
          <w:spacing w:val="0"/>
          <w:sz w:val="32"/>
          <w:szCs w:val="32"/>
          <w:lang w:val="en-US" w:eastAsia="zh-CN"/>
        </w:rPr>
        <w:t>2．负责全市经济社会发展重大决策咨询研究课题的组织实施。</w:t>
      </w:r>
    </w:p>
    <w:p>
      <w:pPr>
        <w:pStyle w:val="1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方正仿宋_GBK" w:hAnsi="方正仿宋_GBK" w:eastAsia="方正仿宋_GBK" w:cs="方正仿宋_GBK"/>
          <w:color w:val="333333"/>
          <w:spacing w:val="0"/>
          <w:sz w:val="32"/>
          <w:szCs w:val="32"/>
          <w:lang w:val="en-US" w:eastAsia="zh-CN"/>
        </w:rPr>
      </w:pPr>
      <w:r>
        <w:rPr>
          <w:rFonts w:hint="eastAsia" w:ascii="方正仿宋_GBK" w:hAnsi="方正仿宋_GBK" w:eastAsia="方正仿宋_GBK" w:cs="方正仿宋_GBK"/>
          <w:color w:val="333333"/>
          <w:spacing w:val="0"/>
          <w:sz w:val="32"/>
          <w:szCs w:val="32"/>
          <w:lang w:val="en-US" w:eastAsia="zh-CN"/>
        </w:rPr>
        <w:t>3．负责市决咨委各专业组决策咨询调研、考察及与相关部门的组织协调工作。</w:t>
      </w:r>
    </w:p>
    <w:p>
      <w:pPr>
        <w:pStyle w:val="1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方正仿宋_GBK" w:hAnsi="方正仿宋_GBK" w:eastAsia="方正仿宋_GBK" w:cs="方正仿宋_GBK"/>
          <w:color w:val="333333"/>
          <w:spacing w:val="0"/>
          <w:sz w:val="32"/>
          <w:szCs w:val="32"/>
          <w:lang w:val="en-US" w:eastAsia="zh-CN"/>
        </w:rPr>
      </w:pPr>
      <w:r>
        <w:rPr>
          <w:rFonts w:hint="eastAsia" w:ascii="方正仿宋_GBK" w:hAnsi="方正仿宋_GBK" w:eastAsia="方正仿宋_GBK" w:cs="方正仿宋_GBK"/>
          <w:color w:val="333333"/>
          <w:spacing w:val="0"/>
          <w:sz w:val="32"/>
          <w:szCs w:val="32"/>
          <w:lang w:val="en-US" w:eastAsia="zh-CN"/>
        </w:rPr>
        <w:t>4．及时整理市决咨委委员和各专业组提出的咨询意见、建议和课题研究成果，报送市委、市政府及有关部门，并进行成果应用的跟踪。</w:t>
      </w:r>
    </w:p>
    <w:p>
      <w:pPr>
        <w:pStyle w:val="1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方正仿宋_GBK" w:hAnsi="方正仿宋_GBK" w:eastAsia="方正仿宋_GBK" w:cs="方正仿宋_GBK"/>
          <w:color w:val="333333"/>
          <w:spacing w:val="0"/>
          <w:sz w:val="32"/>
          <w:szCs w:val="32"/>
          <w:lang w:val="en-US" w:eastAsia="zh-CN"/>
        </w:rPr>
      </w:pPr>
      <w:r>
        <w:rPr>
          <w:rFonts w:hint="eastAsia" w:ascii="方正仿宋_GBK" w:hAnsi="方正仿宋_GBK" w:eastAsia="方正仿宋_GBK" w:cs="方正仿宋_GBK"/>
          <w:color w:val="333333"/>
          <w:spacing w:val="0"/>
          <w:sz w:val="32"/>
          <w:szCs w:val="32"/>
          <w:lang w:val="en-US" w:eastAsia="zh-CN"/>
        </w:rPr>
        <w:t>5．组织委员召开决策咨询研讨会议和决策咨询交流活动。</w:t>
      </w:r>
    </w:p>
    <w:p>
      <w:pPr>
        <w:pStyle w:val="1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方正仿宋_GBK" w:hAnsi="方正仿宋_GBK" w:eastAsia="方正仿宋_GBK" w:cs="方正仿宋_GBK"/>
          <w:color w:val="333333"/>
          <w:spacing w:val="0"/>
          <w:sz w:val="32"/>
          <w:szCs w:val="32"/>
          <w:lang w:val="en-US" w:eastAsia="zh-CN"/>
        </w:rPr>
      </w:pPr>
      <w:r>
        <w:rPr>
          <w:rFonts w:hint="eastAsia" w:ascii="方正仿宋_GBK" w:hAnsi="方正仿宋_GBK" w:eastAsia="方正仿宋_GBK" w:cs="方正仿宋_GBK"/>
          <w:color w:val="333333"/>
          <w:spacing w:val="0"/>
          <w:sz w:val="32"/>
          <w:szCs w:val="32"/>
          <w:lang w:val="en-US" w:eastAsia="zh-CN"/>
        </w:rPr>
        <w:t>6．为委员提供相关信息和资料，组织委员列席市委、市政府重要会议，为委员开展咨询工作提供服务。</w:t>
      </w:r>
    </w:p>
    <w:p>
      <w:pPr>
        <w:pStyle w:val="1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方正仿宋_GBK" w:hAnsi="方正仿宋_GBK" w:eastAsia="方正仿宋_GBK" w:cs="方正仿宋_GBK"/>
          <w:color w:val="333333"/>
          <w:spacing w:val="0"/>
          <w:sz w:val="32"/>
          <w:szCs w:val="32"/>
          <w:lang w:val="en-US" w:eastAsia="zh-CN"/>
        </w:rPr>
      </w:pPr>
      <w:r>
        <w:rPr>
          <w:rFonts w:hint="eastAsia" w:ascii="方正仿宋_GBK" w:hAnsi="方正仿宋_GBK" w:eastAsia="方正仿宋_GBK" w:cs="方正仿宋_GBK"/>
          <w:color w:val="333333"/>
          <w:spacing w:val="0"/>
          <w:sz w:val="32"/>
          <w:szCs w:val="32"/>
          <w:lang w:val="en-US" w:eastAsia="zh-CN"/>
        </w:rPr>
        <w:t>7．负责起草市决咨委的各种工作制度和文件草案，定期向市决咨委办公室领导汇报工作。</w:t>
      </w:r>
    </w:p>
    <w:p>
      <w:pPr>
        <w:pStyle w:val="1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方正仿宋_GBK" w:hAnsi="方正仿宋_GBK" w:eastAsia="方正仿宋_GBK" w:cs="方正仿宋_GBK"/>
          <w:color w:val="333333"/>
          <w:spacing w:val="0"/>
          <w:sz w:val="32"/>
          <w:szCs w:val="32"/>
          <w:lang w:val="en-US" w:eastAsia="zh-CN"/>
        </w:rPr>
      </w:pPr>
      <w:r>
        <w:rPr>
          <w:rFonts w:hint="eastAsia" w:ascii="方正仿宋_GBK" w:hAnsi="方正仿宋_GBK" w:eastAsia="方正仿宋_GBK" w:cs="方正仿宋_GBK"/>
          <w:color w:val="333333"/>
          <w:spacing w:val="0"/>
          <w:sz w:val="32"/>
          <w:szCs w:val="32"/>
          <w:lang w:val="en-US" w:eastAsia="zh-CN"/>
        </w:rPr>
        <w:t xml:space="preserve">8．负责市决咨委办公室日常事务工作。 </w:t>
      </w:r>
    </w:p>
    <w:p>
      <w:pPr>
        <w:pStyle w:val="1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方正仿宋_GBK" w:hAnsi="方正仿宋_GBK" w:eastAsia="方正仿宋_GBK" w:cs="方正仿宋_GBK"/>
          <w:color w:val="333333"/>
          <w:spacing w:val="0"/>
          <w:sz w:val="32"/>
          <w:szCs w:val="32"/>
          <w:lang w:val="en-US" w:eastAsia="zh-CN"/>
        </w:rPr>
      </w:pPr>
      <w:r>
        <w:rPr>
          <w:rFonts w:hint="eastAsia" w:ascii="方正仿宋_GBK" w:hAnsi="方正仿宋_GBK" w:eastAsia="方正仿宋_GBK" w:cs="方正仿宋_GBK"/>
          <w:color w:val="333333"/>
          <w:spacing w:val="0"/>
          <w:sz w:val="32"/>
          <w:szCs w:val="32"/>
          <w:lang w:val="en-US" w:eastAsia="zh-CN"/>
        </w:rPr>
        <w:t>9．完成市委、市政府交办的工作和主任委员会确定的其他工作。</w:t>
      </w:r>
    </w:p>
    <w:p>
      <w:pPr>
        <w:pStyle w:val="4"/>
        <w:pageBreakBefore w:val="0"/>
        <w:widowControl w:val="0"/>
        <w:kinsoku/>
        <w:wordWrap/>
        <w:overflowPunct/>
        <w:topLinePunct w:val="0"/>
        <w:autoSpaceDE/>
        <w:autoSpaceDN/>
        <w:bidi w:val="0"/>
        <w:spacing w:before="0" w:after="0" w:line="240" w:lineRule="auto"/>
        <w:ind w:left="0" w:firstLine="640" w:firstLineChars="200"/>
        <w:textAlignment w:val="auto"/>
        <w:rPr>
          <w:rStyle w:val="31"/>
          <w:rFonts w:ascii="Times New Roman" w:hAnsi="Times New Roman"/>
          <w:b w:val="0"/>
          <w:bCs w:val="0"/>
          <w:color w:val="auto"/>
          <w:highlight w:val="none"/>
        </w:rPr>
      </w:pPr>
      <w:bookmarkStart w:id="45" w:name="_Toc15396601"/>
      <w:bookmarkStart w:id="46" w:name="_Toc15377200"/>
      <w:bookmarkStart w:id="47" w:name="_Toc2005162551_WPSOffice_Level2"/>
      <w:r>
        <w:rPr>
          <w:rFonts w:hint="eastAsia" w:ascii="Times New Roman" w:hAnsi="Times New Roman" w:eastAsia="黑体"/>
          <w:b w:val="0"/>
          <w:color w:val="auto"/>
          <w:highlight w:val="none"/>
        </w:rPr>
        <w:t>二、机</w:t>
      </w:r>
      <w:r>
        <w:rPr>
          <w:rStyle w:val="31"/>
          <w:rFonts w:hint="eastAsia" w:ascii="Times New Roman" w:hAnsi="Times New Roman" w:eastAsia="黑体"/>
          <w:b w:val="0"/>
          <w:bCs w:val="0"/>
          <w:color w:val="auto"/>
          <w:highlight w:val="none"/>
        </w:rPr>
        <w:t>构设置</w:t>
      </w:r>
      <w:bookmarkEnd w:id="45"/>
      <w:bookmarkEnd w:id="46"/>
      <w:bookmarkEnd w:id="47"/>
    </w:p>
    <w:p>
      <w:pPr>
        <w:pageBreakBefore w:val="0"/>
        <w:widowControl w:val="0"/>
        <w:suppressAutoHyphens/>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市政府办公室本级下属非独立核算事业单位2个：市</w:t>
      </w:r>
      <w:r>
        <w:rPr>
          <w:rFonts w:hint="eastAsia" w:ascii="Times New Roman" w:hAnsi="Times New Roman" w:eastAsia="仿宋_GB2312" w:cs="Times New Roman"/>
          <w:sz w:val="32"/>
          <w:szCs w:val="32"/>
          <w:lang w:val="en-US" w:eastAsia="zh-CN"/>
        </w:rPr>
        <w:t>网站事务</w:t>
      </w:r>
      <w:r>
        <w:rPr>
          <w:rFonts w:hint="default" w:ascii="Times New Roman" w:hAnsi="Times New Roman" w:eastAsia="仿宋_GB2312" w:cs="Times New Roman"/>
          <w:sz w:val="32"/>
          <w:szCs w:val="32"/>
        </w:rPr>
        <w:t>中心、市决策咨询服务中心；代管单位1个：原市政府驻昆明办事处。</w:t>
      </w:r>
    </w:p>
    <w:p>
      <w:pPr>
        <w:widowControl/>
        <w:jc w:val="left"/>
        <w:rPr>
          <w:rFonts w:ascii="Times New Roman" w:hAnsi="Times New Roman" w:eastAsia="仿宋"/>
          <w:color w:val="auto"/>
          <w:kern w:val="0"/>
          <w:sz w:val="32"/>
          <w:szCs w:val="32"/>
          <w:highlight w:val="none"/>
        </w:rPr>
      </w:pPr>
      <w:r>
        <w:rPr>
          <w:rFonts w:ascii="Times New Roman" w:hAnsi="Times New Roman" w:eastAsia="仿宋"/>
          <w:color w:val="auto"/>
          <w:sz w:val="32"/>
          <w:szCs w:val="32"/>
          <w:highlight w:val="none"/>
        </w:rPr>
        <w:br w:type="page"/>
      </w:r>
    </w:p>
    <w:p>
      <w:pPr>
        <w:pStyle w:val="3"/>
        <w:jc w:val="center"/>
        <w:rPr>
          <w:rFonts w:hint="eastAsia" w:ascii="Times New Roman" w:hAnsi="Times New Roman" w:eastAsia="方正小标宋简体" w:cs="方正小标宋简体"/>
          <w:b w:val="0"/>
          <w:color w:val="auto"/>
          <w:highlight w:val="none"/>
        </w:rPr>
      </w:pPr>
      <w:bookmarkStart w:id="48" w:name="_Toc15396602"/>
      <w:bookmarkStart w:id="49" w:name="_Toc15377204"/>
      <w:bookmarkStart w:id="50" w:name="_Toc1731031580_WPSOffice_Level1"/>
      <w:r>
        <w:rPr>
          <w:rFonts w:hint="eastAsia" w:ascii="Times New Roman" w:hAnsi="Times New Roman" w:eastAsia="方正小标宋简体" w:cs="方正小标宋简体"/>
          <w:b w:val="0"/>
          <w:color w:val="auto"/>
          <w:highlight w:val="none"/>
        </w:rPr>
        <w:t>第二部分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Fonts w:hint="eastAsia" w:ascii="Times New Roman" w:hAnsi="Times New Roman" w:eastAsia="方正小标宋简体" w:cs="方正小标宋简体"/>
          <w:b w:val="0"/>
          <w:color w:val="auto"/>
          <w:highlight w:val="none"/>
          <w:lang w:val="en-US" w:eastAsia="zh-CN"/>
        </w:rPr>
        <w:t>2024年度</w:t>
      </w:r>
      <w:r>
        <w:rPr>
          <w:rFonts w:hint="eastAsia" w:eastAsia="方正小标宋简体" w:cs="方正小标宋简体"/>
          <w:b w:val="0"/>
          <w:color w:val="auto"/>
          <w:highlight w:val="none"/>
          <w:lang w:eastAsia="zh-CN"/>
        </w:rPr>
        <w:t>单位</w:t>
      </w:r>
      <w:r>
        <w:rPr>
          <w:rFonts w:hint="eastAsia" w:ascii="Times New Roman" w:hAnsi="Times New Roman" w:eastAsia="方正小标宋简体" w:cs="方正小标宋简体"/>
          <w:b w:val="0"/>
          <w:color w:val="auto"/>
          <w:highlight w:val="none"/>
        </w:rPr>
        <w:t>决算情况说明</w:t>
      </w:r>
      <w:bookmarkEnd w:id="48"/>
      <w:bookmarkEnd w:id="49"/>
      <w:bookmarkEnd w:id="50"/>
    </w:p>
    <w:p>
      <w:pPr>
        <w:rPr>
          <w:rFonts w:ascii="Times New Roman" w:hAnsi="Times New Roman"/>
          <w:color w:val="auto"/>
          <w:highlight w:val="none"/>
        </w:rPr>
      </w:pPr>
    </w:p>
    <w:p>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31"/>
          <w:rFonts w:hint="eastAsia" w:ascii="Times New Roman" w:hAnsi="Times New Roman" w:eastAsia="黑体"/>
          <w:b w:val="0"/>
          <w:color w:val="auto"/>
          <w:highlight w:val="none"/>
        </w:rPr>
      </w:pPr>
      <w:bookmarkStart w:id="51" w:name="_Toc15377205"/>
      <w:bookmarkStart w:id="52" w:name="_Toc15396603"/>
      <w:bookmarkStart w:id="53" w:name="_Toc1705856527_WPSOffice_Level2"/>
      <w:r>
        <w:rPr>
          <w:rFonts w:hint="eastAsia" w:ascii="Times New Roman" w:hAnsi="Times New Roman" w:eastAsia="黑体"/>
          <w:color w:val="auto"/>
          <w:sz w:val="32"/>
          <w:szCs w:val="32"/>
          <w:highlight w:val="none"/>
          <w:lang w:eastAsia="zh-CN"/>
        </w:rPr>
        <w:t>一、</w:t>
      </w:r>
      <w:r>
        <w:rPr>
          <w:rFonts w:hint="eastAsia" w:ascii="Times New Roman" w:hAnsi="Times New Roman" w:eastAsia="黑体"/>
          <w:color w:val="auto"/>
          <w:sz w:val="32"/>
          <w:szCs w:val="32"/>
          <w:highlight w:val="none"/>
        </w:rPr>
        <w:t>收</w:t>
      </w:r>
      <w:r>
        <w:rPr>
          <w:rStyle w:val="31"/>
          <w:rFonts w:hint="eastAsia" w:ascii="Times New Roman" w:hAnsi="Times New Roman" w:eastAsia="黑体"/>
          <w:b w:val="0"/>
          <w:color w:val="auto"/>
          <w:highlight w:val="none"/>
        </w:rPr>
        <w:t>入支出决算总体情况说明</w:t>
      </w:r>
      <w:bookmarkEnd w:id="51"/>
      <w:bookmarkEnd w:id="52"/>
      <w:bookmarkEnd w:id="53"/>
    </w:p>
    <w:p>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333333"/>
          <w:spacing w:val="0"/>
          <w:kern w:val="0"/>
          <w:sz w:val="32"/>
          <w:szCs w:val="32"/>
          <w:lang w:val="en-US" w:eastAsia="zh-CN" w:bidi="ar"/>
        </w:rPr>
      </w:pPr>
      <w:bookmarkStart w:id="54" w:name="_Toc20331"/>
      <w:bookmarkStart w:id="55" w:name="_Toc19634"/>
      <w:bookmarkStart w:id="56" w:name="_Toc14156"/>
      <w:bookmarkStart w:id="57" w:name="_Toc13617"/>
      <w:r>
        <w:rPr>
          <w:rFonts w:hint="eastAsia" w:ascii="方正仿宋_GBK" w:hAnsi="方正仿宋_GBK" w:eastAsia="方正仿宋_GBK" w:cs="方正仿宋_GBK"/>
          <w:color w:val="333333"/>
          <w:spacing w:val="0"/>
          <w:kern w:val="0"/>
          <w:sz w:val="32"/>
          <w:szCs w:val="32"/>
          <w:lang w:val="en-US" w:eastAsia="zh-CN" w:bidi="ar"/>
        </w:rPr>
        <w:drawing>
          <wp:anchor distT="0" distB="0" distL="114300" distR="114300" simplePos="0" relativeHeight="251659264" behindDoc="0" locked="0" layoutInCell="1" allowOverlap="1">
            <wp:simplePos x="0" y="0"/>
            <wp:positionH relativeFrom="column">
              <wp:posOffset>282575</wp:posOffset>
            </wp:positionH>
            <wp:positionV relativeFrom="paragraph">
              <wp:posOffset>1524000</wp:posOffset>
            </wp:positionV>
            <wp:extent cx="4886325" cy="2752725"/>
            <wp:effectExtent l="0" t="0" r="9525" b="9525"/>
            <wp:wrapNone/>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8"/>
                    <a:stretch>
                      <a:fillRect/>
                    </a:stretch>
                  </pic:blipFill>
                  <pic:spPr>
                    <a:xfrm>
                      <a:off x="0" y="0"/>
                      <a:ext cx="4886325" cy="2752725"/>
                    </a:xfrm>
                    <a:prstGeom prst="rect">
                      <a:avLst/>
                    </a:prstGeom>
                    <a:noFill/>
                    <a:ln>
                      <a:noFill/>
                    </a:ln>
                  </pic:spPr>
                </pic:pic>
              </a:graphicData>
            </a:graphic>
          </wp:anchor>
        </w:drawing>
      </w:r>
      <w:r>
        <w:rPr>
          <w:rFonts w:hint="eastAsia" w:ascii="方正仿宋_GBK" w:hAnsi="方正仿宋_GBK" w:eastAsia="方正仿宋_GBK" w:cs="方正仿宋_GBK"/>
          <w:color w:val="333333"/>
          <w:spacing w:val="0"/>
          <w:kern w:val="0"/>
          <w:sz w:val="32"/>
          <w:szCs w:val="32"/>
          <w:lang w:val="en-US" w:eastAsia="zh-CN" w:bidi="ar"/>
        </w:rPr>
        <w:t>2024年度收入、支出总计均为4184.27万元。与2023年度相比，收入、支出总计各减少221.98万元，下降5.04%。主要变动原因是市大数据中心机构划转，人员减少，经费减少。</w:t>
      </w:r>
      <w:bookmarkEnd w:id="54"/>
      <w:bookmarkEnd w:id="55"/>
      <w:bookmarkEnd w:id="56"/>
      <w:bookmarkEnd w:id="57"/>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color w:val="auto"/>
          <w:sz w:val="32"/>
          <w:szCs w:val="32"/>
          <w:highlight w:val="none"/>
        </w:rPr>
      </w:pPr>
    </w:p>
    <w:p>
      <w:pPr>
        <w:pStyle w:val="6"/>
        <w:rPr>
          <w:rFonts w:hint="eastAsia" w:ascii="Times New Roman" w:hAnsi="Times New Roman" w:eastAsia="仿宋_GB2312" w:cs="仿宋_GB2312"/>
          <w:color w:val="auto"/>
          <w:sz w:val="32"/>
          <w:szCs w:val="32"/>
          <w:highlight w:val="none"/>
        </w:rPr>
      </w:pPr>
    </w:p>
    <w:p>
      <w:pPr>
        <w:pStyle w:val="6"/>
        <w:rPr>
          <w:rFonts w:hint="eastAsia" w:ascii="Times New Roman" w:hAnsi="Times New Roman" w:eastAsia="仿宋_GB2312" w:cs="仿宋_GB2312"/>
          <w:color w:val="auto"/>
          <w:sz w:val="32"/>
          <w:szCs w:val="32"/>
          <w:highlight w:val="none"/>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rPr>
          <w:rFonts w:hint="eastAsia" w:ascii="Times New Roman" w:hAnsi="Times New Roman" w:eastAsia="仿宋_GB2312" w:cs="仿宋_GB2312"/>
          <w:color w:val="auto"/>
          <w:sz w:val="32"/>
          <w:szCs w:val="32"/>
          <w:highlight w:val="none"/>
        </w:rPr>
      </w:pPr>
    </w:p>
    <w:p>
      <w:pPr>
        <w:pStyle w:val="6"/>
        <w:rPr>
          <w:rFonts w:hint="eastAsia"/>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（图1：</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决算总计变动情况图）</w:t>
      </w:r>
    </w:p>
    <w:p>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olor w:val="auto"/>
          <w:sz w:val="32"/>
          <w:szCs w:val="32"/>
          <w:highlight w:val="none"/>
          <w:lang w:eastAsia="zh-CN"/>
        </w:rPr>
      </w:pPr>
      <w:bookmarkStart w:id="58" w:name="_Toc15396604"/>
      <w:bookmarkStart w:id="59" w:name="_Toc15377206"/>
      <w:bookmarkStart w:id="60" w:name="_Toc1727646274_WPSOffice_Level2"/>
      <w:r>
        <w:rPr>
          <w:rFonts w:hint="eastAsia" w:ascii="Times New Roman" w:hAnsi="Times New Roman" w:eastAsia="黑体"/>
          <w:color w:val="auto"/>
          <w:sz w:val="32"/>
          <w:szCs w:val="32"/>
          <w:highlight w:val="none"/>
          <w:lang w:eastAsia="zh-CN"/>
        </w:rPr>
        <w:t>二、收入决算情况说明</w:t>
      </w:r>
      <w:bookmarkEnd w:id="58"/>
      <w:bookmarkEnd w:id="59"/>
      <w:bookmarkEnd w:id="60"/>
    </w:p>
    <w:p>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333333"/>
          <w:spacing w:val="0"/>
          <w:kern w:val="0"/>
          <w:sz w:val="32"/>
          <w:szCs w:val="32"/>
          <w:lang w:val="en-US" w:eastAsia="zh-CN" w:bidi="ar"/>
        </w:rPr>
      </w:pPr>
      <w:bookmarkStart w:id="61" w:name="_Toc17021"/>
      <w:bookmarkStart w:id="62" w:name="_Toc25665"/>
      <w:bookmarkStart w:id="63" w:name="_Toc2961"/>
      <w:bookmarkStart w:id="64" w:name="_Toc6799"/>
      <w:r>
        <w:rPr>
          <w:rFonts w:hint="eastAsia" w:ascii="方正仿宋_GBK" w:hAnsi="方正仿宋_GBK" w:eastAsia="方正仿宋_GBK" w:cs="方正仿宋_GBK"/>
          <w:color w:val="333333"/>
          <w:spacing w:val="0"/>
          <w:kern w:val="0"/>
          <w:sz w:val="32"/>
          <w:szCs w:val="32"/>
          <w:lang w:val="en-US" w:eastAsia="zh-CN" w:bidi="ar"/>
        </w:rPr>
        <w:t>2024年度本年收入合计4163.03万元，其中：一般公共预算财政拨款收入4163.03万元，占100%；政府性基金预算财政拨款收入0万元，占0%；国有资本经营预算财政拨款收入0万元，占0%；上级补助收入0万元，占0%；事业收入0万元，占0%；经营收入0万元，占0%；附属单位上缴收入0万元，占0%；其他收入0万元，占0%。</w:t>
      </w:r>
      <w:bookmarkEnd w:id="61"/>
      <w:bookmarkEnd w:id="62"/>
      <w:bookmarkEnd w:id="63"/>
      <w:bookmarkEnd w:id="64"/>
    </w:p>
    <w:p>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200"/>
        <w:jc w:val="left"/>
        <w:textAlignment w:val="auto"/>
        <w:outlineLvl w:val="1"/>
        <w:rPr>
          <w:rFonts w:hint="eastAsia" w:ascii="仿宋_GB2312" w:hAnsi="仿宋_GB2312" w:eastAsia="仿宋_GB2312" w:cs="仿宋_GB2312"/>
          <w:color w:val="auto"/>
          <w:sz w:val="32"/>
          <w:szCs w:val="32"/>
          <w:highlight w:val="none"/>
          <w:lang w:eastAsia="zh-CN"/>
        </w:rPr>
      </w:pPr>
      <w:r>
        <w:drawing>
          <wp:anchor distT="0" distB="0" distL="114300" distR="114300" simplePos="0" relativeHeight="251664384" behindDoc="0" locked="0" layoutInCell="1" allowOverlap="1">
            <wp:simplePos x="0" y="0"/>
            <wp:positionH relativeFrom="column">
              <wp:posOffset>281940</wp:posOffset>
            </wp:positionH>
            <wp:positionV relativeFrom="paragraph">
              <wp:posOffset>20955</wp:posOffset>
            </wp:positionV>
            <wp:extent cx="4806315" cy="3070225"/>
            <wp:effectExtent l="6350" t="6350" r="18415" b="17145"/>
            <wp:wrapNone/>
            <wp:docPr id="103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pPr>
        <w:jc w:val="both"/>
        <w:rPr>
          <w:rFonts w:hint="eastAsia" w:ascii="Times New Roman" w:hAnsi="Times New Roman" w:eastAsia="仿宋_GB2312" w:cs="仿宋_GB2312"/>
          <w:color w:val="auto"/>
          <w:sz w:val="32"/>
          <w:szCs w:val="32"/>
          <w:highlight w:val="none"/>
          <w:lang w:eastAsia="zh-CN"/>
        </w:rPr>
      </w:pPr>
    </w:p>
    <w:p>
      <w:pPr>
        <w:ind w:firstLine="800" w:firstLineChars="250"/>
        <w:jc w:val="center"/>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（图2：收入决算结构图）</w:t>
      </w:r>
    </w:p>
    <w:p>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31"/>
          <w:rFonts w:hint="eastAsia" w:ascii="Times New Roman" w:hAnsi="Times New Roman" w:eastAsia="黑体"/>
          <w:b w:val="0"/>
          <w:color w:val="auto"/>
          <w:highlight w:val="none"/>
        </w:rPr>
      </w:pPr>
      <w:bookmarkStart w:id="65" w:name="_Toc15377207"/>
      <w:bookmarkStart w:id="66" w:name="_Toc15396605"/>
      <w:bookmarkStart w:id="67" w:name="_Toc863913277_WPSOffice_Level2"/>
      <w:r>
        <w:rPr>
          <w:rFonts w:hint="eastAsia" w:ascii="Times New Roman" w:hAnsi="Times New Roman" w:eastAsia="黑体"/>
          <w:color w:val="auto"/>
          <w:sz w:val="32"/>
          <w:szCs w:val="32"/>
          <w:highlight w:val="none"/>
          <w:lang w:eastAsia="zh-CN"/>
        </w:rPr>
        <w:t>三、</w:t>
      </w:r>
      <w:r>
        <w:rPr>
          <w:rFonts w:hint="eastAsia" w:ascii="Times New Roman" w:hAnsi="Times New Roman" w:eastAsia="黑体"/>
          <w:color w:val="auto"/>
          <w:sz w:val="32"/>
          <w:szCs w:val="32"/>
          <w:highlight w:val="none"/>
        </w:rPr>
        <w:t>支</w:t>
      </w:r>
      <w:r>
        <w:rPr>
          <w:rStyle w:val="31"/>
          <w:rFonts w:hint="eastAsia" w:ascii="Times New Roman" w:hAnsi="Times New Roman" w:eastAsia="黑体"/>
          <w:b w:val="0"/>
          <w:color w:val="auto"/>
          <w:highlight w:val="none"/>
        </w:rPr>
        <w:t>出决算情况说明</w:t>
      </w:r>
      <w:bookmarkEnd w:id="65"/>
      <w:bookmarkEnd w:id="66"/>
      <w:bookmarkEnd w:id="67"/>
    </w:p>
    <w:p>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333333"/>
          <w:spacing w:val="0"/>
          <w:kern w:val="0"/>
          <w:sz w:val="32"/>
          <w:szCs w:val="32"/>
          <w:lang w:val="en-US" w:eastAsia="zh-CN" w:bidi="ar"/>
        </w:rPr>
      </w:pPr>
      <w:bookmarkStart w:id="68" w:name="_Toc6458"/>
      <w:r>
        <w:rPr>
          <w:rFonts w:hint="eastAsia" w:ascii="方正仿宋_GBK" w:hAnsi="方正仿宋_GBK" w:eastAsia="方正仿宋_GBK" w:cs="方正仿宋_GBK"/>
          <w:color w:val="333333"/>
          <w:spacing w:val="0"/>
          <w:kern w:val="0"/>
          <w:sz w:val="32"/>
          <w:szCs w:val="32"/>
          <w:lang w:val="en-US" w:eastAsia="zh-CN" w:bidi="ar"/>
        </w:rPr>
        <w:t>2024年度本年支出合计4162.54万元，其中：基本支出3432.94万元，占82.47%；项目支出729.6万元，占17.53%；上缴上级支出0万元，占0%；经营支出0万元，占0%；对附属单位补助支出0万元，占0%。</w:t>
      </w:r>
      <w:bookmarkEnd w:id="68"/>
    </w:p>
    <w:p>
      <w:pPr>
        <w:pStyle w:val="6"/>
        <w:rPr>
          <w:rFonts w:hint="eastAsia" w:ascii="仿宋_GB2312" w:hAnsi="仿宋_GB2312" w:eastAsia="仿宋_GB2312" w:cs="仿宋_GB2312"/>
          <w:color w:val="auto"/>
          <w:sz w:val="32"/>
          <w:szCs w:val="32"/>
          <w:highlight w:val="none"/>
          <w:lang w:eastAsia="zh-CN"/>
        </w:rPr>
      </w:pPr>
      <w:r>
        <w:drawing>
          <wp:anchor distT="0" distB="0" distL="114300" distR="114300" simplePos="0" relativeHeight="251660288" behindDoc="0" locked="0" layoutInCell="1" allowOverlap="1">
            <wp:simplePos x="0" y="0"/>
            <wp:positionH relativeFrom="column">
              <wp:posOffset>48260</wp:posOffset>
            </wp:positionH>
            <wp:positionV relativeFrom="paragraph">
              <wp:posOffset>40005</wp:posOffset>
            </wp:positionV>
            <wp:extent cx="5180965" cy="2895600"/>
            <wp:effectExtent l="0" t="0" r="635" b="0"/>
            <wp:wrapNone/>
            <wp:docPr id="4"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true"/>
                    </pic:cNvPicPr>
                  </pic:nvPicPr>
                  <pic:blipFill>
                    <a:blip r:embed="rId10"/>
                    <a:stretch>
                      <a:fillRect/>
                    </a:stretch>
                  </pic:blipFill>
                  <pic:spPr>
                    <a:xfrm>
                      <a:off x="0" y="0"/>
                      <a:ext cx="5180965" cy="2895600"/>
                    </a:xfrm>
                    <a:prstGeom prst="rect">
                      <a:avLst/>
                    </a:prstGeom>
                    <a:noFill/>
                    <a:ln>
                      <a:noFill/>
                    </a:ln>
                  </pic:spPr>
                </pic:pic>
              </a:graphicData>
            </a:graphic>
          </wp:anchor>
        </w:drawing>
      </w:r>
    </w:p>
    <w:p>
      <w:pPr>
        <w:rPr>
          <w:rFonts w:hint="eastAsia"/>
          <w:lang w:eastAsia="zh-CN"/>
        </w:rPr>
      </w:pPr>
    </w:p>
    <w:p>
      <w:pPr>
        <w:ind w:firstLine="800" w:firstLineChars="250"/>
        <w:rPr>
          <w:rFonts w:hint="eastAsia" w:ascii="Times New Roman" w:hAnsi="Times New Roman" w:eastAsia="仿宋_GB2312" w:cs="仿宋_GB2312"/>
          <w:color w:val="auto"/>
          <w:sz w:val="32"/>
          <w:szCs w:val="32"/>
          <w:highlight w:val="none"/>
          <w:lang w:eastAsia="zh-CN"/>
        </w:rPr>
      </w:pPr>
    </w:p>
    <w:p>
      <w:pPr>
        <w:ind w:firstLine="800" w:firstLineChars="250"/>
        <w:rPr>
          <w:rFonts w:hint="eastAsia" w:ascii="Times New Roman" w:hAnsi="Times New Roman" w:eastAsia="仿宋_GB2312" w:cs="仿宋_GB2312"/>
          <w:color w:val="auto"/>
          <w:sz w:val="32"/>
          <w:szCs w:val="32"/>
          <w:highlight w:val="none"/>
          <w:lang w:eastAsia="zh-CN"/>
        </w:rPr>
      </w:pPr>
    </w:p>
    <w:p>
      <w:pPr>
        <w:ind w:firstLine="800" w:firstLineChars="250"/>
        <w:rPr>
          <w:rFonts w:hint="eastAsia" w:ascii="Times New Roman" w:hAnsi="Times New Roman" w:eastAsia="仿宋_GB2312" w:cs="仿宋_GB2312"/>
          <w:color w:val="auto"/>
          <w:sz w:val="32"/>
          <w:szCs w:val="32"/>
          <w:highlight w:val="none"/>
          <w:lang w:eastAsia="zh-CN"/>
        </w:rPr>
      </w:pPr>
    </w:p>
    <w:p>
      <w:pPr>
        <w:ind w:firstLine="800" w:firstLineChars="250"/>
        <w:rPr>
          <w:rFonts w:hint="eastAsia" w:ascii="Times New Roman" w:hAnsi="Times New Roman" w:eastAsia="仿宋_GB2312" w:cs="仿宋_GB2312"/>
          <w:color w:val="auto"/>
          <w:sz w:val="32"/>
          <w:szCs w:val="32"/>
          <w:highlight w:val="none"/>
          <w:lang w:eastAsia="zh-CN"/>
        </w:rPr>
      </w:pPr>
    </w:p>
    <w:p>
      <w:pPr>
        <w:ind w:firstLine="800" w:firstLineChars="250"/>
        <w:rPr>
          <w:rFonts w:hint="eastAsia" w:ascii="Times New Roman" w:hAnsi="Times New Roman" w:eastAsia="仿宋_GB2312" w:cs="仿宋_GB2312"/>
          <w:color w:val="auto"/>
          <w:sz w:val="32"/>
          <w:szCs w:val="32"/>
          <w:highlight w:val="none"/>
          <w:lang w:eastAsia="zh-CN"/>
        </w:rPr>
      </w:pPr>
    </w:p>
    <w:p>
      <w:pPr>
        <w:ind w:firstLine="800" w:firstLineChars="250"/>
        <w:jc w:val="center"/>
        <w:rPr>
          <w:rFonts w:hint="eastAsia" w:ascii="Times New Roman" w:hAnsi="Times New Roman" w:eastAsia="仿宋_GB2312" w:cs="仿宋_GB2312"/>
          <w:color w:val="auto"/>
          <w:sz w:val="32"/>
          <w:szCs w:val="32"/>
          <w:highlight w:val="none"/>
          <w:lang w:eastAsia="zh-CN"/>
        </w:rPr>
      </w:pPr>
    </w:p>
    <w:p>
      <w:pPr>
        <w:ind w:firstLine="800" w:firstLineChars="250"/>
        <w:jc w:val="center"/>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（图3：支出决算结构图）</w:t>
      </w:r>
    </w:p>
    <w:p>
      <w:pPr>
        <w:ind w:firstLine="800" w:firstLineChars="250"/>
        <w:rPr>
          <w:rFonts w:hint="eastAsia" w:ascii="Times New Roman" w:hAnsi="Times New Roman" w:eastAsia="仿宋_GB2312" w:cs="仿宋_GB2312"/>
          <w:color w:val="auto"/>
          <w:sz w:val="32"/>
          <w:szCs w:val="32"/>
          <w:highlight w:val="none"/>
          <w:lang w:eastAsia="zh-CN"/>
        </w:rPr>
      </w:pPr>
    </w:p>
    <w:p>
      <w:pPr>
        <w:spacing w:line="600" w:lineRule="exact"/>
        <w:ind w:firstLine="640" w:firstLineChars="200"/>
        <w:outlineLvl w:val="1"/>
        <w:rPr>
          <w:rStyle w:val="31"/>
          <w:rFonts w:ascii="Times New Roman" w:hAnsi="Times New Roman" w:eastAsia="黑体"/>
          <w:b w:val="0"/>
          <w:color w:val="auto"/>
          <w:highlight w:val="none"/>
        </w:rPr>
      </w:pPr>
      <w:bookmarkStart w:id="69" w:name="_Toc15396606"/>
      <w:bookmarkStart w:id="70" w:name="_Toc15377208"/>
      <w:bookmarkStart w:id="71" w:name="_Toc1614477815_WPSOffice_Level2"/>
      <w:r>
        <w:rPr>
          <w:rFonts w:hint="eastAsia" w:ascii="Times New Roman" w:hAnsi="Times New Roman" w:eastAsia="黑体"/>
          <w:color w:val="auto"/>
          <w:sz w:val="32"/>
          <w:szCs w:val="32"/>
          <w:highlight w:val="none"/>
        </w:rPr>
        <w:t>四、财</w:t>
      </w:r>
      <w:r>
        <w:rPr>
          <w:rStyle w:val="31"/>
          <w:rFonts w:hint="eastAsia" w:ascii="Times New Roman" w:hAnsi="Times New Roman" w:eastAsia="黑体"/>
          <w:b w:val="0"/>
          <w:color w:val="auto"/>
          <w:highlight w:val="none"/>
        </w:rPr>
        <w:t>政拨款收入支出决算总体情况说明</w:t>
      </w:r>
      <w:bookmarkEnd w:id="69"/>
      <w:bookmarkEnd w:id="70"/>
      <w:bookmarkEnd w:id="71"/>
    </w:p>
    <w:p>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333333"/>
          <w:spacing w:val="0"/>
          <w:kern w:val="0"/>
          <w:sz w:val="32"/>
          <w:szCs w:val="32"/>
          <w:lang w:val="en-US" w:eastAsia="zh-CN" w:bidi="ar"/>
        </w:rPr>
      </w:pPr>
      <w:bookmarkStart w:id="72" w:name="_Toc2433"/>
      <w:bookmarkStart w:id="73" w:name="_Toc10291"/>
      <w:bookmarkStart w:id="74" w:name="_Toc27344"/>
      <w:bookmarkStart w:id="75" w:name="_Toc2034"/>
      <w:r>
        <w:rPr>
          <w:rFonts w:hint="eastAsia" w:ascii="方正仿宋_GBK" w:hAnsi="方正仿宋_GBK" w:eastAsia="方正仿宋_GBK" w:cs="方正仿宋_GBK"/>
          <w:color w:val="333333"/>
          <w:spacing w:val="0"/>
          <w:kern w:val="0"/>
          <w:sz w:val="32"/>
          <w:szCs w:val="32"/>
          <w:lang w:val="en-US" w:eastAsia="zh-CN" w:bidi="ar"/>
        </w:rPr>
        <w:t>2024年度财政拨款收入、支出总计均为4184.27万元。与2023年度相比，财政拨款收入总计、支出总计各减少221.98万元，下降5.04%。主要变动原因是市大数据中心机构划转，人员减少，经费减少。</w:t>
      </w:r>
      <w:bookmarkEnd w:id="72"/>
      <w:bookmarkEnd w:id="73"/>
      <w:bookmarkEnd w:id="74"/>
      <w:bookmarkEnd w:id="75"/>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drawing>
          <wp:anchor distT="0" distB="0" distL="114300" distR="114300" simplePos="0" relativeHeight="251661312" behindDoc="0" locked="0" layoutInCell="1" allowOverlap="1">
            <wp:simplePos x="0" y="0"/>
            <wp:positionH relativeFrom="column">
              <wp:posOffset>111125</wp:posOffset>
            </wp:positionH>
            <wp:positionV relativeFrom="paragraph">
              <wp:posOffset>47625</wp:posOffset>
            </wp:positionV>
            <wp:extent cx="5125720" cy="3191510"/>
            <wp:effectExtent l="0" t="0" r="17780" b="8890"/>
            <wp:wrapNone/>
            <wp:docPr id="5" name="图片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true"/>
                    </pic:cNvPicPr>
                  </pic:nvPicPr>
                  <pic:blipFill>
                    <a:blip r:embed="rId11"/>
                    <a:stretch>
                      <a:fillRect/>
                    </a:stretch>
                  </pic:blipFill>
                  <pic:spPr>
                    <a:xfrm>
                      <a:off x="0" y="0"/>
                      <a:ext cx="5125720" cy="3191510"/>
                    </a:xfrm>
                    <a:prstGeom prst="rect">
                      <a:avLst/>
                    </a:prstGeom>
                    <a:noFill/>
                    <a:ln>
                      <a:noFill/>
                    </a:ln>
                  </pic:spPr>
                </pic:pic>
              </a:graphicData>
            </a:graphic>
          </wp:anchor>
        </w:drawing>
      </w:r>
    </w:p>
    <w:p>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p>
    <w:p>
      <w:pPr>
        <w:spacing w:line="600" w:lineRule="exact"/>
        <w:rPr>
          <w:rFonts w:hint="eastAsia" w:ascii="Times New Roman" w:hAnsi="Times New Roman" w:eastAsia="仿宋_GB2312" w:cs="仿宋_GB2312"/>
          <w:color w:val="auto"/>
          <w:kern w:val="2"/>
          <w:sz w:val="32"/>
          <w:szCs w:val="32"/>
          <w:highlight w:val="none"/>
          <w:lang w:val="en-US" w:eastAsia="zh-CN" w:bidi="ar-SA"/>
        </w:rPr>
      </w:pPr>
    </w:p>
    <w:p>
      <w:pPr>
        <w:pStyle w:val="6"/>
        <w:rPr>
          <w:rFonts w:hint="eastAsia"/>
          <w:lang w:val="en-US" w:eastAsia="zh-CN"/>
        </w:rPr>
      </w:pPr>
    </w:p>
    <w:p>
      <w:pPr>
        <w:spacing w:line="600" w:lineRule="exact"/>
        <w:ind w:firstLine="640" w:firstLineChars="200"/>
        <w:jc w:val="center"/>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（图4：财政拨款收、支决算总计变动情况）</w:t>
      </w:r>
    </w:p>
    <w:p>
      <w:pPr>
        <w:spacing w:line="600" w:lineRule="exact"/>
        <w:ind w:firstLine="640" w:firstLineChars="200"/>
        <w:outlineLvl w:val="1"/>
        <w:rPr>
          <w:rStyle w:val="31"/>
          <w:rFonts w:ascii="Times New Roman" w:hAnsi="Times New Roman" w:eastAsia="黑体"/>
          <w:b w:val="0"/>
          <w:color w:val="auto"/>
          <w:highlight w:val="none"/>
        </w:rPr>
      </w:pPr>
      <w:bookmarkStart w:id="76" w:name="_Toc15396607"/>
      <w:bookmarkStart w:id="77" w:name="_Toc15377209"/>
      <w:bookmarkStart w:id="78" w:name="_Toc1070458612_WPSOffice_Level2"/>
      <w:r>
        <w:rPr>
          <w:rFonts w:hint="eastAsia" w:ascii="Times New Roman" w:hAnsi="Times New Roman" w:eastAsia="黑体"/>
          <w:color w:val="auto"/>
          <w:sz w:val="32"/>
          <w:szCs w:val="32"/>
          <w:highlight w:val="none"/>
        </w:rPr>
        <w:t>五、</w:t>
      </w:r>
      <w:r>
        <w:rPr>
          <w:rFonts w:hint="eastAsia" w:ascii="Times New Roman" w:hAnsi="Times New Roman" w:eastAsia="黑体"/>
          <w:b/>
          <w:color w:val="auto"/>
          <w:sz w:val="32"/>
          <w:szCs w:val="32"/>
          <w:highlight w:val="none"/>
        </w:rPr>
        <w:t>一</w:t>
      </w:r>
      <w:r>
        <w:rPr>
          <w:rStyle w:val="31"/>
          <w:rFonts w:hint="eastAsia" w:ascii="Times New Roman" w:hAnsi="Times New Roman" w:eastAsia="黑体"/>
          <w:b w:val="0"/>
          <w:color w:val="auto"/>
          <w:highlight w:val="none"/>
        </w:rPr>
        <w:t>般公共预算财政拨款支出决算情况说明</w:t>
      </w:r>
      <w:bookmarkEnd w:id="76"/>
      <w:bookmarkEnd w:id="77"/>
      <w:bookmarkEnd w:id="78"/>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79" w:name="_Toc11308"/>
      <w:bookmarkStart w:id="80" w:name="_Toc15377210"/>
      <w:r>
        <w:rPr>
          <w:rFonts w:hint="eastAsia" w:ascii="Times New Roman" w:hAnsi="Times New Roman" w:eastAsia="楷体_GB2312" w:cs="楷体_GB2312"/>
          <w:b/>
          <w:color w:val="auto"/>
          <w:sz w:val="32"/>
          <w:szCs w:val="32"/>
          <w:highlight w:val="none"/>
        </w:rPr>
        <w:t>（一）一般公共预算财政拨款支出决算总体情况</w:t>
      </w:r>
      <w:bookmarkEnd w:id="79"/>
      <w:bookmarkEnd w:id="80"/>
    </w:p>
    <w:p>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333333"/>
          <w:spacing w:val="0"/>
          <w:kern w:val="0"/>
          <w:sz w:val="32"/>
          <w:szCs w:val="32"/>
          <w:lang w:val="en-US" w:eastAsia="zh-CN" w:bidi="ar"/>
        </w:rPr>
      </w:pPr>
      <w:bookmarkStart w:id="81" w:name="_Toc26736"/>
      <w:bookmarkStart w:id="82" w:name="_Toc22293"/>
      <w:bookmarkStart w:id="83" w:name="_Toc3296"/>
      <w:bookmarkStart w:id="84" w:name="_Toc25888"/>
      <w:r>
        <w:rPr>
          <w:rFonts w:hint="eastAsia" w:ascii="方正仿宋_GBK" w:hAnsi="方正仿宋_GBK" w:eastAsia="方正仿宋_GBK" w:cs="方正仿宋_GBK"/>
          <w:color w:val="333333"/>
          <w:spacing w:val="0"/>
          <w:kern w:val="0"/>
          <w:sz w:val="32"/>
          <w:szCs w:val="32"/>
          <w:lang w:val="en-US" w:eastAsia="zh-CN" w:bidi="ar"/>
        </w:rPr>
        <w:t>2024年度一般公共预算财政拨款支出4162.54万元，占本年支出合计的100%。与2023年度相比，一般公共预算财政拨款支出减少222.47万元，下降5.07%。主要变动原因是市大数据中心机构划转，人员减少，经费减少。</w:t>
      </w:r>
      <w:bookmarkEnd w:id="81"/>
      <w:bookmarkEnd w:id="82"/>
      <w:bookmarkEnd w:id="83"/>
      <w:bookmarkEnd w:id="84"/>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pStyle w:val="6"/>
        <w:rPr>
          <w:rFonts w:hint="eastAsia" w:ascii="Times New Roman" w:hAnsi="Times New Roman" w:eastAsia="仿宋_GB2312" w:cs="仿宋_GB2312"/>
          <w:color w:val="auto"/>
          <w:kern w:val="2"/>
          <w:sz w:val="32"/>
          <w:szCs w:val="32"/>
          <w:highlight w:val="none"/>
          <w:lang w:val="en-US" w:eastAsia="zh-CN" w:bidi="ar-SA"/>
        </w:rPr>
      </w:pPr>
      <w:r>
        <w:drawing>
          <wp:anchor distT="0" distB="0" distL="114300" distR="114300" simplePos="0" relativeHeight="251662336" behindDoc="0" locked="0" layoutInCell="1" allowOverlap="1">
            <wp:simplePos x="0" y="0"/>
            <wp:positionH relativeFrom="column">
              <wp:posOffset>60325</wp:posOffset>
            </wp:positionH>
            <wp:positionV relativeFrom="paragraph">
              <wp:posOffset>116205</wp:posOffset>
            </wp:positionV>
            <wp:extent cx="5146040" cy="2663825"/>
            <wp:effectExtent l="0" t="0" r="16510" b="3175"/>
            <wp:wrapNone/>
            <wp:docPr id="6" name="图片 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true"/>
                    </pic:cNvPicPr>
                  </pic:nvPicPr>
                  <pic:blipFill>
                    <a:blip r:embed="rId12"/>
                    <a:stretch>
                      <a:fillRect/>
                    </a:stretch>
                  </pic:blipFill>
                  <pic:spPr>
                    <a:xfrm>
                      <a:off x="0" y="0"/>
                      <a:ext cx="5146040" cy="2663825"/>
                    </a:xfrm>
                    <a:prstGeom prst="rect">
                      <a:avLst/>
                    </a:prstGeom>
                    <a:noFill/>
                    <a:ln>
                      <a:noFill/>
                    </a:ln>
                  </pic:spPr>
                </pic:pic>
              </a:graphicData>
            </a:graphic>
          </wp:anchor>
        </w:drawing>
      </w:r>
    </w:p>
    <w:p>
      <w:pPr>
        <w:rPr>
          <w:rFonts w:hint="eastAsia"/>
          <w:lang w:val="en-US" w:eastAsia="zh-CN"/>
        </w:rPr>
      </w:pP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pStyle w:val="6"/>
        <w:rPr>
          <w:rFonts w:hint="eastAsia" w:ascii="Times New Roman" w:hAnsi="Times New Roman" w:eastAsia="仿宋_GB2312" w:cs="仿宋_GB2312"/>
          <w:color w:val="auto"/>
          <w:kern w:val="2"/>
          <w:sz w:val="32"/>
          <w:szCs w:val="32"/>
          <w:highlight w:val="none"/>
          <w:lang w:val="en-US" w:eastAsia="zh-CN" w:bidi="ar-SA"/>
        </w:rPr>
      </w:pPr>
    </w:p>
    <w:p>
      <w:pPr>
        <w:pStyle w:val="6"/>
        <w:rPr>
          <w:rFonts w:hint="eastAsia"/>
          <w:lang w:val="en-US" w:eastAsia="zh-CN"/>
        </w:rPr>
      </w:pPr>
    </w:p>
    <w:p>
      <w:pPr>
        <w:spacing w:line="600" w:lineRule="exact"/>
        <w:ind w:firstLine="640"/>
        <w:jc w:val="both"/>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（图5：一般公共预算财政拨款支出决算变动情况）</w:t>
      </w: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85" w:name="_Toc9563"/>
      <w:bookmarkStart w:id="86" w:name="_Toc15377211"/>
      <w:r>
        <w:rPr>
          <w:rFonts w:hint="eastAsia" w:ascii="Times New Roman" w:hAnsi="Times New Roman" w:eastAsia="楷体_GB2312" w:cs="楷体_GB2312"/>
          <w:b/>
          <w:color w:val="auto"/>
          <w:sz w:val="32"/>
          <w:szCs w:val="32"/>
          <w:highlight w:val="none"/>
        </w:rPr>
        <w:t>（二）一般公共预算财政拨款支出决算结构情况</w:t>
      </w:r>
      <w:bookmarkEnd w:id="85"/>
      <w:bookmarkEnd w:id="86"/>
    </w:p>
    <w:p>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333333"/>
          <w:spacing w:val="0"/>
          <w:kern w:val="0"/>
          <w:sz w:val="32"/>
          <w:szCs w:val="32"/>
          <w:lang w:val="en-US" w:eastAsia="zh-CN" w:bidi="ar"/>
        </w:rPr>
      </w:pPr>
      <w:bookmarkStart w:id="87" w:name="_Toc2011"/>
      <w:r>
        <w:rPr>
          <w:rFonts w:hint="eastAsia" w:ascii="方正仿宋_GBK" w:hAnsi="方正仿宋_GBK" w:eastAsia="方正仿宋_GBK" w:cs="方正仿宋_GBK"/>
          <w:color w:val="333333"/>
          <w:spacing w:val="0"/>
          <w:kern w:val="0"/>
          <w:sz w:val="32"/>
          <w:szCs w:val="32"/>
          <w:lang w:val="en-US" w:eastAsia="zh-CN" w:bidi="ar"/>
        </w:rPr>
        <w:t>2024年度一般公共预算财政拨款支出4162.54万元，主要用于以下方面：一般公共服务支出2918.96万元，占70.12%；社会保障和就业支出863.34万元，占20.74%；卫生健康支出167.96万元，占4.04%；住房保障支出212.28万元，占5.10%。</w:t>
      </w:r>
      <w:bookmarkEnd w:id="87"/>
    </w:p>
    <w:p>
      <w:pPr>
        <w:pStyle w:val="6"/>
        <w:rPr>
          <w:rFonts w:hint="eastAsia" w:eastAsia="仿宋_GB2312" w:cs="仿宋_GB2312"/>
          <w:color w:val="auto"/>
          <w:kern w:val="2"/>
          <w:sz w:val="32"/>
          <w:szCs w:val="32"/>
          <w:highlight w:val="none"/>
          <w:lang w:val="en-US" w:eastAsia="zh-CN" w:bidi="ar-SA"/>
        </w:rPr>
      </w:pPr>
      <w:r>
        <w:drawing>
          <wp:anchor distT="0" distB="0" distL="114300" distR="114300" simplePos="0" relativeHeight="251663360" behindDoc="0" locked="0" layoutInCell="1" allowOverlap="1">
            <wp:simplePos x="0" y="0"/>
            <wp:positionH relativeFrom="column">
              <wp:posOffset>200025</wp:posOffset>
            </wp:positionH>
            <wp:positionV relativeFrom="paragraph">
              <wp:posOffset>46355</wp:posOffset>
            </wp:positionV>
            <wp:extent cx="4838700" cy="3002280"/>
            <wp:effectExtent l="0" t="0" r="0" b="7620"/>
            <wp:wrapNone/>
            <wp:docPr id="7" name="图片 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true"/>
                    </pic:cNvPicPr>
                  </pic:nvPicPr>
                  <pic:blipFill>
                    <a:blip r:embed="rId13"/>
                    <a:stretch>
                      <a:fillRect/>
                    </a:stretch>
                  </pic:blipFill>
                  <pic:spPr>
                    <a:xfrm>
                      <a:off x="0" y="0"/>
                      <a:ext cx="4838700" cy="3002280"/>
                    </a:xfrm>
                    <a:prstGeom prst="rect">
                      <a:avLst/>
                    </a:prstGeom>
                    <a:noFill/>
                    <a:ln>
                      <a:noFill/>
                    </a:ln>
                  </pic:spPr>
                </pic:pic>
              </a:graphicData>
            </a:graphic>
          </wp:anchor>
        </w:drawing>
      </w:r>
    </w:p>
    <w:p>
      <w:pPr>
        <w:rPr>
          <w:rFonts w:hint="eastAsia" w:eastAsia="仿宋_GB2312" w:cs="仿宋_GB2312"/>
          <w:color w:val="auto"/>
          <w:kern w:val="2"/>
          <w:sz w:val="32"/>
          <w:szCs w:val="32"/>
          <w:highlight w:val="none"/>
          <w:lang w:val="en-US" w:eastAsia="zh-CN" w:bidi="ar-SA"/>
        </w:rPr>
      </w:pPr>
    </w:p>
    <w:p>
      <w:pPr>
        <w:pStyle w:val="6"/>
        <w:rPr>
          <w:rFonts w:hint="eastAsia" w:eastAsia="仿宋_GB2312" w:cs="仿宋_GB2312"/>
          <w:color w:val="auto"/>
          <w:kern w:val="2"/>
          <w:sz w:val="32"/>
          <w:szCs w:val="32"/>
          <w:highlight w:val="none"/>
          <w:lang w:val="en-US" w:eastAsia="zh-CN" w:bidi="ar-SA"/>
        </w:rPr>
      </w:pPr>
    </w:p>
    <w:p>
      <w:pPr>
        <w:rPr>
          <w:rFonts w:hint="eastAsia" w:eastAsia="仿宋_GB2312" w:cs="仿宋_GB2312"/>
          <w:color w:val="auto"/>
          <w:kern w:val="2"/>
          <w:sz w:val="32"/>
          <w:szCs w:val="32"/>
          <w:highlight w:val="none"/>
          <w:lang w:val="en-US" w:eastAsia="zh-CN" w:bidi="ar-SA"/>
        </w:rPr>
      </w:pPr>
    </w:p>
    <w:p>
      <w:pPr>
        <w:pStyle w:val="6"/>
        <w:rPr>
          <w:rFonts w:hint="eastAsia" w:eastAsia="仿宋_GB2312" w:cs="仿宋_GB2312"/>
          <w:color w:val="auto"/>
          <w:kern w:val="2"/>
          <w:sz w:val="32"/>
          <w:szCs w:val="32"/>
          <w:highlight w:val="none"/>
          <w:lang w:val="en-US" w:eastAsia="zh-CN" w:bidi="ar-SA"/>
        </w:rPr>
      </w:pPr>
    </w:p>
    <w:p>
      <w:pPr>
        <w:rPr>
          <w:rFonts w:hint="eastAsia"/>
          <w:lang w:val="en-US" w:eastAsia="zh-CN"/>
        </w:rPr>
      </w:pPr>
    </w:p>
    <w:p>
      <w:pPr>
        <w:pStyle w:val="6"/>
        <w:rPr>
          <w:rFonts w:hint="eastAsia" w:eastAsia="仿宋_GB2312" w:cs="仿宋_GB2312"/>
          <w:color w:val="auto"/>
          <w:kern w:val="2"/>
          <w:sz w:val="32"/>
          <w:szCs w:val="32"/>
          <w:highlight w:val="none"/>
          <w:lang w:val="en-US" w:eastAsia="zh-CN" w:bidi="ar-SA"/>
        </w:rPr>
      </w:pPr>
    </w:p>
    <w:p>
      <w:pPr>
        <w:spacing w:line="600" w:lineRule="exact"/>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jc w:val="both"/>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（图6：一般公共预算财政拨款支出决算结构）</w:t>
      </w: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88" w:name="_Toc15377212"/>
      <w:bookmarkStart w:id="89" w:name="_Toc27045"/>
      <w:r>
        <w:rPr>
          <w:rFonts w:hint="eastAsia" w:ascii="Times New Roman" w:hAnsi="Times New Roman" w:eastAsia="楷体_GB2312" w:cs="楷体_GB2312"/>
          <w:b/>
          <w:color w:val="auto"/>
          <w:sz w:val="32"/>
          <w:szCs w:val="32"/>
          <w:highlight w:val="none"/>
        </w:rPr>
        <w:t>（三）一般公共预算财政拨款支出决算具体情况</w:t>
      </w:r>
      <w:bookmarkEnd w:id="88"/>
      <w:bookmarkEnd w:id="89"/>
    </w:p>
    <w:p>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333333"/>
          <w:spacing w:val="0"/>
          <w:kern w:val="0"/>
          <w:sz w:val="32"/>
          <w:szCs w:val="32"/>
          <w:lang w:val="en-US" w:eastAsia="zh-CN" w:bidi="ar"/>
        </w:rPr>
      </w:pPr>
      <w:bookmarkStart w:id="90" w:name="_Toc15377213"/>
      <w:bookmarkStart w:id="91" w:name="_Toc22208"/>
      <w:bookmarkStart w:id="92" w:name="_Toc15377444"/>
      <w:bookmarkStart w:id="93" w:name="_Toc15378460"/>
      <w:r>
        <w:rPr>
          <w:rFonts w:hint="eastAsia" w:ascii="方正仿宋_GBK" w:hAnsi="方正仿宋_GBK" w:eastAsia="方正仿宋_GBK" w:cs="方正仿宋_GBK"/>
          <w:color w:val="333333"/>
          <w:spacing w:val="0"/>
          <w:kern w:val="0"/>
          <w:sz w:val="32"/>
          <w:szCs w:val="32"/>
          <w:lang w:val="en-US" w:eastAsia="zh-CN" w:bidi="ar"/>
        </w:rPr>
        <w:t>2024年度一般公共预算财政拨款支出决算数为4162.54，完成预算99.48%。其中：</w:t>
      </w:r>
      <w:bookmarkEnd w:id="90"/>
      <w:bookmarkEnd w:id="91"/>
      <w:bookmarkEnd w:id="92"/>
      <w:bookmarkEnd w:id="93"/>
    </w:p>
    <w:p>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ascii="方正仿宋_GBK" w:hAnsi="方正仿宋_GBK" w:eastAsia="方正仿宋_GBK" w:cs="方正仿宋_GBK"/>
          <w:color w:val="333333"/>
          <w:spacing w:val="0"/>
          <w:kern w:val="0"/>
          <w:sz w:val="32"/>
          <w:szCs w:val="32"/>
          <w:lang w:val="en-US" w:eastAsia="zh-CN" w:bidi="ar"/>
        </w:rPr>
      </w:pPr>
      <w:bookmarkStart w:id="94" w:name="_Toc10687"/>
      <w:r>
        <w:rPr>
          <w:rFonts w:hint="default" w:ascii="方正仿宋_GBK" w:hAnsi="方正仿宋_GBK" w:eastAsia="方正仿宋_GBK" w:cs="方正仿宋_GBK"/>
          <w:color w:val="333333"/>
          <w:spacing w:val="0"/>
          <w:kern w:val="0"/>
          <w:sz w:val="32"/>
          <w:szCs w:val="32"/>
          <w:lang w:val="en-US" w:eastAsia="zh-CN" w:bidi="ar"/>
        </w:rPr>
        <w:t>1.一般公共服务支出（类）政府办公厅（室）及相关机构事务（款）行政运行（项）: 支出决算为</w:t>
      </w:r>
      <w:r>
        <w:rPr>
          <w:rFonts w:hint="eastAsia" w:ascii="方正仿宋_GBK" w:hAnsi="方正仿宋_GBK" w:eastAsia="方正仿宋_GBK" w:cs="方正仿宋_GBK"/>
          <w:color w:val="333333"/>
          <w:spacing w:val="0"/>
          <w:kern w:val="0"/>
          <w:sz w:val="32"/>
          <w:szCs w:val="32"/>
          <w:lang w:val="en-US" w:eastAsia="zh-CN" w:bidi="ar"/>
        </w:rPr>
        <w:t>1977.77</w:t>
      </w:r>
      <w:r>
        <w:rPr>
          <w:rFonts w:hint="default" w:ascii="方正仿宋_GBK" w:hAnsi="方正仿宋_GBK" w:eastAsia="方正仿宋_GBK" w:cs="方正仿宋_GBK"/>
          <w:color w:val="333333"/>
          <w:spacing w:val="0"/>
          <w:kern w:val="0"/>
          <w:sz w:val="32"/>
          <w:szCs w:val="32"/>
          <w:lang w:val="en-US" w:eastAsia="zh-CN" w:bidi="ar"/>
        </w:rPr>
        <w:t>万元，完成预算99.</w:t>
      </w:r>
      <w:r>
        <w:rPr>
          <w:rFonts w:hint="eastAsia" w:ascii="方正仿宋_GBK" w:hAnsi="方正仿宋_GBK" w:eastAsia="方正仿宋_GBK" w:cs="方正仿宋_GBK"/>
          <w:color w:val="333333"/>
          <w:spacing w:val="0"/>
          <w:kern w:val="0"/>
          <w:sz w:val="32"/>
          <w:szCs w:val="32"/>
          <w:lang w:val="en-US" w:eastAsia="zh-CN" w:bidi="ar"/>
        </w:rPr>
        <w:t>11</w:t>
      </w:r>
      <w:r>
        <w:rPr>
          <w:rFonts w:hint="default" w:ascii="方正仿宋_GBK" w:hAnsi="方正仿宋_GBK" w:eastAsia="方正仿宋_GBK" w:cs="方正仿宋_GBK"/>
          <w:color w:val="333333"/>
          <w:spacing w:val="0"/>
          <w:kern w:val="0"/>
          <w:sz w:val="32"/>
          <w:szCs w:val="32"/>
          <w:lang w:val="en-US" w:eastAsia="zh-CN" w:bidi="ar"/>
        </w:rPr>
        <w:t>%，决算数小于预算数的主要原因是结转结余形成。</w:t>
      </w:r>
      <w:bookmarkEnd w:id="94"/>
    </w:p>
    <w:p>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ascii="方正仿宋_GBK" w:hAnsi="方正仿宋_GBK" w:eastAsia="方正仿宋_GBK" w:cs="方正仿宋_GBK"/>
          <w:color w:val="333333"/>
          <w:spacing w:val="0"/>
          <w:kern w:val="0"/>
          <w:sz w:val="32"/>
          <w:szCs w:val="32"/>
          <w:lang w:val="en-US" w:eastAsia="zh-CN" w:bidi="ar"/>
        </w:rPr>
      </w:pPr>
      <w:bookmarkStart w:id="95" w:name="_Toc13353"/>
      <w:r>
        <w:rPr>
          <w:rFonts w:hint="default" w:ascii="方正仿宋_GBK" w:hAnsi="方正仿宋_GBK" w:eastAsia="方正仿宋_GBK" w:cs="方正仿宋_GBK"/>
          <w:color w:val="333333"/>
          <w:spacing w:val="0"/>
          <w:kern w:val="0"/>
          <w:sz w:val="32"/>
          <w:szCs w:val="32"/>
          <w:lang w:val="en-US" w:eastAsia="zh-CN" w:bidi="ar"/>
        </w:rPr>
        <w:t>2.一般公共服务支出（类）政府办公厅（室）及相关机构事务（款）一般行政管理事务（项）: 支出决算为720.91万元，完成预算</w:t>
      </w:r>
      <w:r>
        <w:rPr>
          <w:rFonts w:hint="eastAsia" w:ascii="方正仿宋_GBK" w:hAnsi="方正仿宋_GBK" w:eastAsia="方正仿宋_GBK" w:cs="方正仿宋_GBK"/>
          <w:color w:val="333333"/>
          <w:spacing w:val="0"/>
          <w:kern w:val="0"/>
          <w:sz w:val="32"/>
          <w:szCs w:val="32"/>
          <w:lang w:val="en-US" w:eastAsia="zh-CN" w:bidi="ar"/>
        </w:rPr>
        <w:t>99.44</w:t>
      </w:r>
      <w:r>
        <w:rPr>
          <w:rFonts w:hint="default" w:ascii="方正仿宋_GBK" w:hAnsi="方正仿宋_GBK" w:eastAsia="方正仿宋_GBK" w:cs="方正仿宋_GBK"/>
          <w:color w:val="333333"/>
          <w:spacing w:val="0"/>
          <w:kern w:val="0"/>
          <w:sz w:val="32"/>
          <w:szCs w:val="32"/>
          <w:lang w:val="en-US" w:eastAsia="zh-CN" w:bidi="ar"/>
        </w:rPr>
        <w:t>%</w:t>
      </w:r>
      <w:r>
        <w:rPr>
          <w:rFonts w:hint="eastAsia" w:ascii="方正仿宋_GBK" w:hAnsi="方正仿宋_GBK" w:eastAsia="方正仿宋_GBK" w:cs="方正仿宋_GBK"/>
          <w:color w:val="333333"/>
          <w:spacing w:val="0"/>
          <w:kern w:val="0"/>
          <w:sz w:val="32"/>
          <w:szCs w:val="32"/>
          <w:lang w:val="en-US" w:eastAsia="zh-CN" w:bidi="ar"/>
        </w:rPr>
        <w:t>，</w:t>
      </w:r>
      <w:r>
        <w:rPr>
          <w:rFonts w:hint="default" w:ascii="方正仿宋_GBK" w:hAnsi="方正仿宋_GBK" w:eastAsia="方正仿宋_GBK" w:cs="方正仿宋_GBK"/>
          <w:color w:val="333333"/>
          <w:spacing w:val="0"/>
          <w:kern w:val="0"/>
          <w:sz w:val="32"/>
          <w:szCs w:val="32"/>
          <w:lang w:val="en-US" w:eastAsia="zh-CN" w:bidi="ar"/>
        </w:rPr>
        <w:t>决算数小于预算数的主要原因是结转结余形成。</w:t>
      </w:r>
      <w:bookmarkEnd w:id="95"/>
    </w:p>
    <w:p>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ascii="方正仿宋_GBK" w:hAnsi="方正仿宋_GBK" w:eastAsia="方正仿宋_GBK" w:cs="方正仿宋_GBK"/>
          <w:color w:val="333333"/>
          <w:spacing w:val="0"/>
          <w:kern w:val="0"/>
          <w:sz w:val="32"/>
          <w:szCs w:val="32"/>
          <w:lang w:val="en-US" w:eastAsia="zh-CN" w:bidi="ar"/>
        </w:rPr>
      </w:pPr>
      <w:bookmarkStart w:id="96" w:name="_Toc873"/>
      <w:r>
        <w:rPr>
          <w:rFonts w:hint="default" w:ascii="方正仿宋_GBK" w:hAnsi="方正仿宋_GBK" w:eastAsia="方正仿宋_GBK" w:cs="方正仿宋_GBK"/>
          <w:color w:val="333333"/>
          <w:spacing w:val="0"/>
          <w:kern w:val="0"/>
          <w:sz w:val="32"/>
          <w:szCs w:val="32"/>
          <w:lang w:val="en-US" w:eastAsia="zh-CN" w:bidi="ar"/>
        </w:rPr>
        <w:t>3.一般公共服务支出（类）政府办公厅（室）及相关机构事务（款）事业运行（项）: 支出决算为212.92万元，完成预算100%。</w:t>
      </w:r>
      <w:bookmarkEnd w:id="96"/>
    </w:p>
    <w:p>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ascii="方正仿宋_GBK" w:hAnsi="方正仿宋_GBK" w:eastAsia="方正仿宋_GBK" w:cs="方正仿宋_GBK"/>
          <w:color w:val="333333"/>
          <w:spacing w:val="0"/>
          <w:kern w:val="0"/>
          <w:sz w:val="32"/>
          <w:szCs w:val="32"/>
          <w:lang w:val="en-US" w:eastAsia="zh-CN" w:bidi="ar"/>
        </w:rPr>
      </w:pPr>
      <w:bookmarkStart w:id="97" w:name="_Toc8227"/>
      <w:r>
        <w:rPr>
          <w:rFonts w:hint="default" w:ascii="方正仿宋_GBK" w:hAnsi="方正仿宋_GBK" w:eastAsia="方正仿宋_GBK" w:cs="方正仿宋_GBK"/>
          <w:color w:val="333333"/>
          <w:spacing w:val="0"/>
          <w:kern w:val="0"/>
          <w:sz w:val="32"/>
          <w:szCs w:val="32"/>
          <w:lang w:val="en-US" w:eastAsia="zh-CN" w:bidi="ar"/>
        </w:rPr>
        <w:t>4.一般公共服务支出（类）组织事务（款）其他组织事务支出（项）: 支出决算为</w:t>
      </w:r>
      <w:r>
        <w:rPr>
          <w:rFonts w:hint="eastAsia" w:ascii="方正仿宋_GBK" w:hAnsi="方正仿宋_GBK" w:eastAsia="方正仿宋_GBK" w:cs="方正仿宋_GBK"/>
          <w:color w:val="333333"/>
          <w:spacing w:val="0"/>
          <w:kern w:val="0"/>
          <w:sz w:val="32"/>
          <w:szCs w:val="32"/>
          <w:lang w:val="en-US" w:eastAsia="zh-CN" w:bidi="ar"/>
        </w:rPr>
        <w:t>7.36</w:t>
      </w:r>
      <w:r>
        <w:rPr>
          <w:rFonts w:hint="default" w:ascii="方正仿宋_GBK" w:hAnsi="方正仿宋_GBK" w:eastAsia="方正仿宋_GBK" w:cs="方正仿宋_GBK"/>
          <w:color w:val="333333"/>
          <w:spacing w:val="0"/>
          <w:kern w:val="0"/>
          <w:sz w:val="32"/>
          <w:szCs w:val="32"/>
          <w:lang w:val="en-US" w:eastAsia="zh-CN" w:bidi="ar"/>
        </w:rPr>
        <w:t>万元，完成预算100%。</w:t>
      </w:r>
      <w:bookmarkEnd w:id="97"/>
    </w:p>
    <w:p>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ascii="方正仿宋_GBK" w:hAnsi="方正仿宋_GBK" w:eastAsia="方正仿宋_GBK" w:cs="方正仿宋_GBK"/>
          <w:color w:val="333333"/>
          <w:spacing w:val="0"/>
          <w:kern w:val="0"/>
          <w:sz w:val="32"/>
          <w:szCs w:val="32"/>
          <w:lang w:val="en-US" w:eastAsia="zh-CN" w:bidi="ar"/>
        </w:rPr>
      </w:pPr>
      <w:bookmarkStart w:id="98" w:name="_Toc26807"/>
      <w:r>
        <w:rPr>
          <w:rFonts w:hint="default" w:ascii="方正仿宋_GBK" w:hAnsi="方正仿宋_GBK" w:eastAsia="方正仿宋_GBK" w:cs="方正仿宋_GBK"/>
          <w:color w:val="333333"/>
          <w:spacing w:val="0"/>
          <w:kern w:val="0"/>
          <w:sz w:val="32"/>
          <w:szCs w:val="32"/>
          <w:lang w:val="en-US" w:eastAsia="zh-CN" w:bidi="ar"/>
        </w:rPr>
        <w:t>5.社会保障和就业支出（类）人力资源和社会保障管理事务（款）其他人力资源和社会保障管理事务支出（项）: 支出决算为</w:t>
      </w:r>
      <w:r>
        <w:rPr>
          <w:rFonts w:hint="eastAsia" w:ascii="方正仿宋_GBK" w:hAnsi="方正仿宋_GBK" w:eastAsia="方正仿宋_GBK" w:cs="方正仿宋_GBK"/>
          <w:color w:val="333333"/>
          <w:spacing w:val="0"/>
          <w:kern w:val="0"/>
          <w:sz w:val="32"/>
          <w:szCs w:val="32"/>
          <w:lang w:val="en-US" w:eastAsia="zh-CN" w:bidi="ar"/>
        </w:rPr>
        <w:t>4</w:t>
      </w:r>
      <w:r>
        <w:rPr>
          <w:rFonts w:hint="default" w:ascii="方正仿宋_GBK" w:hAnsi="方正仿宋_GBK" w:eastAsia="方正仿宋_GBK" w:cs="方正仿宋_GBK"/>
          <w:color w:val="333333"/>
          <w:spacing w:val="0"/>
          <w:kern w:val="0"/>
          <w:sz w:val="32"/>
          <w:szCs w:val="32"/>
          <w:lang w:val="en-US" w:eastAsia="zh-CN" w:bidi="ar"/>
        </w:rPr>
        <w:t>万元，完成预算100%。</w:t>
      </w:r>
      <w:bookmarkEnd w:id="98"/>
    </w:p>
    <w:p>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ascii="方正仿宋_GBK" w:hAnsi="方正仿宋_GBK" w:eastAsia="方正仿宋_GBK" w:cs="方正仿宋_GBK"/>
          <w:color w:val="333333"/>
          <w:spacing w:val="0"/>
          <w:kern w:val="0"/>
          <w:sz w:val="32"/>
          <w:szCs w:val="32"/>
          <w:lang w:val="en-US" w:eastAsia="zh-CN" w:bidi="ar"/>
        </w:rPr>
      </w:pPr>
      <w:bookmarkStart w:id="99" w:name="_Toc14371"/>
      <w:r>
        <w:rPr>
          <w:rFonts w:hint="default" w:ascii="方正仿宋_GBK" w:hAnsi="方正仿宋_GBK" w:eastAsia="方正仿宋_GBK" w:cs="方正仿宋_GBK"/>
          <w:color w:val="333333"/>
          <w:spacing w:val="0"/>
          <w:kern w:val="0"/>
          <w:sz w:val="32"/>
          <w:szCs w:val="32"/>
          <w:lang w:val="en-US" w:eastAsia="zh-CN" w:bidi="ar"/>
        </w:rPr>
        <w:t>6．社会保障和就业支出（类）行政事业单位养老支出（款）行政单位离退休（项）: 支出决算为</w:t>
      </w:r>
      <w:r>
        <w:rPr>
          <w:rFonts w:hint="eastAsia" w:ascii="方正仿宋_GBK" w:hAnsi="方正仿宋_GBK" w:eastAsia="方正仿宋_GBK" w:cs="方正仿宋_GBK"/>
          <w:color w:val="333333"/>
          <w:spacing w:val="0"/>
          <w:kern w:val="0"/>
          <w:sz w:val="32"/>
          <w:szCs w:val="32"/>
          <w:lang w:val="en-US" w:eastAsia="zh-CN" w:bidi="ar"/>
        </w:rPr>
        <w:t>452.09</w:t>
      </w:r>
      <w:r>
        <w:rPr>
          <w:rFonts w:hint="default" w:ascii="方正仿宋_GBK" w:hAnsi="方正仿宋_GBK" w:eastAsia="方正仿宋_GBK" w:cs="方正仿宋_GBK"/>
          <w:color w:val="333333"/>
          <w:spacing w:val="0"/>
          <w:kern w:val="0"/>
          <w:sz w:val="32"/>
          <w:szCs w:val="32"/>
          <w:lang w:val="en-US" w:eastAsia="zh-CN" w:bidi="ar"/>
        </w:rPr>
        <w:t>万元，完成预算100%。</w:t>
      </w:r>
      <w:bookmarkEnd w:id="99"/>
    </w:p>
    <w:p>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ascii="方正仿宋_GBK" w:hAnsi="方正仿宋_GBK" w:eastAsia="方正仿宋_GBK" w:cs="方正仿宋_GBK"/>
          <w:color w:val="333333"/>
          <w:spacing w:val="0"/>
          <w:kern w:val="0"/>
          <w:sz w:val="32"/>
          <w:szCs w:val="32"/>
          <w:lang w:val="en-US" w:eastAsia="zh-CN" w:bidi="ar"/>
        </w:rPr>
      </w:pPr>
      <w:bookmarkStart w:id="100" w:name="_Toc32278"/>
      <w:r>
        <w:rPr>
          <w:rFonts w:hint="default" w:ascii="方正仿宋_GBK" w:hAnsi="方正仿宋_GBK" w:eastAsia="方正仿宋_GBK" w:cs="方正仿宋_GBK"/>
          <w:color w:val="333333"/>
          <w:spacing w:val="0"/>
          <w:kern w:val="0"/>
          <w:sz w:val="32"/>
          <w:szCs w:val="32"/>
          <w:lang w:val="en-US" w:eastAsia="zh-CN" w:bidi="ar"/>
        </w:rPr>
        <w:t>7．社会保障和就业支出（类）行政事业单位养老支出（款）事业单位离退休（项）: 支出决算为2.</w:t>
      </w:r>
      <w:r>
        <w:rPr>
          <w:rFonts w:hint="eastAsia" w:ascii="方正仿宋_GBK" w:hAnsi="方正仿宋_GBK" w:eastAsia="方正仿宋_GBK" w:cs="方正仿宋_GBK"/>
          <w:color w:val="333333"/>
          <w:spacing w:val="0"/>
          <w:kern w:val="0"/>
          <w:sz w:val="32"/>
          <w:szCs w:val="32"/>
          <w:lang w:val="en-US" w:eastAsia="zh-CN" w:bidi="ar"/>
        </w:rPr>
        <w:t>4</w:t>
      </w:r>
      <w:r>
        <w:rPr>
          <w:rFonts w:hint="default" w:ascii="方正仿宋_GBK" w:hAnsi="方正仿宋_GBK" w:eastAsia="方正仿宋_GBK" w:cs="方正仿宋_GBK"/>
          <w:color w:val="333333"/>
          <w:spacing w:val="0"/>
          <w:kern w:val="0"/>
          <w:sz w:val="32"/>
          <w:szCs w:val="32"/>
          <w:lang w:val="en-US" w:eastAsia="zh-CN" w:bidi="ar"/>
        </w:rPr>
        <w:t>4万元，完成预算100%。</w:t>
      </w:r>
      <w:bookmarkEnd w:id="100"/>
    </w:p>
    <w:p>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ascii="方正仿宋_GBK" w:hAnsi="方正仿宋_GBK" w:eastAsia="方正仿宋_GBK" w:cs="方正仿宋_GBK"/>
          <w:color w:val="333333"/>
          <w:spacing w:val="0"/>
          <w:kern w:val="0"/>
          <w:sz w:val="32"/>
          <w:szCs w:val="32"/>
          <w:lang w:val="en-US" w:eastAsia="zh-CN" w:bidi="ar"/>
        </w:rPr>
      </w:pPr>
      <w:bookmarkStart w:id="101" w:name="_Toc16520"/>
      <w:r>
        <w:rPr>
          <w:rFonts w:hint="default" w:ascii="方正仿宋_GBK" w:hAnsi="方正仿宋_GBK" w:eastAsia="方正仿宋_GBK" w:cs="方正仿宋_GBK"/>
          <w:color w:val="333333"/>
          <w:spacing w:val="0"/>
          <w:kern w:val="0"/>
          <w:sz w:val="32"/>
          <w:szCs w:val="32"/>
          <w:lang w:val="en-US" w:eastAsia="zh-CN" w:bidi="ar"/>
        </w:rPr>
        <w:t>8．社会保障和就业支出（类）行政事业单位养老支出（款）机关事业单位基本养老保险缴费支出（项）: 支出决算为</w:t>
      </w:r>
      <w:r>
        <w:rPr>
          <w:rFonts w:hint="eastAsia" w:ascii="方正仿宋_GBK" w:hAnsi="方正仿宋_GBK" w:eastAsia="方正仿宋_GBK" w:cs="方正仿宋_GBK"/>
          <w:color w:val="333333"/>
          <w:spacing w:val="0"/>
          <w:kern w:val="0"/>
          <w:sz w:val="32"/>
          <w:szCs w:val="32"/>
          <w:lang w:val="en-US" w:eastAsia="zh-CN" w:bidi="ar"/>
        </w:rPr>
        <w:t>258.14</w:t>
      </w:r>
      <w:r>
        <w:rPr>
          <w:rFonts w:hint="default" w:ascii="方正仿宋_GBK" w:hAnsi="方正仿宋_GBK" w:eastAsia="方正仿宋_GBK" w:cs="方正仿宋_GBK"/>
          <w:color w:val="333333"/>
          <w:spacing w:val="0"/>
          <w:kern w:val="0"/>
          <w:sz w:val="32"/>
          <w:szCs w:val="32"/>
          <w:lang w:val="en-US" w:eastAsia="zh-CN" w:bidi="ar"/>
        </w:rPr>
        <w:t>万元，完成预算100%。</w:t>
      </w:r>
      <w:bookmarkEnd w:id="101"/>
    </w:p>
    <w:p>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ascii="方正仿宋_GBK" w:hAnsi="方正仿宋_GBK" w:eastAsia="方正仿宋_GBK" w:cs="方正仿宋_GBK"/>
          <w:color w:val="333333"/>
          <w:spacing w:val="0"/>
          <w:kern w:val="0"/>
          <w:sz w:val="32"/>
          <w:szCs w:val="32"/>
          <w:lang w:val="en-US" w:eastAsia="zh-CN" w:bidi="ar"/>
        </w:rPr>
      </w:pPr>
      <w:bookmarkStart w:id="102" w:name="_Toc27013"/>
      <w:r>
        <w:rPr>
          <w:rFonts w:hint="default" w:ascii="方正仿宋_GBK" w:hAnsi="方正仿宋_GBK" w:eastAsia="方正仿宋_GBK" w:cs="方正仿宋_GBK"/>
          <w:color w:val="333333"/>
          <w:spacing w:val="0"/>
          <w:kern w:val="0"/>
          <w:sz w:val="32"/>
          <w:szCs w:val="32"/>
          <w:lang w:val="en-US" w:eastAsia="zh-CN" w:bidi="ar"/>
        </w:rPr>
        <w:t>9．社会保障和就业支出（类）行政事业单位养老支出（款）机关事业单位职业年金缴费支出（项）: 支出决算为</w:t>
      </w:r>
      <w:bookmarkEnd w:id="102"/>
    </w:p>
    <w:p>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320" w:firstLineChars="100"/>
        <w:jc w:val="left"/>
        <w:textAlignment w:val="auto"/>
        <w:outlineLvl w:val="1"/>
        <w:rPr>
          <w:rFonts w:hint="default" w:ascii="方正仿宋_GBK" w:hAnsi="方正仿宋_GBK" w:eastAsia="方正仿宋_GBK" w:cs="方正仿宋_GBK"/>
          <w:color w:val="333333"/>
          <w:spacing w:val="0"/>
          <w:kern w:val="0"/>
          <w:sz w:val="32"/>
          <w:szCs w:val="32"/>
          <w:lang w:val="en-US" w:eastAsia="zh-CN" w:bidi="ar"/>
        </w:rPr>
      </w:pPr>
      <w:bookmarkStart w:id="103" w:name="_Toc22018"/>
      <w:r>
        <w:rPr>
          <w:rFonts w:hint="eastAsia" w:ascii="方正仿宋_GBK" w:hAnsi="方正仿宋_GBK" w:eastAsia="方正仿宋_GBK" w:cs="方正仿宋_GBK"/>
          <w:color w:val="333333"/>
          <w:spacing w:val="0"/>
          <w:kern w:val="0"/>
          <w:sz w:val="32"/>
          <w:szCs w:val="32"/>
          <w:lang w:val="en-US" w:eastAsia="zh-CN" w:bidi="ar"/>
        </w:rPr>
        <w:t>17.61</w:t>
      </w:r>
      <w:r>
        <w:rPr>
          <w:rFonts w:hint="default" w:ascii="方正仿宋_GBK" w:hAnsi="方正仿宋_GBK" w:eastAsia="方正仿宋_GBK" w:cs="方正仿宋_GBK"/>
          <w:color w:val="333333"/>
          <w:spacing w:val="0"/>
          <w:kern w:val="0"/>
          <w:sz w:val="32"/>
          <w:szCs w:val="32"/>
          <w:lang w:val="en-US" w:eastAsia="zh-CN" w:bidi="ar"/>
        </w:rPr>
        <w:t>万元，完成预算100%。</w:t>
      </w:r>
      <w:bookmarkEnd w:id="103"/>
    </w:p>
    <w:p>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ascii="方正仿宋_GBK" w:hAnsi="方正仿宋_GBK" w:eastAsia="方正仿宋_GBK" w:cs="方正仿宋_GBK"/>
          <w:color w:val="333333"/>
          <w:spacing w:val="0"/>
          <w:kern w:val="0"/>
          <w:sz w:val="32"/>
          <w:szCs w:val="32"/>
          <w:lang w:val="en-US" w:eastAsia="zh-CN" w:bidi="ar"/>
        </w:rPr>
      </w:pPr>
      <w:bookmarkStart w:id="104" w:name="_Toc28890"/>
      <w:r>
        <w:rPr>
          <w:rFonts w:hint="default" w:ascii="方正仿宋_GBK" w:hAnsi="方正仿宋_GBK" w:eastAsia="方正仿宋_GBK" w:cs="方正仿宋_GBK"/>
          <w:color w:val="333333"/>
          <w:spacing w:val="0"/>
          <w:kern w:val="0"/>
          <w:sz w:val="32"/>
          <w:szCs w:val="32"/>
          <w:lang w:val="en-US" w:eastAsia="zh-CN" w:bidi="ar"/>
        </w:rPr>
        <w:t>10．社会保障和就业支出（类）抚恤（款）死亡抚恤（项）: 支出决算为</w:t>
      </w:r>
      <w:r>
        <w:rPr>
          <w:rFonts w:hint="eastAsia" w:ascii="方正仿宋_GBK" w:hAnsi="方正仿宋_GBK" w:eastAsia="方正仿宋_GBK" w:cs="方正仿宋_GBK"/>
          <w:color w:val="333333"/>
          <w:spacing w:val="0"/>
          <w:kern w:val="0"/>
          <w:sz w:val="32"/>
          <w:szCs w:val="32"/>
          <w:lang w:val="en-US" w:eastAsia="zh-CN" w:bidi="ar"/>
        </w:rPr>
        <w:t>128.43</w:t>
      </w:r>
      <w:r>
        <w:rPr>
          <w:rFonts w:hint="default" w:ascii="方正仿宋_GBK" w:hAnsi="方正仿宋_GBK" w:eastAsia="方正仿宋_GBK" w:cs="方正仿宋_GBK"/>
          <w:color w:val="333333"/>
          <w:spacing w:val="0"/>
          <w:kern w:val="0"/>
          <w:sz w:val="32"/>
          <w:szCs w:val="32"/>
          <w:lang w:val="en-US" w:eastAsia="zh-CN" w:bidi="ar"/>
        </w:rPr>
        <w:t>万元，完成预算100%。</w:t>
      </w:r>
      <w:bookmarkEnd w:id="104"/>
    </w:p>
    <w:p>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ascii="方正仿宋_GBK" w:hAnsi="方正仿宋_GBK" w:eastAsia="方正仿宋_GBK" w:cs="方正仿宋_GBK"/>
          <w:color w:val="333333"/>
          <w:spacing w:val="0"/>
          <w:kern w:val="0"/>
          <w:sz w:val="32"/>
          <w:szCs w:val="32"/>
          <w:lang w:val="en-US" w:eastAsia="zh-CN" w:bidi="ar"/>
        </w:rPr>
      </w:pPr>
      <w:bookmarkStart w:id="105" w:name="_Toc31576"/>
      <w:r>
        <w:rPr>
          <w:rFonts w:hint="default" w:ascii="方正仿宋_GBK" w:hAnsi="方正仿宋_GBK" w:eastAsia="方正仿宋_GBK" w:cs="方正仿宋_GBK"/>
          <w:color w:val="333333"/>
          <w:spacing w:val="0"/>
          <w:kern w:val="0"/>
          <w:sz w:val="32"/>
          <w:szCs w:val="32"/>
          <w:lang w:val="en-US" w:eastAsia="zh-CN" w:bidi="ar"/>
        </w:rPr>
        <w:t>11．社会保障和就业支出（类）社会福利（款）儿童福利（项）: 支出决算为0.6</w:t>
      </w:r>
      <w:r>
        <w:rPr>
          <w:rFonts w:hint="eastAsia" w:ascii="方正仿宋_GBK" w:hAnsi="方正仿宋_GBK" w:eastAsia="方正仿宋_GBK" w:cs="方正仿宋_GBK"/>
          <w:color w:val="333333"/>
          <w:spacing w:val="0"/>
          <w:kern w:val="0"/>
          <w:sz w:val="32"/>
          <w:szCs w:val="32"/>
          <w:lang w:val="en-US" w:eastAsia="zh-CN" w:bidi="ar"/>
        </w:rPr>
        <w:t>3</w:t>
      </w:r>
      <w:r>
        <w:rPr>
          <w:rFonts w:hint="default" w:ascii="方正仿宋_GBK" w:hAnsi="方正仿宋_GBK" w:eastAsia="方正仿宋_GBK" w:cs="方正仿宋_GBK"/>
          <w:color w:val="333333"/>
          <w:spacing w:val="0"/>
          <w:kern w:val="0"/>
          <w:sz w:val="32"/>
          <w:szCs w:val="32"/>
          <w:lang w:val="en-US" w:eastAsia="zh-CN" w:bidi="ar"/>
        </w:rPr>
        <w:t>万元，完成预算100%。</w:t>
      </w:r>
      <w:bookmarkEnd w:id="105"/>
    </w:p>
    <w:p>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ascii="方正仿宋_GBK" w:hAnsi="方正仿宋_GBK" w:eastAsia="方正仿宋_GBK" w:cs="方正仿宋_GBK"/>
          <w:color w:val="333333"/>
          <w:spacing w:val="0"/>
          <w:kern w:val="0"/>
          <w:sz w:val="32"/>
          <w:szCs w:val="32"/>
          <w:lang w:val="en-US" w:eastAsia="zh-CN" w:bidi="ar"/>
        </w:rPr>
      </w:pPr>
      <w:bookmarkStart w:id="106" w:name="_Toc5884"/>
      <w:r>
        <w:rPr>
          <w:rFonts w:hint="default" w:ascii="方正仿宋_GBK" w:hAnsi="方正仿宋_GBK" w:eastAsia="方正仿宋_GBK" w:cs="方正仿宋_GBK"/>
          <w:color w:val="333333"/>
          <w:spacing w:val="0"/>
          <w:kern w:val="0"/>
          <w:sz w:val="32"/>
          <w:szCs w:val="32"/>
          <w:lang w:val="en-US" w:eastAsia="zh-CN" w:bidi="ar"/>
        </w:rPr>
        <w:t>12.卫生健康（类）行政事业单位医疗（款）行政单位医疗（项）:支出决算为12</w:t>
      </w:r>
      <w:r>
        <w:rPr>
          <w:rFonts w:hint="eastAsia" w:ascii="方正仿宋_GBK" w:hAnsi="方正仿宋_GBK" w:eastAsia="方正仿宋_GBK" w:cs="方正仿宋_GBK"/>
          <w:color w:val="333333"/>
          <w:spacing w:val="0"/>
          <w:kern w:val="0"/>
          <w:sz w:val="32"/>
          <w:szCs w:val="32"/>
          <w:lang w:val="en-US" w:eastAsia="zh-CN" w:bidi="ar"/>
        </w:rPr>
        <w:t>3</w:t>
      </w:r>
      <w:r>
        <w:rPr>
          <w:rFonts w:hint="default" w:ascii="方正仿宋_GBK" w:hAnsi="方正仿宋_GBK" w:eastAsia="方正仿宋_GBK" w:cs="方正仿宋_GBK"/>
          <w:color w:val="333333"/>
          <w:spacing w:val="0"/>
          <w:kern w:val="0"/>
          <w:sz w:val="32"/>
          <w:szCs w:val="32"/>
          <w:lang w:val="en-US" w:eastAsia="zh-CN" w:bidi="ar"/>
        </w:rPr>
        <w:t>.</w:t>
      </w:r>
      <w:r>
        <w:rPr>
          <w:rFonts w:hint="eastAsia" w:ascii="方正仿宋_GBK" w:hAnsi="方正仿宋_GBK" w:eastAsia="方正仿宋_GBK" w:cs="方正仿宋_GBK"/>
          <w:color w:val="333333"/>
          <w:spacing w:val="0"/>
          <w:kern w:val="0"/>
          <w:sz w:val="32"/>
          <w:szCs w:val="32"/>
          <w:lang w:val="en-US" w:eastAsia="zh-CN" w:bidi="ar"/>
        </w:rPr>
        <w:t>22</w:t>
      </w:r>
      <w:r>
        <w:rPr>
          <w:rFonts w:hint="default" w:ascii="方正仿宋_GBK" w:hAnsi="方正仿宋_GBK" w:eastAsia="方正仿宋_GBK" w:cs="方正仿宋_GBK"/>
          <w:color w:val="333333"/>
          <w:spacing w:val="0"/>
          <w:kern w:val="0"/>
          <w:sz w:val="32"/>
          <w:szCs w:val="32"/>
          <w:lang w:val="en-US" w:eastAsia="zh-CN" w:bidi="ar"/>
        </w:rPr>
        <w:t>万元，完成预算100%。</w:t>
      </w:r>
      <w:bookmarkEnd w:id="106"/>
    </w:p>
    <w:p>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ascii="方正仿宋_GBK" w:hAnsi="方正仿宋_GBK" w:eastAsia="方正仿宋_GBK" w:cs="方正仿宋_GBK"/>
          <w:color w:val="333333"/>
          <w:spacing w:val="0"/>
          <w:kern w:val="0"/>
          <w:sz w:val="32"/>
          <w:szCs w:val="32"/>
          <w:lang w:val="en-US" w:eastAsia="zh-CN" w:bidi="ar"/>
        </w:rPr>
      </w:pPr>
      <w:bookmarkStart w:id="107" w:name="_Toc28192"/>
      <w:r>
        <w:rPr>
          <w:rFonts w:hint="default" w:ascii="方正仿宋_GBK" w:hAnsi="方正仿宋_GBK" w:eastAsia="方正仿宋_GBK" w:cs="方正仿宋_GBK"/>
          <w:color w:val="333333"/>
          <w:spacing w:val="0"/>
          <w:kern w:val="0"/>
          <w:sz w:val="32"/>
          <w:szCs w:val="32"/>
          <w:lang w:val="en-US" w:eastAsia="zh-CN" w:bidi="ar"/>
        </w:rPr>
        <w:t>13.卫生健康（类）行政事业单位医疗（款）事业单位医疗（项）:支出决算为</w:t>
      </w:r>
      <w:r>
        <w:rPr>
          <w:rFonts w:hint="eastAsia" w:ascii="方正仿宋_GBK" w:hAnsi="方正仿宋_GBK" w:eastAsia="方正仿宋_GBK" w:cs="方正仿宋_GBK"/>
          <w:color w:val="333333"/>
          <w:spacing w:val="0"/>
          <w:kern w:val="0"/>
          <w:sz w:val="32"/>
          <w:szCs w:val="32"/>
          <w:lang w:val="en-US" w:eastAsia="zh-CN" w:bidi="ar"/>
        </w:rPr>
        <w:t>13.71</w:t>
      </w:r>
      <w:r>
        <w:rPr>
          <w:rFonts w:hint="default" w:ascii="方正仿宋_GBK" w:hAnsi="方正仿宋_GBK" w:eastAsia="方正仿宋_GBK" w:cs="方正仿宋_GBK"/>
          <w:color w:val="333333"/>
          <w:spacing w:val="0"/>
          <w:kern w:val="0"/>
          <w:sz w:val="32"/>
          <w:szCs w:val="32"/>
          <w:lang w:val="en-US" w:eastAsia="zh-CN" w:bidi="ar"/>
        </w:rPr>
        <w:t>万元，完成预算100%。</w:t>
      </w:r>
      <w:bookmarkEnd w:id="107"/>
    </w:p>
    <w:p>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ascii="方正仿宋_GBK" w:hAnsi="方正仿宋_GBK" w:eastAsia="方正仿宋_GBK" w:cs="方正仿宋_GBK"/>
          <w:color w:val="333333"/>
          <w:spacing w:val="0"/>
          <w:kern w:val="0"/>
          <w:sz w:val="32"/>
          <w:szCs w:val="32"/>
          <w:lang w:val="en-US" w:eastAsia="zh-CN" w:bidi="ar"/>
        </w:rPr>
      </w:pPr>
      <w:bookmarkStart w:id="108" w:name="_Toc6198"/>
      <w:r>
        <w:rPr>
          <w:rFonts w:hint="default" w:ascii="方正仿宋_GBK" w:hAnsi="方正仿宋_GBK" w:eastAsia="方正仿宋_GBK" w:cs="方正仿宋_GBK"/>
          <w:color w:val="333333"/>
          <w:spacing w:val="0"/>
          <w:kern w:val="0"/>
          <w:sz w:val="32"/>
          <w:szCs w:val="32"/>
          <w:lang w:val="en-US" w:eastAsia="zh-CN" w:bidi="ar"/>
        </w:rPr>
        <w:t>14.卫生健康（类）行政事业单位医疗（款）公务员医疗补助（项）:支出决算为</w:t>
      </w:r>
      <w:r>
        <w:rPr>
          <w:rFonts w:hint="eastAsia" w:ascii="方正仿宋_GBK" w:hAnsi="方正仿宋_GBK" w:eastAsia="方正仿宋_GBK" w:cs="方正仿宋_GBK"/>
          <w:color w:val="333333"/>
          <w:spacing w:val="0"/>
          <w:kern w:val="0"/>
          <w:sz w:val="32"/>
          <w:szCs w:val="32"/>
          <w:lang w:val="en-US" w:eastAsia="zh-CN" w:bidi="ar"/>
        </w:rPr>
        <w:t>12.47</w:t>
      </w:r>
      <w:r>
        <w:rPr>
          <w:rFonts w:hint="default" w:ascii="方正仿宋_GBK" w:hAnsi="方正仿宋_GBK" w:eastAsia="方正仿宋_GBK" w:cs="方正仿宋_GBK"/>
          <w:color w:val="333333"/>
          <w:spacing w:val="0"/>
          <w:kern w:val="0"/>
          <w:sz w:val="32"/>
          <w:szCs w:val="32"/>
          <w:lang w:val="en-US" w:eastAsia="zh-CN" w:bidi="ar"/>
        </w:rPr>
        <w:t>万元，完成预算100%。</w:t>
      </w:r>
      <w:bookmarkEnd w:id="108"/>
    </w:p>
    <w:p>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ascii="方正仿宋_GBK" w:hAnsi="方正仿宋_GBK" w:eastAsia="方正仿宋_GBK" w:cs="方正仿宋_GBK"/>
          <w:color w:val="333333"/>
          <w:spacing w:val="0"/>
          <w:kern w:val="0"/>
          <w:sz w:val="32"/>
          <w:szCs w:val="32"/>
          <w:lang w:val="en-US" w:eastAsia="zh-CN" w:bidi="ar"/>
        </w:rPr>
      </w:pPr>
      <w:bookmarkStart w:id="109" w:name="_Toc16993"/>
      <w:r>
        <w:rPr>
          <w:rFonts w:hint="default" w:ascii="方正仿宋_GBK" w:hAnsi="方正仿宋_GBK" w:eastAsia="方正仿宋_GBK" w:cs="方正仿宋_GBK"/>
          <w:color w:val="333333"/>
          <w:spacing w:val="0"/>
          <w:kern w:val="0"/>
          <w:sz w:val="32"/>
          <w:szCs w:val="32"/>
          <w:lang w:val="en-US" w:eastAsia="zh-CN" w:bidi="ar"/>
        </w:rPr>
        <w:t>15.卫生健康（类）行政事业单位医疗（款）其他行政事业单位医疗支出（项）:支出决算为</w:t>
      </w:r>
      <w:r>
        <w:rPr>
          <w:rFonts w:hint="eastAsia" w:ascii="方正仿宋_GBK" w:hAnsi="方正仿宋_GBK" w:eastAsia="方正仿宋_GBK" w:cs="方正仿宋_GBK"/>
          <w:color w:val="333333"/>
          <w:spacing w:val="0"/>
          <w:kern w:val="0"/>
          <w:sz w:val="32"/>
          <w:szCs w:val="32"/>
          <w:lang w:val="en-US" w:eastAsia="zh-CN" w:bidi="ar"/>
        </w:rPr>
        <w:t>17.85</w:t>
      </w:r>
      <w:r>
        <w:rPr>
          <w:rFonts w:hint="default" w:ascii="方正仿宋_GBK" w:hAnsi="方正仿宋_GBK" w:eastAsia="方正仿宋_GBK" w:cs="方正仿宋_GBK"/>
          <w:color w:val="333333"/>
          <w:spacing w:val="0"/>
          <w:kern w:val="0"/>
          <w:sz w:val="32"/>
          <w:szCs w:val="32"/>
          <w:lang w:val="en-US" w:eastAsia="zh-CN" w:bidi="ar"/>
        </w:rPr>
        <w:t>万元，完成预算100%。</w:t>
      </w:r>
      <w:bookmarkEnd w:id="109"/>
    </w:p>
    <w:p>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ascii="方正仿宋_GBK" w:hAnsi="方正仿宋_GBK" w:eastAsia="方正仿宋_GBK" w:cs="方正仿宋_GBK"/>
          <w:color w:val="333333"/>
          <w:spacing w:val="0"/>
          <w:kern w:val="0"/>
          <w:sz w:val="32"/>
          <w:szCs w:val="32"/>
          <w:lang w:val="en-US" w:eastAsia="zh-CN" w:bidi="ar"/>
        </w:rPr>
      </w:pPr>
      <w:bookmarkStart w:id="110" w:name="_Toc26059"/>
      <w:r>
        <w:rPr>
          <w:rFonts w:hint="default" w:ascii="方正仿宋_GBK" w:hAnsi="方正仿宋_GBK" w:eastAsia="方正仿宋_GBK" w:cs="方正仿宋_GBK"/>
          <w:color w:val="333333"/>
          <w:spacing w:val="0"/>
          <w:kern w:val="0"/>
          <w:sz w:val="32"/>
          <w:szCs w:val="32"/>
          <w:lang w:val="en-US" w:eastAsia="zh-CN" w:bidi="ar"/>
        </w:rPr>
        <w:t>16.卫生健康（类）其他卫生健康支出（款）其他卫生健康支出（项）:支出决算为</w:t>
      </w:r>
      <w:r>
        <w:rPr>
          <w:rFonts w:hint="eastAsia" w:ascii="方正仿宋_GBK" w:hAnsi="方正仿宋_GBK" w:eastAsia="方正仿宋_GBK" w:cs="方正仿宋_GBK"/>
          <w:color w:val="333333"/>
          <w:spacing w:val="0"/>
          <w:kern w:val="0"/>
          <w:sz w:val="32"/>
          <w:szCs w:val="32"/>
          <w:lang w:val="en-US" w:eastAsia="zh-CN" w:bidi="ar"/>
        </w:rPr>
        <w:t>0.71</w:t>
      </w:r>
      <w:r>
        <w:rPr>
          <w:rFonts w:hint="default" w:ascii="方正仿宋_GBK" w:hAnsi="方正仿宋_GBK" w:eastAsia="方正仿宋_GBK" w:cs="方正仿宋_GBK"/>
          <w:color w:val="333333"/>
          <w:spacing w:val="0"/>
          <w:kern w:val="0"/>
          <w:sz w:val="32"/>
          <w:szCs w:val="32"/>
          <w:lang w:val="en-US" w:eastAsia="zh-CN" w:bidi="ar"/>
        </w:rPr>
        <w:t>万元，完成预算100%。</w:t>
      </w:r>
      <w:bookmarkEnd w:id="110"/>
    </w:p>
    <w:p>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仿宋_GB2312" w:cs="仿宋_GB2312"/>
          <w:color w:val="auto"/>
          <w:kern w:val="2"/>
          <w:sz w:val="32"/>
          <w:szCs w:val="32"/>
          <w:highlight w:val="none"/>
          <w:lang w:val="en-US" w:eastAsia="zh-CN" w:bidi="ar-SA"/>
        </w:rPr>
      </w:pPr>
      <w:bookmarkStart w:id="111" w:name="_Toc1090"/>
      <w:r>
        <w:rPr>
          <w:rFonts w:hint="default" w:ascii="方正仿宋_GBK" w:hAnsi="方正仿宋_GBK" w:eastAsia="方正仿宋_GBK" w:cs="方正仿宋_GBK"/>
          <w:color w:val="333333"/>
          <w:spacing w:val="0"/>
          <w:kern w:val="0"/>
          <w:sz w:val="32"/>
          <w:szCs w:val="32"/>
          <w:lang w:val="en-US" w:eastAsia="zh-CN" w:bidi="ar"/>
        </w:rPr>
        <w:t>1</w:t>
      </w:r>
      <w:r>
        <w:rPr>
          <w:rFonts w:hint="eastAsia" w:ascii="方正仿宋_GBK" w:hAnsi="方正仿宋_GBK" w:eastAsia="方正仿宋_GBK" w:cs="方正仿宋_GBK"/>
          <w:color w:val="333333"/>
          <w:spacing w:val="0"/>
          <w:kern w:val="0"/>
          <w:sz w:val="32"/>
          <w:szCs w:val="32"/>
          <w:lang w:val="en-US" w:eastAsia="zh-CN" w:bidi="ar"/>
        </w:rPr>
        <w:t>7</w:t>
      </w:r>
      <w:r>
        <w:rPr>
          <w:rFonts w:hint="default" w:ascii="方正仿宋_GBK" w:hAnsi="方正仿宋_GBK" w:eastAsia="方正仿宋_GBK" w:cs="方正仿宋_GBK"/>
          <w:color w:val="333333"/>
          <w:spacing w:val="0"/>
          <w:kern w:val="0"/>
          <w:sz w:val="32"/>
          <w:szCs w:val="32"/>
          <w:lang w:val="en-US" w:eastAsia="zh-CN" w:bidi="ar"/>
        </w:rPr>
        <w:t>．住房保障支出（类）住房改革支出（款）住房公积金（项）:支出决算为</w:t>
      </w:r>
      <w:r>
        <w:rPr>
          <w:rFonts w:hint="eastAsia" w:ascii="方正仿宋_GBK" w:hAnsi="方正仿宋_GBK" w:eastAsia="方正仿宋_GBK" w:cs="方正仿宋_GBK"/>
          <w:color w:val="333333"/>
          <w:spacing w:val="0"/>
          <w:kern w:val="0"/>
          <w:sz w:val="32"/>
          <w:szCs w:val="32"/>
          <w:lang w:val="en-US" w:eastAsia="zh-CN" w:bidi="ar"/>
        </w:rPr>
        <w:t>212.28</w:t>
      </w:r>
      <w:r>
        <w:rPr>
          <w:rFonts w:hint="default" w:ascii="方正仿宋_GBK" w:hAnsi="方正仿宋_GBK" w:eastAsia="方正仿宋_GBK" w:cs="方正仿宋_GBK"/>
          <w:color w:val="333333"/>
          <w:spacing w:val="0"/>
          <w:kern w:val="0"/>
          <w:sz w:val="32"/>
          <w:szCs w:val="32"/>
          <w:lang w:val="en-US" w:eastAsia="zh-CN" w:bidi="ar"/>
        </w:rPr>
        <w:t>万元，完成预算100%。</w:t>
      </w:r>
      <w:bookmarkEnd w:id="111"/>
    </w:p>
    <w:p>
      <w:pPr>
        <w:tabs>
          <w:tab w:val="right" w:pos="8306"/>
        </w:tabs>
        <w:spacing w:line="600" w:lineRule="exact"/>
        <w:ind w:firstLine="640"/>
        <w:outlineLvl w:val="1"/>
        <w:rPr>
          <w:rStyle w:val="31"/>
          <w:rFonts w:ascii="Times New Roman" w:hAnsi="Times New Roman"/>
          <w:color w:val="auto"/>
          <w:highlight w:val="none"/>
        </w:rPr>
      </w:pPr>
      <w:bookmarkStart w:id="112" w:name="_Toc15377214"/>
      <w:bookmarkStart w:id="113" w:name="_Toc15396608"/>
      <w:bookmarkStart w:id="114" w:name="_Toc1689448444_WPSOffice_Level2"/>
      <w:r>
        <w:rPr>
          <w:rFonts w:hint="eastAsia" w:ascii="Times New Roman" w:hAnsi="Times New Roman" w:eastAsia="黑体"/>
          <w:color w:val="auto"/>
          <w:sz w:val="32"/>
          <w:szCs w:val="32"/>
          <w:highlight w:val="none"/>
        </w:rPr>
        <w:t>六</w:t>
      </w:r>
      <w:r>
        <w:rPr>
          <w:rFonts w:hint="eastAsia" w:ascii="Times New Roman" w:hAnsi="Times New Roman" w:eastAsia="黑体"/>
          <w:b/>
          <w:color w:val="auto"/>
          <w:sz w:val="32"/>
          <w:szCs w:val="32"/>
          <w:highlight w:val="none"/>
        </w:rPr>
        <w:t>、一</w:t>
      </w:r>
      <w:r>
        <w:rPr>
          <w:rStyle w:val="31"/>
          <w:rFonts w:hint="eastAsia" w:ascii="Times New Roman" w:hAnsi="Times New Roman" w:eastAsia="黑体"/>
          <w:b w:val="0"/>
          <w:color w:val="auto"/>
          <w:highlight w:val="none"/>
        </w:rPr>
        <w:t>般公共预算财政拨款基本支出决算情况说明</w:t>
      </w:r>
      <w:bookmarkEnd w:id="112"/>
      <w:bookmarkEnd w:id="113"/>
      <w:bookmarkEnd w:id="114"/>
      <w:r>
        <w:rPr>
          <w:rStyle w:val="31"/>
          <w:rFonts w:ascii="Times New Roman" w:hAnsi="Times New Roman" w:eastAsia="黑体"/>
          <w:b w:val="0"/>
          <w:color w:val="auto"/>
          <w:highlight w:val="none"/>
        </w:rPr>
        <w:tab/>
      </w:r>
    </w:p>
    <w:p>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333333"/>
          <w:spacing w:val="0"/>
          <w:kern w:val="0"/>
          <w:sz w:val="32"/>
          <w:szCs w:val="32"/>
          <w:lang w:val="en-US" w:eastAsia="zh-CN" w:bidi="ar"/>
        </w:rPr>
      </w:pPr>
      <w:bookmarkStart w:id="115" w:name="_Toc22577"/>
      <w:r>
        <w:rPr>
          <w:rFonts w:hint="eastAsia" w:ascii="方正仿宋_GBK" w:hAnsi="方正仿宋_GBK" w:eastAsia="方正仿宋_GBK" w:cs="方正仿宋_GBK"/>
          <w:color w:val="333333"/>
          <w:spacing w:val="0"/>
          <w:kern w:val="0"/>
          <w:sz w:val="32"/>
          <w:szCs w:val="32"/>
          <w:lang w:val="en-US" w:eastAsia="zh-CN" w:bidi="ar"/>
        </w:rPr>
        <w:t>2024年度一般公共预算财政拨款基本支出3432.94万元，其中：</w:t>
      </w:r>
      <w:bookmarkEnd w:id="115"/>
    </w:p>
    <w:p>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ascii="方正仿宋_GBK" w:hAnsi="方正仿宋_GBK" w:eastAsia="方正仿宋_GBK" w:cs="方正仿宋_GBK"/>
          <w:color w:val="333333"/>
          <w:spacing w:val="0"/>
          <w:kern w:val="0"/>
          <w:sz w:val="32"/>
          <w:szCs w:val="32"/>
          <w:lang w:val="en-US" w:eastAsia="zh-CN" w:bidi="ar"/>
        </w:rPr>
      </w:pPr>
      <w:bookmarkStart w:id="116" w:name="_Toc32078"/>
      <w:r>
        <w:rPr>
          <w:rFonts w:hint="eastAsia" w:ascii="方正仿宋_GBK" w:hAnsi="方正仿宋_GBK" w:eastAsia="方正仿宋_GBK" w:cs="方正仿宋_GBK"/>
          <w:color w:val="333333"/>
          <w:spacing w:val="0"/>
          <w:kern w:val="0"/>
          <w:sz w:val="32"/>
          <w:szCs w:val="32"/>
          <w:lang w:val="en-US" w:eastAsia="zh-CN" w:bidi="ar"/>
        </w:rPr>
        <w:t>人员经费3026.81万元，主要包括：</w:t>
      </w:r>
      <w:r>
        <w:rPr>
          <w:rFonts w:hint="default" w:ascii="方正仿宋_GBK" w:hAnsi="方正仿宋_GBK" w:eastAsia="方正仿宋_GBK" w:cs="方正仿宋_GBK"/>
          <w:color w:val="333333"/>
          <w:spacing w:val="0"/>
          <w:kern w:val="0"/>
          <w:sz w:val="32"/>
          <w:szCs w:val="32"/>
          <w:lang w:val="en-US" w:eastAsia="zh-CN" w:bidi="ar"/>
        </w:rPr>
        <w:t>基本工资、津贴补贴、奖金、绩效工资、机关事业单位基本养老保险缴费、职业年金缴费、其他社会保障缴费、其他工资福利支出、 奖励金</w:t>
      </w:r>
      <w:r>
        <w:rPr>
          <w:rFonts w:hint="eastAsia" w:ascii="方正仿宋_GBK" w:hAnsi="方正仿宋_GBK" w:eastAsia="方正仿宋_GBK" w:cs="方正仿宋_GBK"/>
          <w:color w:val="333333"/>
          <w:spacing w:val="0"/>
          <w:kern w:val="0"/>
          <w:sz w:val="32"/>
          <w:szCs w:val="32"/>
          <w:lang w:val="en-US" w:eastAsia="zh-CN" w:bidi="ar"/>
        </w:rPr>
        <w:t>、</w:t>
      </w:r>
      <w:r>
        <w:rPr>
          <w:rFonts w:hint="default" w:ascii="方正仿宋_GBK" w:hAnsi="方正仿宋_GBK" w:eastAsia="方正仿宋_GBK" w:cs="方正仿宋_GBK"/>
          <w:color w:val="333333"/>
          <w:spacing w:val="0"/>
          <w:kern w:val="0"/>
          <w:sz w:val="32"/>
          <w:szCs w:val="32"/>
          <w:lang w:val="en-US" w:eastAsia="zh-CN" w:bidi="ar"/>
        </w:rPr>
        <w:t>其他对个人和家庭的补助</w:t>
      </w:r>
      <w:r>
        <w:rPr>
          <w:rFonts w:hint="eastAsia" w:ascii="方正仿宋_GBK" w:hAnsi="方正仿宋_GBK" w:eastAsia="方正仿宋_GBK" w:cs="方正仿宋_GBK"/>
          <w:color w:val="333333"/>
          <w:spacing w:val="0"/>
          <w:kern w:val="0"/>
          <w:sz w:val="32"/>
          <w:szCs w:val="32"/>
          <w:lang w:val="en-US" w:eastAsia="zh-CN" w:bidi="ar"/>
        </w:rPr>
        <w:t>、</w:t>
      </w:r>
      <w:r>
        <w:rPr>
          <w:rFonts w:hint="default" w:ascii="方正仿宋_GBK" w:hAnsi="方正仿宋_GBK" w:eastAsia="方正仿宋_GBK" w:cs="方正仿宋_GBK"/>
          <w:color w:val="333333"/>
          <w:spacing w:val="0"/>
          <w:kern w:val="0"/>
          <w:sz w:val="32"/>
          <w:szCs w:val="32"/>
          <w:lang w:val="en-US" w:eastAsia="zh-CN" w:bidi="ar"/>
        </w:rPr>
        <w:t>抚恤金、生活补助、医疗费补助、住房公积金等。</w:t>
      </w:r>
      <w:bookmarkEnd w:id="116"/>
    </w:p>
    <w:p>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仿宋_GB2312" w:cs="仿宋_GB2312"/>
          <w:color w:val="auto"/>
          <w:kern w:val="2"/>
          <w:sz w:val="32"/>
          <w:szCs w:val="32"/>
          <w:highlight w:val="none"/>
          <w:lang w:val="en-US" w:eastAsia="zh-CN" w:bidi="ar-SA"/>
        </w:rPr>
      </w:pPr>
      <w:bookmarkStart w:id="117" w:name="_Toc5405"/>
      <w:r>
        <w:rPr>
          <w:rFonts w:hint="eastAsia" w:ascii="方正仿宋_GBK" w:hAnsi="方正仿宋_GBK" w:eastAsia="方正仿宋_GBK" w:cs="方正仿宋_GBK"/>
          <w:color w:val="333333"/>
          <w:spacing w:val="0"/>
          <w:kern w:val="0"/>
          <w:sz w:val="32"/>
          <w:szCs w:val="32"/>
          <w:lang w:val="en-US" w:eastAsia="zh-CN" w:bidi="ar"/>
        </w:rPr>
        <w:t>公用经费406.13万元，主要包括：</w:t>
      </w:r>
      <w:r>
        <w:rPr>
          <w:rFonts w:hint="default" w:ascii="方正仿宋_GBK" w:hAnsi="方正仿宋_GBK" w:eastAsia="方正仿宋_GBK" w:cs="方正仿宋_GBK"/>
          <w:color w:val="333333"/>
          <w:spacing w:val="0"/>
          <w:kern w:val="0"/>
          <w:sz w:val="32"/>
          <w:szCs w:val="32"/>
          <w:lang w:val="en-US" w:eastAsia="zh-CN" w:bidi="ar"/>
        </w:rPr>
        <w:t>办公费、印刷费、水费、电费、邮电费、差旅费、维修（护）费、会议费、培训费、公务接待费、委托业务费、工会经费、福利费、公务用车运行维护费、其他交通费、其他商品和服务支出</w:t>
      </w:r>
      <w:r>
        <w:rPr>
          <w:rFonts w:hint="eastAsia" w:ascii="方正仿宋_GBK" w:hAnsi="方正仿宋_GBK" w:eastAsia="方正仿宋_GBK" w:cs="方正仿宋_GBK"/>
          <w:color w:val="333333"/>
          <w:spacing w:val="0"/>
          <w:kern w:val="0"/>
          <w:sz w:val="32"/>
          <w:szCs w:val="32"/>
          <w:lang w:val="en-US" w:eastAsia="zh-CN" w:bidi="ar"/>
        </w:rPr>
        <w:t>等</w:t>
      </w:r>
      <w:r>
        <w:rPr>
          <w:rFonts w:hint="default" w:ascii="Times New Roman" w:hAnsi="Times New Roman" w:eastAsia="仿宋_GB2312" w:cs="Times New Roman"/>
          <w:snapToGrid w:val="0"/>
          <w:sz w:val="32"/>
          <w:szCs w:val="32"/>
          <w:highlight w:val="none"/>
        </w:rPr>
        <w:t>。</w:t>
      </w:r>
      <w:bookmarkEnd w:id="117"/>
    </w:p>
    <w:p>
      <w:pPr>
        <w:spacing w:line="600" w:lineRule="exact"/>
        <w:ind w:firstLine="640"/>
        <w:outlineLvl w:val="1"/>
        <w:rPr>
          <w:rStyle w:val="31"/>
          <w:rFonts w:ascii="Times New Roman" w:hAnsi="Times New Roman" w:eastAsia="黑体"/>
          <w:b w:val="0"/>
          <w:color w:val="auto"/>
          <w:highlight w:val="none"/>
        </w:rPr>
      </w:pPr>
      <w:bookmarkStart w:id="118" w:name="_Toc15396609"/>
      <w:bookmarkStart w:id="119" w:name="_Toc15377215"/>
      <w:bookmarkStart w:id="120" w:name="_Toc1773026843_WPSOffice_Level2"/>
      <w:r>
        <w:rPr>
          <w:rFonts w:hint="eastAsia" w:ascii="Times New Roman" w:hAnsi="Times New Roman" w:eastAsia="黑体"/>
          <w:color w:val="auto"/>
          <w:sz w:val="32"/>
          <w:szCs w:val="32"/>
          <w:highlight w:val="none"/>
        </w:rPr>
        <w:t>七、</w:t>
      </w:r>
      <w:r>
        <w:rPr>
          <w:rStyle w:val="31"/>
          <w:rFonts w:hint="eastAsia" w:ascii="Times New Roman" w:hAnsi="Times New Roman" w:eastAsia="黑体"/>
          <w:b w:val="0"/>
          <w:color w:val="auto"/>
          <w:highlight w:val="none"/>
        </w:rPr>
        <w:t>财政拨款</w:t>
      </w:r>
      <w:r>
        <w:rPr>
          <w:rStyle w:val="31"/>
          <w:rFonts w:hint="eastAsia" w:ascii="Times New Roman" w:hAnsi="Times New Roman" w:eastAsia="黑体"/>
          <w:color w:val="auto"/>
          <w:highlight w:val="none"/>
        </w:rPr>
        <w:t>“</w:t>
      </w:r>
      <w:r>
        <w:rPr>
          <w:rStyle w:val="31"/>
          <w:rFonts w:hint="eastAsia" w:ascii="Times New Roman" w:hAnsi="Times New Roman" w:eastAsia="黑体"/>
          <w:b w:val="0"/>
          <w:color w:val="auto"/>
          <w:highlight w:val="none"/>
        </w:rPr>
        <w:t>三公”经费支出决算情况说明</w:t>
      </w:r>
      <w:bookmarkEnd w:id="118"/>
      <w:bookmarkEnd w:id="119"/>
      <w:bookmarkEnd w:id="120"/>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121" w:name="_Toc15377216"/>
      <w:bookmarkStart w:id="122" w:name="_Toc7255"/>
      <w:r>
        <w:rPr>
          <w:rFonts w:hint="eastAsia" w:ascii="Times New Roman" w:hAnsi="Times New Roman" w:eastAsia="楷体_GB2312" w:cs="楷体_GB2312"/>
          <w:b/>
          <w:color w:val="auto"/>
          <w:sz w:val="32"/>
          <w:szCs w:val="32"/>
          <w:highlight w:val="none"/>
        </w:rPr>
        <w:t>（一）“三公”经费财政拨款支出决算总体情况说明</w:t>
      </w:r>
      <w:bookmarkEnd w:id="121"/>
      <w:bookmarkEnd w:id="122"/>
    </w:p>
    <w:p>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仿宋_GB2312" w:cs="仿宋_GB2312"/>
          <w:b/>
          <w:bCs/>
          <w:color w:val="auto"/>
          <w:kern w:val="2"/>
          <w:sz w:val="32"/>
          <w:szCs w:val="32"/>
          <w:highlight w:val="none"/>
          <w:lang w:val="en-US" w:eastAsia="zh-CN" w:bidi="ar-SA"/>
        </w:rPr>
      </w:pPr>
      <w:bookmarkStart w:id="123" w:name="_Toc29122"/>
      <w:r>
        <w:rPr>
          <w:rFonts w:hint="eastAsia" w:ascii="方正仿宋_GBK" w:hAnsi="方正仿宋_GBK" w:eastAsia="方正仿宋_GBK" w:cs="方正仿宋_GBK"/>
          <w:color w:val="333333"/>
          <w:spacing w:val="0"/>
          <w:kern w:val="0"/>
          <w:sz w:val="32"/>
          <w:szCs w:val="32"/>
          <w:lang w:val="en-US" w:eastAsia="zh-CN" w:bidi="ar"/>
        </w:rPr>
        <w:t>2024年度“三公”经费财政拨款支出决算为52.80万元，完成预算100%，较上年度增加6.79万元，增长14.76%。决算数与预算数持平。</w:t>
      </w:r>
      <w:bookmarkEnd w:id="123"/>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124" w:name="_Toc11301"/>
      <w:bookmarkStart w:id="125" w:name="_Toc15377217"/>
      <w:r>
        <w:rPr>
          <w:rFonts w:hint="eastAsia" w:ascii="Times New Roman" w:hAnsi="Times New Roman" w:eastAsia="楷体_GB2312" w:cs="楷体_GB2312"/>
          <w:b/>
          <w:color w:val="auto"/>
          <w:sz w:val="32"/>
          <w:szCs w:val="32"/>
          <w:highlight w:val="none"/>
        </w:rPr>
        <w:t>（二）“三公”经费财政拨款支出决算具体情况说明</w:t>
      </w:r>
      <w:bookmarkEnd w:id="124"/>
      <w:bookmarkEnd w:id="125"/>
    </w:p>
    <w:p>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color w:val="auto"/>
          <w:kern w:val="2"/>
          <w:sz w:val="32"/>
          <w:szCs w:val="32"/>
          <w:highlight w:val="none"/>
          <w:lang w:val="en-US" w:eastAsia="zh-CN" w:bidi="ar-SA"/>
        </w:rPr>
      </w:pPr>
      <w:bookmarkStart w:id="126" w:name="_Toc25258"/>
      <w:r>
        <w:rPr>
          <w:rFonts w:hint="eastAsia" w:ascii="方正仿宋_GBK" w:hAnsi="方正仿宋_GBK" w:eastAsia="方正仿宋_GBK" w:cs="方正仿宋_GBK"/>
          <w:color w:val="333333"/>
          <w:spacing w:val="0"/>
          <w:kern w:val="0"/>
          <w:sz w:val="32"/>
          <w:szCs w:val="32"/>
          <w:lang w:val="en-US" w:eastAsia="zh-CN" w:bidi="ar"/>
        </w:rPr>
        <w:t>2024年度“三公”经费财政拨款支出决算中，因公出国（境）费支出决算11.60万元，占21.97%；公务用车购置及运行维护费支出决算39.66万元，占75.11%；公务接待费支出决算1.54万元，占2.92%。具体情况如下：</w:t>
      </w:r>
      <w:bookmarkEnd w:id="126"/>
    </w:p>
    <w:p>
      <w:pPr>
        <w:spacing w:line="600" w:lineRule="exact"/>
        <w:ind w:firstLine="640"/>
        <w:jc w:val="center"/>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jc w:val="center"/>
        <w:rPr>
          <w:rFonts w:hint="eastAsia" w:ascii="Times New Roman" w:hAnsi="Times New Roman" w:eastAsia="仿宋_GB2312" w:cs="仿宋_GB2312"/>
          <w:color w:val="auto"/>
          <w:kern w:val="2"/>
          <w:sz w:val="32"/>
          <w:szCs w:val="32"/>
          <w:highlight w:val="none"/>
          <w:lang w:val="en-US" w:eastAsia="zh-CN" w:bidi="ar-SA"/>
        </w:rPr>
      </w:pPr>
      <w:r>
        <w:drawing>
          <wp:anchor distT="0" distB="0" distL="114300" distR="114300" simplePos="0" relativeHeight="251665408" behindDoc="0" locked="0" layoutInCell="1" allowOverlap="1">
            <wp:simplePos x="0" y="0"/>
            <wp:positionH relativeFrom="column">
              <wp:posOffset>170180</wp:posOffset>
            </wp:positionH>
            <wp:positionV relativeFrom="paragraph">
              <wp:posOffset>36195</wp:posOffset>
            </wp:positionV>
            <wp:extent cx="4898390" cy="2788285"/>
            <wp:effectExtent l="6350" t="6350" r="17780" b="9525"/>
            <wp:wrapNone/>
            <wp:docPr id="3" name="图表 2" descr="7b0a202020202263686172745265734964223a20223230343736393431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spacing w:line="600" w:lineRule="exact"/>
        <w:ind w:firstLine="640"/>
        <w:jc w:val="center"/>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jc w:val="center"/>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jc w:val="center"/>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jc w:val="center"/>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jc w:val="center"/>
        <w:rPr>
          <w:rFonts w:hint="eastAsia" w:ascii="Times New Roman" w:hAnsi="Times New Roman" w:eastAsia="仿宋_GB2312" w:cs="仿宋_GB2312"/>
          <w:color w:val="auto"/>
          <w:kern w:val="2"/>
          <w:sz w:val="32"/>
          <w:szCs w:val="32"/>
          <w:highlight w:val="none"/>
          <w:lang w:val="en-US" w:eastAsia="zh-CN" w:bidi="ar-SA"/>
        </w:rPr>
      </w:pPr>
    </w:p>
    <w:p>
      <w:pPr>
        <w:pStyle w:val="2"/>
        <w:rPr>
          <w:rFonts w:hint="eastAsia"/>
          <w:lang w:val="en-US" w:eastAsia="zh-CN"/>
        </w:rPr>
      </w:pPr>
    </w:p>
    <w:p>
      <w:pPr>
        <w:spacing w:line="600" w:lineRule="exact"/>
        <w:ind w:firstLine="640"/>
        <w:jc w:val="center"/>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（图7：“三公”经费财政拨款支出结构）</w:t>
      </w:r>
    </w:p>
    <w:p>
      <w:pPr>
        <w:spacing w:line="600" w:lineRule="exact"/>
        <w:ind w:firstLine="640"/>
        <w:rPr>
          <w:rFonts w:hint="default" w:ascii="Times New Roman" w:hAnsi="Times New Roman" w:eastAsia="仿宋_GB2312" w:cs="仿宋_GB2312"/>
          <w:color w:val="auto"/>
          <w:kern w:val="2"/>
          <w:sz w:val="32"/>
          <w:szCs w:val="32"/>
          <w:highlight w:val="none"/>
          <w:lang w:val="en" w:eastAsia="zh-CN" w:bidi="ar-SA"/>
        </w:rPr>
      </w:pPr>
      <w:r>
        <w:rPr>
          <w:rFonts w:hint="eastAsia" w:ascii="Times New Roman" w:hAnsi="Times New Roman" w:eastAsia="仿宋_GB2312" w:cs="仿宋_GB2312"/>
          <w:b/>
          <w:bCs/>
          <w:color w:val="auto"/>
          <w:kern w:val="2"/>
          <w:sz w:val="32"/>
          <w:szCs w:val="32"/>
          <w:highlight w:val="none"/>
          <w:lang w:val="en-US" w:eastAsia="zh-CN" w:bidi="ar-SA"/>
        </w:rPr>
        <w:t>1.因公出国（境）经费支出</w:t>
      </w:r>
      <w:r>
        <w:rPr>
          <w:rFonts w:hint="default" w:eastAsia="仿宋_GB2312" w:cs="仿宋_GB2312"/>
          <w:b/>
          <w:bCs/>
          <w:color w:val="auto"/>
          <w:kern w:val="2"/>
          <w:sz w:val="32"/>
          <w:szCs w:val="32"/>
          <w:highlight w:val="none"/>
          <w:lang w:val="en" w:eastAsia="zh-CN" w:bidi="ar-SA"/>
        </w:rPr>
        <w:t>11.</w:t>
      </w:r>
      <w:r>
        <w:rPr>
          <w:rFonts w:hint="eastAsia" w:eastAsia="仿宋_GB2312" w:cs="仿宋_GB2312"/>
          <w:b/>
          <w:bCs/>
          <w:color w:val="auto"/>
          <w:kern w:val="2"/>
          <w:sz w:val="32"/>
          <w:szCs w:val="32"/>
          <w:highlight w:val="none"/>
          <w:lang w:val="en-US" w:eastAsia="zh-CN" w:bidi="ar-SA"/>
        </w:rPr>
        <w:t>60</w:t>
      </w:r>
      <w:r>
        <w:rPr>
          <w:rFonts w:hint="eastAsia" w:ascii="Times New Roman" w:hAnsi="Times New Roman" w:eastAsia="仿宋_GB2312" w:cs="仿宋_GB2312"/>
          <w:b/>
          <w:bCs/>
          <w:color w:val="auto"/>
          <w:kern w:val="2"/>
          <w:sz w:val="32"/>
          <w:szCs w:val="32"/>
          <w:highlight w:val="none"/>
          <w:lang w:val="en-US" w:eastAsia="zh-CN" w:bidi="ar-SA"/>
        </w:rPr>
        <w:t>万元，完成预算</w:t>
      </w:r>
      <w:r>
        <w:rPr>
          <w:rFonts w:hint="default" w:eastAsia="仿宋_GB2312" w:cs="仿宋_GB2312"/>
          <w:b/>
          <w:bCs/>
          <w:color w:val="auto"/>
          <w:kern w:val="2"/>
          <w:sz w:val="32"/>
          <w:szCs w:val="32"/>
          <w:highlight w:val="none"/>
          <w:lang w:val="en" w:eastAsia="zh-CN" w:bidi="ar-SA"/>
        </w:rPr>
        <w:t>100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方正仿宋_GBK" w:hAnsi="方正仿宋_GBK" w:eastAsia="方正仿宋_GBK" w:cs="方正仿宋_GBK"/>
          <w:color w:val="333333"/>
          <w:spacing w:val="0"/>
          <w:kern w:val="0"/>
          <w:sz w:val="32"/>
          <w:szCs w:val="32"/>
          <w:lang w:val="en-US" w:eastAsia="zh-CN" w:bidi="ar"/>
        </w:rPr>
        <w:t>全年安排因公出国（境）团组2次，出国（境）3人。因公出国（境）支出决算比2023年增加</w:t>
      </w:r>
      <w:r>
        <w:rPr>
          <w:rFonts w:hint="default" w:ascii="方正仿宋_GBK" w:hAnsi="方正仿宋_GBK" w:eastAsia="方正仿宋_GBK" w:cs="方正仿宋_GBK"/>
          <w:color w:val="333333"/>
          <w:spacing w:val="0"/>
          <w:kern w:val="0"/>
          <w:sz w:val="32"/>
          <w:szCs w:val="32"/>
          <w:lang w:val="en" w:eastAsia="zh-CN" w:bidi="ar"/>
        </w:rPr>
        <w:t>11.</w:t>
      </w:r>
      <w:r>
        <w:rPr>
          <w:rFonts w:hint="eastAsia" w:ascii="方正仿宋_GBK" w:hAnsi="方正仿宋_GBK" w:eastAsia="方正仿宋_GBK" w:cs="方正仿宋_GBK"/>
          <w:color w:val="333333"/>
          <w:spacing w:val="0"/>
          <w:kern w:val="0"/>
          <w:sz w:val="32"/>
          <w:szCs w:val="32"/>
          <w:lang w:val="en-US" w:eastAsia="zh-CN" w:bidi="ar"/>
        </w:rPr>
        <w:t>60万元。主要原因是</w:t>
      </w:r>
      <w:r>
        <w:rPr>
          <w:rFonts w:hint="default" w:ascii="方正仿宋_GBK" w:hAnsi="方正仿宋_GBK" w:eastAsia="方正仿宋_GBK" w:cs="方正仿宋_GBK"/>
          <w:color w:val="333333"/>
          <w:spacing w:val="0"/>
          <w:kern w:val="0"/>
          <w:sz w:val="32"/>
          <w:szCs w:val="32"/>
          <w:lang w:val="en" w:eastAsia="zh-CN" w:bidi="ar"/>
        </w:rPr>
        <w:t>2023</w:t>
      </w:r>
      <w:r>
        <w:rPr>
          <w:rFonts w:hint="eastAsia" w:ascii="方正仿宋_GBK" w:hAnsi="方正仿宋_GBK" w:eastAsia="方正仿宋_GBK" w:cs="方正仿宋_GBK"/>
          <w:color w:val="333333"/>
          <w:spacing w:val="0"/>
          <w:kern w:val="0"/>
          <w:sz w:val="32"/>
          <w:szCs w:val="32"/>
          <w:lang w:val="en" w:eastAsia="zh-CN" w:bidi="ar"/>
        </w:rPr>
        <w:t>年未安排</w:t>
      </w:r>
      <w:r>
        <w:rPr>
          <w:rFonts w:hint="eastAsia" w:ascii="方正仿宋_GBK" w:hAnsi="方正仿宋_GBK" w:eastAsia="方正仿宋_GBK" w:cs="方正仿宋_GBK"/>
          <w:color w:val="333333"/>
          <w:spacing w:val="0"/>
          <w:kern w:val="0"/>
          <w:sz w:val="32"/>
          <w:szCs w:val="32"/>
          <w:lang w:val="en-US" w:eastAsia="zh-CN" w:bidi="ar"/>
        </w:rPr>
        <w:t>因公出国（境）。</w:t>
      </w:r>
    </w:p>
    <w:p>
      <w:pPr>
        <w:spacing w:line="600" w:lineRule="exact"/>
        <w:ind w:firstLine="640"/>
        <w:rPr>
          <w:rFonts w:hint="default" w:ascii="方正仿宋_GBK" w:hAnsi="方正仿宋_GBK" w:eastAsia="方正仿宋_GBK" w:cs="方正仿宋_GBK"/>
          <w:color w:val="333333"/>
          <w:spacing w:val="0"/>
          <w:kern w:val="0"/>
          <w:sz w:val="32"/>
          <w:szCs w:val="32"/>
          <w:lang w:val="en-US" w:eastAsia="zh-CN" w:bidi="ar"/>
        </w:rPr>
      </w:pPr>
      <w:r>
        <w:rPr>
          <w:rFonts w:hint="eastAsia" w:ascii="方正仿宋_GBK" w:hAnsi="方正仿宋_GBK" w:eastAsia="方正仿宋_GBK" w:cs="方正仿宋_GBK"/>
          <w:color w:val="333333"/>
          <w:spacing w:val="0"/>
          <w:kern w:val="0"/>
          <w:sz w:val="32"/>
          <w:szCs w:val="32"/>
          <w:lang w:val="en-US" w:eastAsia="zh-CN" w:bidi="ar"/>
        </w:rPr>
        <w:t>开支内容包括：因公临时出国2批次3人，分别赴日本、老挝、柬埔寨等国家和地区，就钒液流储能、氢能、能源化工、中老班列（攀枝花）铁路物流运输合作进行重点推介及合作洽谈，与外方企业签订意向协议3个。</w:t>
      </w:r>
    </w:p>
    <w:p>
      <w:pPr>
        <w:spacing w:line="600" w:lineRule="exact"/>
        <w:ind w:firstLine="640"/>
        <w:rPr>
          <w:rFonts w:hint="eastAsia" w:ascii="方正仿宋_GBK" w:hAnsi="方正仿宋_GBK" w:eastAsia="方正仿宋_GBK" w:cs="方正仿宋_GBK"/>
          <w:color w:val="333333"/>
          <w:spacing w:val="0"/>
          <w:kern w:val="0"/>
          <w:sz w:val="32"/>
          <w:szCs w:val="32"/>
          <w:lang w:val="en-US" w:eastAsia="zh-CN" w:bidi="ar"/>
        </w:rPr>
      </w:pPr>
      <w:r>
        <w:rPr>
          <w:rFonts w:hint="eastAsia" w:ascii="Times New Roman" w:hAnsi="Times New Roman" w:eastAsia="仿宋_GB2312" w:cs="仿宋_GB2312"/>
          <w:b/>
          <w:bCs/>
          <w:color w:val="auto"/>
          <w:kern w:val="2"/>
          <w:sz w:val="32"/>
          <w:szCs w:val="32"/>
          <w:highlight w:val="none"/>
          <w:lang w:val="en-US" w:eastAsia="zh-CN" w:bidi="ar-SA"/>
        </w:rPr>
        <w:t>2.公务用车购置及运行维护费支出</w:t>
      </w:r>
      <w:r>
        <w:rPr>
          <w:rFonts w:hint="eastAsia" w:ascii="仿宋_GB2312" w:hAnsi="仿宋_GB2312" w:eastAsia="仿宋_GB2312" w:cs="仿宋_GB2312"/>
          <w:b/>
          <w:bCs/>
          <w:color w:val="auto"/>
          <w:kern w:val="2"/>
          <w:sz w:val="32"/>
          <w:szCs w:val="32"/>
          <w:highlight w:val="none"/>
          <w:lang w:val="en-US" w:eastAsia="zh-CN" w:bidi="ar-SA"/>
        </w:rPr>
        <w:t>39.66万</w:t>
      </w:r>
      <w:r>
        <w:rPr>
          <w:rFonts w:hint="eastAsia" w:ascii="Times New Roman" w:hAnsi="Times New Roman" w:eastAsia="仿宋_GB2312" w:cs="仿宋_GB2312"/>
          <w:b/>
          <w:bCs/>
          <w:color w:val="auto"/>
          <w:kern w:val="2"/>
          <w:sz w:val="32"/>
          <w:szCs w:val="32"/>
          <w:highlight w:val="none"/>
          <w:lang w:val="en-US" w:eastAsia="zh-CN" w:bidi="ar-SA"/>
        </w:rPr>
        <w:t>元</w:t>
      </w:r>
      <w:r>
        <w:rPr>
          <w:rFonts w:hint="eastAsia"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b/>
          <w:bCs/>
          <w:color w:val="auto"/>
          <w:kern w:val="2"/>
          <w:sz w:val="32"/>
          <w:szCs w:val="32"/>
          <w:highlight w:val="none"/>
          <w:lang w:val="en-US" w:eastAsia="zh-CN" w:bidi="ar-SA"/>
        </w:rPr>
        <w:t>完成预算</w:t>
      </w:r>
      <w:r>
        <w:rPr>
          <w:rFonts w:hint="eastAsia" w:eastAsia="仿宋_GB2312" w:cs="仿宋_GB2312"/>
          <w:b/>
          <w:bCs/>
          <w:color w:val="auto"/>
          <w:kern w:val="2"/>
          <w:sz w:val="32"/>
          <w:szCs w:val="32"/>
          <w:highlight w:val="none"/>
          <w:lang w:val="en-US" w:eastAsia="zh-CN" w:bidi="ar-SA"/>
        </w:rPr>
        <w:t>100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方正仿宋_GBK" w:hAnsi="方正仿宋_GBK" w:eastAsia="方正仿宋_GBK" w:cs="方正仿宋_GBK"/>
          <w:color w:val="333333"/>
          <w:spacing w:val="0"/>
          <w:kern w:val="0"/>
          <w:sz w:val="32"/>
          <w:szCs w:val="32"/>
          <w:lang w:val="en-US" w:eastAsia="zh-CN" w:bidi="ar"/>
        </w:rPr>
        <w:t>公务用车购置及运行维护费支出决算比2023年度持平。</w:t>
      </w:r>
    </w:p>
    <w:p>
      <w:pPr>
        <w:spacing w:line="600" w:lineRule="exact"/>
        <w:ind w:firstLine="640"/>
        <w:rPr>
          <w:rFonts w:hint="eastAsia" w:ascii="方正仿宋_GBK" w:hAnsi="方正仿宋_GBK" w:eastAsia="方正仿宋_GBK" w:cs="方正仿宋_GBK"/>
          <w:color w:val="333333"/>
          <w:spacing w:val="0"/>
          <w:kern w:val="0"/>
          <w:sz w:val="32"/>
          <w:szCs w:val="32"/>
          <w:lang w:val="en-US" w:eastAsia="zh-CN" w:bidi="ar"/>
        </w:rPr>
      </w:pPr>
      <w:r>
        <w:rPr>
          <w:rFonts w:hint="eastAsia" w:ascii="方正仿宋_GBK" w:hAnsi="方正仿宋_GBK" w:eastAsia="方正仿宋_GBK" w:cs="方正仿宋_GBK"/>
          <w:color w:val="333333"/>
          <w:spacing w:val="0"/>
          <w:kern w:val="0"/>
          <w:sz w:val="32"/>
          <w:szCs w:val="32"/>
          <w:lang w:val="en-US" w:eastAsia="zh-CN" w:bidi="ar"/>
        </w:rPr>
        <w:t>其中：公务用车购置支出0万元。全年按规定更新购置公务用车0辆，其中：轿车0辆、金额0万元，越野车0辆、金额0万元，载客汽车0辆、金额0万元。截至2024年12月31日，单位共有公务用车15辆，其中：轿车4辆、越野车11辆、载客汽车0辆。</w:t>
      </w:r>
    </w:p>
    <w:p>
      <w:pPr>
        <w:spacing w:line="600" w:lineRule="exact"/>
        <w:ind w:firstLine="640"/>
        <w:rPr>
          <w:rFonts w:hint="default" w:ascii="方正仿宋_GBK" w:hAnsi="方正仿宋_GBK" w:eastAsia="方正仿宋_GBK" w:cs="方正仿宋_GBK"/>
          <w:color w:val="333333"/>
          <w:spacing w:val="0"/>
          <w:kern w:val="0"/>
          <w:sz w:val="32"/>
          <w:szCs w:val="32"/>
          <w:lang w:val="en-US" w:eastAsia="zh-CN" w:bidi="ar"/>
        </w:rPr>
      </w:pPr>
      <w:r>
        <w:rPr>
          <w:rFonts w:hint="eastAsia" w:ascii="方正仿宋_GBK" w:hAnsi="方正仿宋_GBK" w:eastAsia="方正仿宋_GBK" w:cs="方正仿宋_GBK"/>
          <w:color w:val="333333"/>
          <w:spacing w:val="0"/>
          <w:kern w:val="0"/>
          <w:sz w:val="32"/>
          <w:szCs w:val="32"/>
          <w:lang w:val="en-US" w:eastAsia="zh-CN" w:bidi="ar"/>
        </w:rPr>
        <w:t>公务用车运行维护费支出39.66万元。主要用于</w:t>
      </w:r>
      <w:r>
        <w:rPr>
          <w:rFonts w:hint="default" w:ascii="方正仿宋_GBK" w:hAnsi="方正仿宋_GBK" w:eastAsia="方正仿宋_GBK" w:cs="方正仿宋_GBK"/>
          <w:color w:val="333333"/>
          <w:spacing w:val="0"/>
          <w:kern w:val="0"/>
          <w:sz w:val="32"/>
          <w:szCs w:val="32"/>
          <w:lang w:val="en-US" w:eastAsia="zh-CN" w:bidi="ar"/>
        </w:rPr>
        <w:t>保障机关日常工作运转和专项业务工作等所需的公务用车燃料费、维修费、过路过桥费、保险费等支出。</w:t>
      </w:r>
    </w:p>
    <w:p>
      <w:pPr>
        <w:spacing w:line="600" w:lineRule="exact"/>
        <w:ind w:firstLine="640"/>
        <w:rPr>
          <w:rFonts w:hint="eastAsia" w:ascii="方正仿宋_GBK" w:hAnsi="方正仿宋_GBK" w:eastAsia="方正仿宋_GBK" w:cs="方正仿宋_GBK"/>
          <w:color w:val="333333"/>
          <w:spacing w:val="0"/>
          <w:kern w:val="0"/>
          <w:sz w:val="32"/>
          <w:szCs w:val="32"/>
          <w:lang w:val="en-US" w:eastAsia="zh-CN" w:bidi="ar"/>
        </w:rPr>
      </w:pPr>
      <w:r>
        <w:rPr>
          <w:rFonts w:hint="eastAsia" w:ascii="Times New Roman" w:hAnsi="Times New Roman" w:eastAsia="仿宋_GB2312" w:cs="仿宋_GB2312"/>
          <w:b/>
          <w:bCs/>
          <w:color w:val="auto"/>
          <w:kern w:val="2"/>
          <w:sz w:val="32"/>
          <w:szCs w:val="32"/>
          <w:highlight w:val="none"/>
          <w:lang w:val="en-US" w:eastAsia="zh-CN" w:bidi="ar-SA"/>
        </w:rPr>
        <w:t>3.公务接待费支出</w:t>
      </w:r>
      <w:r>
        <w:rPr>
          <w:rFonts w:hint="eastAsia" w:ascii="仿宋_GB2312" w:hAnsi="仿宋_GB2312" w:eastAsia="仿宋_GB2312" w:cs="仿宋_GB2312"/>
          <w:b/>
          <w:bCs/>
          <w:color w:val="auto"/>
          <w:kern w:val="2"/>
          <w:sz w:val="32"/>
          <w:szCs w:val="32"/>
          <w:highlight w:val="none"/>
          <w:lang w:val="en-US" w:eastAsia="zh-CN" w:bidi="ar-SA"/>
        </w:rPr>
        <w:t>1.54万</w:t>
      </w:r>
      <w:r>
        <w:rPr>
          <w:rFonts w:hint="eastAsia" w:ascii="Times New Roman" w:hAnsi="Times New Roman" w:eastAsia="仿宋_GB2312" w:cs="仿宋_GB2312"/>
          <w:b/>
          <w:bCs/>
          <w:color w:val="auto"/>
          <w:kern w:val="2"/>
          <w:sz w:val="32"/>
          <w:szCs w:val="32"/>
          <w:highlight w:val="none"/>
          <w:lang w:val="en-US" w:eastAsia="zh-CN" w:bidi="ar-SA"/>
        </w:rPr>
        <w:t>元，完成预算</w:t>
      </w:r>
      <w:r>
        <w:rPr>
          <w:rFonts w:hint="eastAsia" w:eastAsia="仿宋_GB2312" w:cs="仿宋_GB2312"/>
          <w:b/>
          <w:bCs/>
          <w:color w:val="auto"/>
          <w:kern w:val="2"/>
          <w:sz w:val="32"/>
          <w:szCs w:val="32"/>
          <w:highlight w:val="none"/>
          <w:lang w:val="en-US" w:eastAsia="zh-CN" w:bidi="ar-SA"/>
        </w:rPr>
        <w:t>100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方正仿宋_GBK" w:hAnsi="方正仿宋_GBK" w:eastAsia="方正仿宋_GBK" w:cs="方正仿宋_GBK"/>
          <w:color w:val="333333"/>
          <w:spacing w:val="0"/>
          <w:kern w:val="0"/>
          <w:sz w:val="32"/>
          <w:szCs w:val="32"/>
          <w:lang w:val="en-US" w:eastAsia="zh-CN" w:bidi="ar"/>
        </w:rPr>
        <w:t>公务接待费支出决算比2023年度减少4.81万元，下降75.75%。主要原因是厉行节约，公务接待减少。其中：</w:t>
      </w:r>
    </w:p>
    <w:p>
      <w:pPr>
        <w:spacing w:line="600" w:lineRule="exact"/>
        <w:ind w:firstLine="640"/>
        <w:rPr>
          <w:rFonts w:hint="eastAsia" w:ascii="方正仿宋_GBK" w:hAnsi="方正仿宋_GBK" w:eastAsia="方正仿宋_GBK" w:cs="方正仿宋_GBK"/>
          <w:color w:val="333333"/>
          <w:spacing w:val="0"/>
          <w:kern w:val="0"/>
          <w:sz w:val="32"/>
          <w:szCs w:val="32"/>
          <w:lang w:val="en-US" w:eastAsia="zh-CN" w:bidi="ar"/>
        </w:rPr>
      </w:pPr>
      <w:r>
        <w:rPr>
          <w:rFonts w:hint="eastAsia" w:ascii="方正仿宋_GBK" w:hAnsi="方正仿宋_GBK" w:eastAsia="方正仿宋_GBK" w:cs="方正仿宋_GBK"/>
          <w:color w:val="333333"/>
          <w:spacing w:val="0"/>
          <w:kern w:val="0"/>
          <w:sz w:val="32"/>
          <w:szCs w:val="32"/>
          <w:lang w:val="en-US" w:eastAsia="zh-CN" w:bidi="ar"/>
        </w:rPr>
        <w:t>国内公务接待支出1.54万元，主要用于执行公务、开展业务活动开支的交通费、住宿费、用餐费等。国内公务接待6批次，87人次，共计支出1.54万元，具体内容包括：</w:t>
      </w:r>
      <w:r>
        <w:rPr>
          <w:rFonts w:hint="default" w:ascii="方正仿宋_GBK" w:hAnsi="方正仿宋_GBK" w:eastAsia="方正仿宋_GBK" w:cs="方正仿宋_GBK"/>
          <w:color w:val="333333"/>
          <w:spacing w:val="0"/>
          <w:kern w:val="0"/>
          <w:sz w:val="32"/>
          <w:szCs w:val="32"/>
          <w:lang w:val="en-US" w:eastAsia="zh-CN" w:bidi="ar"/>
        </w:rPr>
        <w:t>市政府办公室、市决策咨询服务中心接待省、其他市州来攀考察、学习、调研、督查等。</w:t>
      </w:r>
    </w:p>
    <w:p>
      <w:pPr>
        <w:spacing w:line="600" w:lineRule="exact"/>
        <w:ind w:firstLine="640"/>
        <w:rPr>
          <w:rFonts w:hint="eastAsia" w:ascii="方正仿宋_GBK" w:hAnsi="方正仿宋_GBK" w:eastAsia="方正仿宋_GBK" w:cs="方正仿宋_GBK"/>
          <w:color w:val="333333"/>
          <w:spacing w:val="0"/>
          <w:kern w:val="0"/>
          <w:sz w:val="32"/>
          <w:szCs w:val="32"/>
          <w:lang w:val="en-US" w:eastAsia="zh-CN" w:bidi="ar"/>
        </w:rPr>
      </w:pPr>
      <w:r>
        <w:rPr>
          <w:rFonts w:hint="eastAsia" w:ascii="方正仿宋_GBK" w:hAnsi="方正仿宋_GBK" w:eastAsia="方正仿宋_GBK" w:cs="方正仿宋_GBK"/>
          <w:color w:val="333333"/>
          <w:spacing w:val="0"/>
          <w:kern w:val="0"/>
          <w:sz w:val="32"/>
          <w:szCs w:val="32"/>
          <w:lang w:val="en-US" w:eastAsia="zh-CN" w:bidi="ar"/>
        </w:rPr>
        <w:t>外事接待支出0万元。外事接待0批次，0人次（不包括陪同人员），共计支出0万元。</w:t>
      </w:r>
      <w:bookmarkStart w:id="127" w:name="_Toc15377218"/>
      <w:bookmarkStart w:id="128" w:name="_Toc15396610"/>
    </w:p>
    <w:p>
      <w:pPr>
        <w:spacing w:line="600" w:lineRule="exact"/>
        <w:ind w:firstLine="640"/>
        <w:outlineLvl w:val="1"/>
        <w:rPr>
          <w:rStyle w:val="31"/>
          <w:rFonts w:ascii="Times New Roman" w:hAnsi="Times New Roman" w:eastAsia="黑体"/>
          <w:color w:val="auto"/>
          <w:highlight w:val="none"/>
        </w:rPr>
      </w:pPr>
      <w:bookmarkStart w:id="129" w:name="_Toc150656862_WPSOffice_Level2"/>
      <w:r>
        <w:rPr>
          <w:rFonts w:hint="eastAsia" w:ascii="Times New Roman" w:hAnsi="Times New Roman" w:eastAsia="黑体"/>
          <w:color w:val="auto"/>
          <w:sz w:val="32"/>
          <w:szCs w:val="32"/>
          <w:highlight w:val="none"/>
        </w:rPr>
        <w:t>八、</w:t>
      </w:r>
      <w:r>
        <w:rPr>
          <w:rStyle w:val="31"/>
          <w:rFonts w:hint="eastAsia" w:ascii="Times New Roman" w:hAnsi="Times New Roman" w:eastAsia="黑体"/>
          <w:b w:val="0"/>
          <w:color w:val="auto"/>
          <w:highlight w:val="none"/>
        </w:rPr>
        <w:t>政府性基金预算支出决算情况说明</w:t>
      </w:r>
      <w:bookmarkEnd w:id="127"/>
      <w:bookmarkEnd w:id="128"/>
      <w:bookmarkEnd w:id="129"/>
    </w:p>
    <w:p>
      <w:pPr>
        <w:spacing w:line="600" w:lineRule="exact"/>
        <w:ind w:firstLine="640"/>
        <w:rPr>
          <w:rFonts w:hint="eastAsia" w:ascii="方正仿宋_GBK" w:hAnsi="方正仿宋_GBK" w:eastAsia="方正仿宋_GBK" w:cs="方正仿宋_GBK"/>
          <w:color w:val="333333"/>
          <w:spacing w:val="0"/>
          <w:kern w:val="0"/>
          <w:sz w:val="32"/>
          <w:szCs w:val="32"/>
          <w:lang w:val="en-US" w:eastAsia="zh-CN" w:bidi="ar"/>
        </w:rPr>
      </w:pPr>
      <w:bookmarkStart w:id="130" w:name="_Toc16223"/>
      <w:bookmarkStart w:id="131" w:name="_Toc2544"/>
      <w:bookmarkStart w:id="132" w:name="_Toc7530"/>
      <w:r>
        <w:rPr>
          <w:rFonts w:hint="eastAsia" w:ascii="方正仿宋_GBK" w:hAnsi="方正仿宋_GBK" w:eastAsia="方正仿宋_GBK" w:cs="方正仿宋_GBK"/>
          <w:color w:val="333333"/>
          <w:spacing w:val="0"/>
          <w:kern w:val="0"/>
          <w:sz w:val="32"/>
          <w:szCs w:val="32"/>
          <w:lang w:val="en-US" w:eastAsia="zh-CN" w:bidi="ar"/>
        </w:rPr>
        <w:t>2024年度政府性基金预算财政拨款支出0万元。</w:t>
      </w:r>
      <w:bookmarkEnd w:id="130"/>
      <w:bookmarkEnd w:id="131"/>
      <w:bookmarkEnd w:id="132"/>
      <w:bookmarkStart w:id="133" w:name="_Toc15377219"/>
      <w:bookmarkStart w:id="134" w:name="_Toc15396611"/>
    </w:p>
    <w:p>
      <w:pPr>
        <w:numPr>
          <w:ilvl w:val="0"/>
          <w:numId w:val="0"/>
        </w:numPr>
        <w:spacing w:line="600" w:lineRule="exact"/>
        <w:ind w:left="630" w:leftChars="0"/>
        <w:outlineLvl w:val="1"/>
        <w:rPr>
          <w:rStyle w:val="31"/>
          <w:rFonts w:ascii="Times New Roman" w:hAnsi="Times New Roman" w:eastAsia="黑体"/>
          <w:b w:val="0"/>
          <w:color w:val="auto"/>
          <w:highlight w:val="none"/>
        </w:rPr>
      </w:pPr>
      <w:bookmarkStart w:id="135" w:name="_Toc620822329_WPSOffice_Level2"/>
      <w:r>
        <w:rPr>
          <w:rStyle w:val="31"/>
          <w:rFonts w:hint="eastAsia" w:ascii="Times New Roman" w:hAnsi="Times New Roman" w:eastAsia="黑体"/>
          <w:b w:val="0"/>
          <w:color w:val="auto"/>
          <w:highlight w:val="none"/>
          <w:lang w:eastAsia="zh-CN"/>
        </w:rPr>
        <w:t>九、</w:t>
      </w:r>
      <w:r>
        <w:rPr>
          <w:rStyle w:val="31"/>
          <w:rFonts w:hint="eastAsia" w:ascii="Times New Roman" w:hAnsi="Times New Roman" w:eastAsia="黑体"/>
          <w:b w:val="0"/>
          <w:color w:val="auto"/>
          <w:highlight w:val="none"/>
        </w:rPr>
        <w:t>国有资本经营预算支出决算情况说明</w:t>
      </w:r>
      <w:bookmarkEnd w:id="133"/>
      <w:bookmarkEnd w:id="134"/>
      <w:bookmarkEnd w:id="135"/>
    </w:p>
    <w:p>
      <w:pPr>
        <w:spacing w:line="600" w:lineRule="exact"/>
        <w:ind w:firstLine="640"/>
        <w:rPr>
          <w:rFonts w:hint="eastAsia" w:ascii="方正仿宋_GBK" w:hAnsi="方正仿宋_GBK" w:eastAsia="方正仿宋_GBK" w:cs="方正仿宋_GBK"/>
          <w:color w:val="333333"/>
          <w:spacing w:val="0"/>
          <w:kern w:val="0"/>
          <w:sz w:val="32"/>
          <w:szCs w:val="32"/>
          <w:lang w:val="en-US" w:eastAsia="zh-CN" w:bidi="ar"/>
        </w:rPr>
      </w:pPr>
      <w:bookmarkStart w:id="136" w:name="_Toc11675"/>
      <w:bookmarkStart w:id="137" w:name="_Toc15374"/>
      <w:bookmarkStart w:id="138" w:name="_Toc18972"/>
      <w:r>
        <w:rPr>
          <w:rFonts w:hint="eastAsia" w:ascii="方正仿宋_GBK" w:hAnsi="方正仿宋_GBK" w:eastAsia="方正仿宋_GBK" w:cs="方正仿宋_GBK"/>
          <w:color w:val="333333"/>
          <w:spacing w:val="0"/>
          <w:kern w:val="0"/>
          <w:sz w:val="32"/>
          <w:szCs w:val="32"/>
          <w:lang w:val="en-US" w:eastAsia="zh-CN" w:bidi="ar"/>
        </w:rPr>
        <w:t>2024年度国有资本经营预算财政拨款支出0万元。</w:t>
      </w:r>
      <w:bookmarkEnd w:id="136"/>
      <w:bookmarkEnd w:id="137"/>
      <w:bookmarkEnd w:id="138"/>
      <w:bookmarkStart w:id="139" w:name="_Toc15377221"/>
      <w:bookmarkStart w:id="140" w:name="_Toc15396612"/>
    </w:p>
    <w:p>
      <w:pPr>
        <w:numPr>
          <w:ilvl w:val="0"/>
          <w:numId w:val="0"/>
        </w:numPr>
        <w:spacing w:line="600" w:lineRule="exact"/>
        <w:ind w:left="630" w:leftChars="0"/>
        <w:outlineLvl w:val="1"/>
        <w:rPr>
          <w:rStyle w:val="31"/>
          <w:rFonts w:hint="eastAsia" w:ascii="Times New Roman" w:hAnsi="Times New Roman" w:eastAsia="黑体"/>
          <w:b w:val="0"/>
          <w:color w:val="auto"/>
          <w:highlight w:val="none"/>
        </w:rPr>
      </w:pPr>
      <w:bookmarkStart w:id="141" w:name="_Toc320557116_WPSOffice_Level2"/>
      <w:r>
        <w:rPr>
          <w:rStyle w:val="31"/>
          <w:rFonts w:hint="eastAsia" w:ascii="Times New Roman" w:hAnsi="Times New Roman" w:eastAsia="黑体"/>
          <w:b w:val="0"/>
          <w:color w:val="auto"/>
          <w:highlight w:val="none"/>
          <w:lang w:eastAsia="zh-CN"/>
        </w:rPr>
        <w:t>十、</w:t>
      </w:r>
      <w:r>
        <w:rPr>
          <w:rStyle w:val="31"/>
          <w:rFonts w:hint="eastAsia" w:ascii="Times New Roman" w:hAnsi="Times New Roman" w:eastAsia="黑体"/>
          <w:b w:val="0"/>
          <w:color w:val="auto"/>
          <w:highlight w:val="none"/>
        </w:rPr>
        <w:t>其他重要事项的情况说明</w:t>
      </w:r>
      <w:bookmarkEnd w:id="139"/>
      <w:bookmarkEnd w:id="140"/>
      <w:bookmarkEnd w:id="141"/>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142" w:name="_Toc26972"/>
      <w:bookmarkStart w:id="143" w:name="_Toc15377222"/>
      <w:r>
        <w:rPr>
          <w:rFonts w:hint="eastAsia" w:ascii="Times New Roman" w:hAnsi="Times New Roman" w:eastAsia="楷体_GB2312" w:cs="楷体_GB2312"/>
          <w:b/>
          <w:color w:val="auto"/>
          <w:sz w:val="32"/>
          <w:szCs w:val="32"/>
          <w:highlight w:val="none"/>
        </w:rPr>
        <w:t>（一）机关运行经费支出情况</w:t>
      </w:r>
      <w:bookmarkEnd w:id="142"/>
      <w:bookmarkEnd w:id="143"/>
    </w:p>
    <w:p>
      <w:pPr>
        <w:spacing w:line="600" w:lineRule="exact"/>
        <w:ind w:firstLine="640"/>
        <w:rPr>
          <w:rFonts w:hint="eastAsia" w:ascii="方正仿宋_GBK" w:hAnsi="方正仿宋_GBK" w:eastAsia="方正仿宋_GBK" w:cs="方正仿宋_GBK"/>
          <w:color w:val="333333"/>
          <w:spacing w:val="0"/>
          <w:kern w:val="0"/>
          <w:sz w:val="32"/>
          <w:szCs w:val="32"/>
          <w:lang w:val="en-US" w:eastAsia="zh-CN" w:bidi="ar"/>
        </w:rPr>
      </w:pPr>
      <w:r>
        <w:rPr>
          <w:rFonts w:hint="eastAsia" w:ascii="方正仿宋_GBK" w:hAnsi="方正仿宋_GBK" w:eastAsia="方正仿宋_GBK" w:cs="方正仿宋_GBK"/>
          <w:color w:val="333333"/>
          <w:spacing w:val="0"/>
          <w:kern w:val="0"/>
          <w:sz w:val="32"/>
          <w:szCs w:val="32"/>
          <w:lang w:val="en-US" w:eastAsia="zh-CN" w:bidi="ar"/>
        </w:rPr>
        <w:t>2024年度，攀枝花市人民政府办公室机关运行经费支出406.13万元，比2023年度减少2.42万元，下降0.59%。主要原因是市大数据中心机构划转，人员减少。</w:t>
      </w: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144" w:name="_Toc24294"/>
      <w:bookmarkStart w:id="145" w:name="_Toc15377223"/>
      <w:r>
        <w:rPr>
          <w:rFonts w:hint="eastAsia" w:ascii="Times New Roman" w:hAnsi="Times New Roman" w:eastAsia="楷体_GB2312" w:cs="楷体_GB2312"/>
          <w:b/>
          <w:color w:val="auto"/>
          <w:sz w:val="32"/>
          <w:szCs w:val="32"/>
          <w:highlight w:val="none"/>
        </w:rPr>
        <w:t>（二）政府采购支出情况</w:t>
      </w:r>
      <w:bookmarkEnd w:id="144"/>
      <w:bookmarkEnd w:id="145"/>
    </w:p>
    <w:p>
      <w:pPr>
        <w:spacing w:line="600" w:lineRule="exact"/>
        <w:ind w:firstLine="640"/>
        <w:rPr>
          <w:rFonts w:hint="eastAsia" w:ascii="方正仿宋_GBK" w:hAnsi="方正仿宋_GBK" w:eastAsia="方正仿宋_GBK" w:cs="方正仿宋_GBK"/>
          <w:color w:val="333333"/>
          <w:spacing w:val="0"/>
          <w:kern w:val="0"/>
          <w:sz w:val="32"/>
          <w:szCs w:val="32"/>
          <w:lang w:val="en-US" w:eastAsia="zh-CN" w:bidi="ar"/>
        </w:rPr>
      </w:pPr>
      <w:r>
        <w:rPr>
          <w:rFonts w:hint="eastAsia" w:ascii="方正仿宋_GBK" w:hAnsi="方正仿宋_GBK" w:eastAsia="方正仿宋_GBK" w:cs="方正仿宋_GBK"/>
          <w:color w:val="333333"/>
          <w:spacing w:val="0"/>
          <w:kern w:val="0"/>
          <w:sz w:val="32"/>
          <w:szCs w:val="32"/>
          <w:lang w:val="en-US" w:eastAsia="zh-CN" w:bidi="ar"/>
        </w:rPr>
        <w:t>2024年度，攀枝花市人民政府办公室政府采购支出总额60万元，其中：政府采购货物支出0万元、政府采购工程支出0万元、政府采购服务支出60万元。主要用于</w:t>
      </w:r>
      <w:r>
        <w:rPr>
          <w:rFonts w:hint="default" w:ascii="方正仿宋_GBK" w:hAnsi="方正仿宋_GBK" w:eastAsia="方正仿宋_GBK" w:cs="方正仿宋_GBK"/>
          <w:color w:val="333333"/>
          <w:spacing w:val="0"/>
          <w:kern w:val="0"/>
          <w:sz w:val="32"/>
          <w:szCs w:val="32"/>
          <w:lang w:val="en-US" w:eastAsia="zh-CN" w:bidi="ar"/>
        </w:rPr>
        <w:t>全市网站集约化平台运维和安全防护、政府网站和政务新媒体绩效督查评估、政务云平台运维、信息系统安全等级保护测评服务、物业、安保等工作。</w:t>
      </w:r>
      <w:r>
        <w:rPr>
          <w:rFonts w:hint="eastAsia" w:ascii="方正仿宋_GBK" w:hAnsi="方正仿宋_GBK" w:eastAsia="方正仿宋_GBK" w:cs="方正仿宋_GBK"/>
          <w:color w:val="333333"/>
          <w:spacing w:val="0"/>
          <w:kern w:val="0"/>
          <w:sz w:val="32"/>
          <w:szCs w:val="32"/>
          <w:lang w:val="en-US" w:eastAsia="zh-CN" w:bidi="ar"/>
        </w:rPr>
        <w:t>授予中小企业合同金额60万元，占政府采购支出总额的100%，其中：授予小微企业合同金额0万元，占政府采购支出总额的0%。</w:t>
      </w: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146" w:name="_Toc15377224"/>
      <w:bookmarkStart w:id="147" w:name="_Toc13779"/>
      <w:r>
        <w:rPr>
          <w:rFonts w:hint="eastAsia" w:ascii="Times New Roman" w:hAnsi="Times New Roman" w:eastAsia="楷体_GB2312" w:cs="楷体_GB2312"/>
          <w:b/>
          <w:color w:val="auto"/>
          <w:sz w:val="32"/>
          <w:szCs w:val="32"/>
          <w:highlight w:val="none"/>
        </w:rPr>
        <w:t>（三）国有资产占有使用情况</w:t>
      </w:r>
      <w:bookmarkEnd w:id="146"/>
      <w:bookmarkEnd w:id="147"/>
    </w:p>
    <w:p>
      <w:pPr>
        <w:spacing w:line="600" w:lineRule="exact"/>
        <w:ind w:firstLine="640"/>
        <w:rPr>
          <w:rFonts w:hint="eastAsia" w:ascii="方正仿宋_GBK" w:hAnsi="方正仿宋_GBK" w:eastAsia="方正仿宋_GBK" w:cs="方正仿宋_GBK"/>
          <w:color w:val="333333"/>
          <w:spacing w:val="0"/>
          <w:kern w:val="0"/>
          <w:sz w:val="32"/>
          <w:szCs w:val="32"/>
          <w:lang w:val="en-US" w:eastAsia="zh-CN" w:bidi="ar"/>
        </w:rPr>
      </w:pPr>
      <w:r>
        <w:rPr>
          <w:rFonts w:hint="eastAsia" w:ascii="方正仿宋_GBK" w:hAnsi="方正仿宋_GBK" w:eastAsia="方正仿宋_GBK" w:cs="方正仿宋_GBK"/>
          <w:color w:val="333333"/>
          <w:spacing w:val="0"/>
          <w:kern w:val="0"/>
          <w:sz w:val="32"/>
          <w:szCs w:val="32"/>
          <w:lang w:val="en-US" w:eastAsia="zh-CN" w:bidi="ar"/>
        </w:rPr>
        <w:t>截至2024年12月31日，攀枝花市人民政府办公室共有车辆15辆，其中：主要负责人用车1辆、机要通信用车0辆、应急保障用车11辆、其他用车3辆，其他用车主要是用于</w:t>
      </w:r>
      <w:r>
        <w:rPr>
          <w:rFonts w:hint="default" w:ascii="方正仿宋_GBK" w:hAnsi="方正仿宋_GBK" w:eastAsia="方正仿宋_GBK" w:cs="方正仿宋_GBK"/>
          <w:color w:val="333333"/>
          <w:spacing w:val="0"/>
          <w:kern w:val="0"/>
          <w:sz w:val="32"/>
          <w:szCs w:val="32"/>
          <w:lang w:val="en-US" w:eastAsia="zh-CN" w:bidi="ar"/>
        </w:rPr>
        <w:t>下乡调研、督查督办等业务工作</w:t>
      </w:r>
      <w:r>
        <w:rPr>
          <w:rFonts w:hint="eastAsia" w:ascii="方正仿宋_GBK" w:hAnsi="方正仿宋_GBK" w:eastAsia="方正仿宋_GBK" w:cs="方正仿宋_GBK"/>
          <w:color w:val="333333"/>
          <w:spacing w:val="0"/>
          <w:kern w:val="0"/>
          <w:sz w:val="32"/>
          <w:szCs w:val="32"/>
          <w:lang w:val="en-US" w:eastAsia="zh-CN" w:bidi="ar"/>
        </w:rPr>
        <w:t>。单价100万元（含）以上设备（不含车辆）0台（套）。</w:t>
      </w: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148" w:name="_Toc8924"/>
      <w:r>
        <w:rPr>
          <w:rFonts w:hint="eastAsia" w:ascii="Times New Roman" w:hAnsi="Times New Roman" w:eastAsia="楷体_GB2312" w:cs="楷体_GB2312"/>
          <w:b/>
          <w:color w:val="auto"/>
          <w:sz w:val="32"/>
          <w:szCs w:val="32"/>
          <w:highlight w:val="none"/>
        </w:rPr>
        <w:t>（四）预算绩效管理情况</w:t>
      </w:r>
      <w:bookmarkEnd w:id="148"/>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方正仿宋_GBK" w:hAnsi="方正仿宋_GBK" w:eastAsia="方正仿宋_GBK" w:cs="方正仿宋_GBK"/>
          <w:color w:val="333333"/>
          <w:spacing w:val="0"/>
          <w:kern w:val="0"/>
          <w:sz w:val="32"/>
          <w:szCs w:val="32"/>
          <w:lang w:val="en-US" w:eastAsia="zh-CN" w:bidi="ar"/>
        </w:rPr>
        <w:t>根据预算绩效管理要求，攀枝花市人民政府办公室在2024年度预算编制阶段，组织对</w:t>
      </w:r>
      <w:r>
        <w:rPr>
          <w:rFonts w:hint="default" w:ascii="方正仿宋_GBK" w:hAnsi="方正仿宋_GBK" w:eastAsia="方正仿宋_GBK" w:cs="方正仿宋_GBK"/>
          <w:color w:val="333333"/>
          <w:spacing w:val="0"/>
          <w:kern w:val="0"/>
          <w:sz w:val="32"/>
          <w:szCs w:val="32"/>
          <w:lang w:val="en-US" w:eastAsia="zh-CN" w:bidi="ar"/>
        </w:rPr>
        <w:t>全市政府网站集约化平台运维和安全防护项目、信息系统安全等级保护测评服务、综合业务等</w:t>
      </w:r>
      <w:r>
        <w:rPr>
          <w:rFonts w:hint="eastAsia" w:ascii="方正仿宋_GBK" w:hAnsi="方正仿宋_GBK" w:eastAsia="方正仿宋_GBK" w:cs="方正仿宋_GBK"/>
          <w:color w:val="333333"/>
          <w:spacing w:val="0"/>
          <w:kern w:val="0"/>
          <w:sz w:val="32"/>
          <w:szCs w:val="32"/>
          <w:lang w:val="en-US" w:eastAsia="zh-CN" w:bidi="ar"/>
        </w:rPr>
        <w:t>11</w:t>
      </w:r>
      <w:r>
        <w:rPr>
          <w:rFonts w:hint="default" w:ascii="方正仿宋_GBK" w:hAnsi="方正仿宋_GBK" w:eastAsia="方正仿宋_GBK" w:cs="方正仿宋_GBK"/>
          <w:color w:val="333333"/>
          <w:spacing w:val="0"/>
          <w:kern w:val="0"/>
          <w:sz w:val="32"/>
          <w:szCs w:val="32"/>
          <w:lang w:val="en-US" w:eastAsia="zh-CN" w:bidi="ar"/>
        </w:rPr>
        <w:t>个</w:t>
      </w:r>
      <w:r>
        <w:rPr>
          <w:rFonts w:hint="eastAsia" w:ascii="方正仿宋_GBK" w:hAnsi="方正仿宋_GBK" w:eastAsia="方正仿宋_GBK" w:cs="方正仿宋_GBK"/>
          <w:color w:val="333333"/>
          <w:spacing w:val="0"/>
          <w:kern w:val="0"/>
          <w:sz w:val="32"/>
          <w:szCs w:val="32"/>
          <w:lang w:val="en-US" w:eastAsia="zh-CN" w:bidi="ar"/>
        </w:rPr>
        <w:t>项目开展了预算事前绩效评估，对11个项目编制了绩效目标，预算执行过程中，选取11个项目开展绩效监控。</w:t>
      </w:r>
      <w:r>
        <w:rPr>
          <w:rFonts w:hint="default" w:ascii="方正仿宋_GBK" w:hAnsi="方正仿宋_GBK" w:eastAsia="方正仿宋_GBK" w:cs="方正仿宋_GBK"/>
          <w:color w:val="333333"/>
          <w:spacing w:val="0"/>
          <w:kern w:val="0"/>
          <w:sz w:val="32"/>
          <w:szCs w:val="32"/>
          <w:lang w:val="en-US" w:eastAsia="zh-CN" w:bidi="ar"/>
        </w:rPr>
        <w:t>绩效自评表详见第四部分附件</w:t>
      </w:r>
      <w:r>
        <w:rPr>
          <w:rFonts w:hint="eastAsia" w:ascii="方正仿宋_GBK" w:hAnsi="方正仿宋_GBK" w:eastAsia="方正仿宋_GBK" w:cs="方正仿宋_GBK"/>
          <w:color w:val="333333"/>
          <w:spacing w:val="0"/>
          <w:kern w:val="0"/>
          <w:sz w:val="32"/>
          <w:szCs w:val="32"/>
          <w:lang w:val="en-US" w:eastAsia="zh-CN" w:bidi="ar"/>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bookmarkStart w:id="149" w:name="_Toc15377225"/>
      <w:bookmarkStart w:id="150" w:name="_Toc15396613"/>
      <w:bookmarkStart w:id="151" w:name="_Toc2005162551_WPSOffice_Level1"/>
      <w:r>
        <w:rPr>
          <w:rFonts w:hint="eastAsia" w:ascii="Times New Roman" w:hAnsi="Times New Roman" w:eastAsia="黑体"/>
          <w:color w:val="auto"/>
          <w:sz w:val="44"/>
          <w:szCs w:val="44"/>
          <w:highlight w:val="none"/>
        </w:rPr>
        <w:t>第</w:t>
      </w:r>
      <w:r>
        <w:rPr>
          <w:rFonts w:hint="eastAsia" w:eastAsia="黑体"/>
          <w:color w:val="auto"/>
          <w:sz w:val="44"/>
          <w:szCs w:val="44"/>
          <w:highlight w:val="none"/>
          <w:lang w:eastAsia="zh-CN"/>
        </w:rPr>
        <w:t>三</w:t>
      </w:r>
      <w:r>
        <w:rPr>
          <w:rFonts w:hint="eastAsia" w:ascii="Times New Roman" w:hAnsi="Times New Roman" w:eastAsia="黑体"/>
          <w:color w:val="auto"/>
          <w:sz w:val="44"/>
          <w:szCs w:val="44"/>
          <w:highlight w:val="none"/>
        </w:rPr>
        <w:t>部分</w:t>
      </w:r>
      <w:r>
        <w:rPr>
          <w:rFonts w:hint="eastAsia" w:ascii="Times New Roman" w:hAnsi="Times New Roman" w:eastAsia="黑体"/>
          <w:color w:val="auto"/>
          <w:sz w:val="44"/>
          <w:szCs w:val="44"/>
          <w:highlight w:val="none"/>
          <w:lang w:val="en-US" w:eastAsia="zh-CN"/>
        </w:rPr>
        <w:t xml:space="preserve"> </w:t>
      </w:r>
      <w:r>
        <w:rPr>
          <w:rFonts w:hint="eastAsia"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名词解释</w:t>
      </w:r>
      <w:bookmarkEnd w:id="149"/>
      <w:bookmarkEnd w:id="150"/>
      <w:bookmarkEnd w:id="151"/>
    </w:p>
    <w:p>
      <w:pPr>
        <w:spacing w:line="600" w:lineRule="exact"/>
        <w:jc w:val="left"/>
        <w:rPr>
          <w:rFonts w:ascii="Times New Roman" w:hAnsi="Times New Roman"/>
          <w:b/>
          <w:color w:val="auto"/>
          <w:sz w:val="44"/>
          <w:szCs w:val="44"/>
          <w:highlight w:val="none"/>
        </w:rPr>
      </w:pPr>
    </w:p>
    <w:p>
      <w:pPr>
        <w:pStyle w:val="28"/>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1"/>
        <w:rPr>
          <w:rFonts w:hint="default" w:ascii="Times New Roman" w:hAnsi="Times New Roman" w:eastAsia="仿宋_GB2312" w:cs="Times New Roman"/>
          <w:color w:val="auto"/>
          <w:sz w:val="32"/>
          <w:szCs w:val="32"/>
        </w:rPr>
      </w:pPr>
      <w:bookmarkStart w:id="152" w:name="_Toc26273"/>
      <w:bookmarkStart w:id="153" w:name="_Toc29240"/>
      <w:bookmarkStart w:id="154" w:name="_Toc11348"/>
      <w:bookmarkStart w:id="155" w:name="_Toc21893"/>
      <w:bookmarkStart w:id="156" w:name="_Toc22864"/>
      <w:bookmarkStart w:id="157" w:name="_Toc24344"/>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财政拨款收入：指单位从同级财政部门取得的财政预算资金。</w:t>
      </w:r>
      <w:bookmarkEnd w:id="152"/>
      <w:bookmarkEnd w:id="153"/>
      <w:bookmarkEnd w:id="154"/>
      <w:bookmarkEnd w:id="155"/>
      <w:bookmarkEnd w:id="156"/>
      <w:bookmarkEnd w:id="157"/>
    </w:p>
    <w:p>
      <w:pPr>
        <w:pStyle w:val="28"/>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2．事业收入：指事业单位开展专业业务活动及辅助活动取得的收入。</w:t>
      </w:r>
    </w:p>
    <w:p>
      <w:pPr>
        <w:pStyle w:val="28"/>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3．经营收入：指事业单位在专业业务活动及其辅助活动之外开展非独立核算经营活动取得的收入。</w:t>
      </w:r>
    </w:p>
    <w:p>
      <w:pPr>
        <w:pStyle w:val="28"/>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1"/>
        <w:rPr>
          <w:rFonts w:hint="default" w:ascii="Times New Roman" w:hAnsi="Times New Roman" w:eastAsia="仿宋_GB2312" w:cs="Times New Roman"/>
          <w:color w:val="auto"/>
          <w:sz w:val="32"/>
          <w:szCs w:val="32"/>
        </w:rPr>
      </w:pPr>
      <w:bookmarkStart w:id="158" w:name="_Toc15928"/>
      <w:bookmarkStart w:id="159" w:name="_Toc1682"/>
      <w:bookmarkStart w:id="160" w:name="_Toc8778"/>
      <w:bookmarkStart w:id="161" w:name="_Toc28077"/>
      <w:bookmarkStart w:id="162" w:name="_Toc5947"/>
      <w:bookmarkStart w:id="163" w:name="_Toc29700"/>
      <w:r>
        <w:rPr>
          <w:rFonts w:hint="default" w:ascii="Times New Roman" w:hAnsi="Times New Roman" w:eastAsia="仿宋_GB2312" w:cs="Times New Roman"/>
          <w:color w:val="auto"/>
          <w:sz w:val="32"/>
          <w:szCs w:val="32"/>
        </w:rPr>
        <w:t>4．其他收入：指单位取得的除上述收入以外的各项收入。</w:t>
      </w:r>
      <w:bookmarkEnd w:id="158"/>
      <w:bookmarkEnd w:id="159"/>
      <w:bookmarkEnd w:id="160"/>
      <w:bookmarkEnd w:id="161"/>
      <w:bookmarkEnd w:id="162"/>
      <w:bookmarkEnd w:id="163"/>
    </w:p>
    <w:p>
      <w:pPr>
        <w:pStyle w:val="28"/>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．年初结转和结余：指以前年度尚未完成、结转到本年按有关规定继续使用的资金。</w:t>
      </w:r>
    </w:p>
    <w:p>
      <w:pPr>
        <w:pStyle w:val="28"/>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．年末结转和结余：指单位按有关规定结转到下年或以后年度继续使用的资金。</w:t>
      </w:r>
    </w:p>
    <w:p>
      <w:pPr>
        <w:pStyle w:val="28"/>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．一般公共服务支出（类）政府办公厅（室）及相关机构事务（款）行政运行（项）：反映行政单位（包括实行公务员管理的事业单位）的基本支出。</w:t>
      </w:r>
    </w:p>
    <w:p>
      <w:pPr>
        <w:pStyle w:val="28"/>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．一般公共服务支出（类）政府办公厅（室）及相关机构事务（款）一般行政管理事务（项）：反映行政单位（包括实行公务员管理的事业单位）未单独设置项级科目的其他项目支出。</w:t>
      </w:r>
    </w:p>
    <w:p>
      <w:pPr>
        <w:pStyle w:val="28"/>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．一般公共服务支出（类）政府办公厅（室）及相关机构事务（款）事业运行（项）：</w:t>
      </w:r>
      <w:r>
        <w:rPr>
          <w:rFonts w:hint="default" w:ascii="Times New Roman" w:hAnsi="Times New Roman" w:eastAsia="仿宋_GB2312" w:cs="Times New Roman"/>
          <w:color w:val="auto"/>
          <w:sz w:val="32"/>
          <w:szCs w:val="32"/>
          <w:lang w:val="en-US" w:eastAsia="zh-CN"/>
        </w:rPr>
        <w:t>反映事业单位的基本支出，不包括行政单位（包括实行公务员管理的事业单位）后勤服务中心、医务室等附属事业单位。</w:t>
      </w:r>
    </w:p>
    <w:p>
      <w:pPr>
        <w:pStyle w:val="28"/>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一般公共服务支出</w:t>
      </w:r>
      <w:r>
        <w:rPr>
          <w:rFonts w:hint="default" w:ascii="Times New Roman" w:hAnsi="Times New Roman" w:eastAsia="仿宋_GB2312" w:cs="Times New Roman"/>
          <w:color w:val="auto"/>
          <w:sz w:val="32"/>
          <w:szCs w:val="32"/>
          <w:lang w:val="en-US" w:eastAsia="zh-CN"/>
        </w:rPr>
        <w:t>（类）组织事务（款）其他组织事务支出（项）：反映其他用于</w:t>
      </w:r>
      <w:r>
        <w:rPr>
          <w:rFonts w:hint="eastAsia" w:ascii="Times New Roman" w:hAnsi="Times New Roman" w:eastAsia="仿宋_GB2312" w:cs="Times New Roman"/>
          <w:color w:val="auto"/>
          <w:sz w:val="32"/>
          <w:szCs w:val="32"/>
          <w:lang w:val="en-US" w:eastAsia="zh-CN"/>
        </w:rPr>
        <w:t>中国共产党组织部门的事务</w:t>
      </w:r>
      <w:r>
        <w:rPr>
          <w:rFonts w:hint="default" w:ascii="Times New Roman" w:hAnsi="Times New Roman" w:eastAsia="仿宋_GB2312" w:cs="Times New Roman"/>
          <w:color w:val="auto"/>
          <w:sz w:val="32"/>
          <w:szCs w:val="32"/>
          <w:lang w:val="en-US" w:eastAsia="zh-CN"/>
        </w:rPr>
        <w:t>支出。</w:t>
      </w:r>
    </w:p>
    <w:p>
      <w:pPr>
        <w:pStyle w:val="28"/>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11</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社会保障和就业支出</w:t>
      </w:r>
      <w:r>
        <w:rPr>
          <w:rFonts w:hint="default" w:ascii="Times New Roman" w:hAnsi="Times New Roman" w:eastAsia="仿宋_GB2312" w:cs="Times New Roman"/>
          <w:color w:val="auto"/>
          <w:sz w:val="32"/>
          <w:szCs w:val="32"/>
        </w:rPr>
        <w:t>（类）人力资源和社会保障管理事务（款）其他人力资源和社会保障管理事务支出（项）</w:t>
      </w:r>
      <w:r>
        <w:rPr>
          <w:rFonts w:hint="default" w:ascii="Times New Roman" w:hAnsi="Times New Roman" w:eastAsia="仿宋_GB2312" w:cs="Times New Roman"/>
          <w:color w:val="auto"/>
          <w:sz w:val="32"/>
          <w:szCs w:val="32"/>
          <w:lang w:eastAsia="zh-CN"/>
        </w:rPr>
        <w:t>：反映其他用于人力资源和社会保障管理事务方面的支出。。</w:t>
      </w:r>
    </w:p>
    <w:p>
      <w:pPr>
        <w:pStyle w:val="28"/>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社会保障和就业支出</w:t>
      </w:r>
      <w:r>
        <w:rPr>
          <w:rFonts w:hint="default" w:ascii="Times New Roman" w:hAnsi="Times New Roman" w:eastAsia="仿宋_GB2312" w:cs="Times New Roman"/>
          <w:color w:val="auto"/>
          <w:sz w:val="32"/>
          <w:szCs w:val="32"/>
        </w:rPr>
        <w:t>（类）行政事业单位养老支出（款）行政单位离退休（项）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反映行政单位（包括实行公务员管理的事业单位）开支的离退休经费。</w:t>
      </w:r>
    </w:p>
    <w:p>
      <w:pPr>
        <w:pStyle w:val="28"/>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13．社会保障和就业支出（类）行政事业单位养老支出（款）事业单位离退休（项）：反应事业单位开支的离退休经费。</w:t>
      </w:r>
    </w:p>
    <w:p>
      <w:pPr>
        <w:pStyle w:val="28"/>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14</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社会保障和就业支出</w:t>
      </w:r>
      <w:r>
        <w:rPr>
          <w:rFonts w:hint="default" w:ascii="Times New Roman" w:hAnsi="Times New Roman" w:eastAsia="仿宋_GB2312" w:cs="Times New Roman"/>
          <w:color w:val="auto"/>
          <w:sz w:val="32"/>
          <w:szCs w:val="32"/>
        </w:rPr>
        <w:t>（类）行政事业单位养老支出（款）机关事业单位基本养老保险缴费支出（项）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反映机关事业单位实施养老保险制度由单位缴纳的基本养老保险费支出。</w:t>
      </w:r>
    </w:p>
    <w:p>
      <w:pPr>
        <w:pStyle w:val="28"/>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社会保障和就业支出</w:t>
      </w:r>
      <w:r>
        <w:rPr>
          <w:rFonts w:hint="default" w:ascii="Times New Roman" w:hAnsi="Times New Roman" w:eastAsia="仿宋_GB2312" w:cs="Times New Roman"/>
          <w:color w:val="auto"/>
          <w:sz w:val="32"/>
          <w:szCs w:val="32"/>
        </w:rPr>
        <w:t>（类）行政事业单位养老支出（款）机关事业单位</w:t>
      </w:r>
      <w:r>
        <w:rPr>
          <w:rFonts w:hint="default" w:ascii="Times New Roman" w:hAnsi="Times New Roman" w:eastAsia="仿宋_GB2312" w:cs="Times New Roman"/>
          <w:color w:val="auto"/>
          <w:sz w:val="32"/>
          <w:szCs w:val="32"/>
          <w:lang w:val="en-US" w:eastAsia="zh-CN"/>
        </w:rPr>
        <w:t>职业年金缴费</w:t>
      </w:r>
      <w:r>
        <w:rPr>
          <w:rFonts w:hint="default" w:ascii="Times New Roman" w:hAnsi="Times New Roman" w:eastAsia="仿宋_GB2312" w:cs="Times New Roman"/>
          <w:color w:val="auto"/>
          <w:sz w:val="32"/>
          <w:szCs w:val="32"/>
        </w:rPr>
        <w:t>支出（项）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反映机关事业单位实施养老保险制度由单位实际缴纳的职业年金支出。</w:t>
      </w:r>
    </w:p>
    <w:p>
      <w:pPr>
        <w:pStyle w:val="28"/>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16</w:t>
      </w:r>
      <w:r>
        <w:rPr>
          <w:rFonts w:hint="default" w:ascii="Times New Roman" w:hAnsi="Times New Roman" w:eastAsia="仿宋_GB2312" w:cs="Times New Roman"/>
          <w:color w:val="auto"/>
          <w:sz w:val="32"/>
          <w:szCs w:val="32"/>
        </w:rPr>
        <w:t>．社会保障和就业支出（类）抚恤（款）死亡抚恤（项）：反映按规定用于烈士和牺牲、病故人员家属的一次性和定期抚恤金以及丧葬补助费。</w:t>
      </w:r>
    </w:p>
    <w:p>
      <w:pPr>
        <w:pStyle w:val="28"/>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17</w:t>
      </w:r>
      <w:r>
        <w:rPr>
          <w:rFonts w:hint="default" w:ascii="Times New Roman" w:hAnsi="Times New Roman" w:eastAsia="仿宋_GB2312" w:cs="Times New Roman"/>
          <w:color w:val="auto"/>
          <w:sz w:val="32"/>
          <w:szCs w:val="32"/>
        </w:rPr>
        <w:t>．社会保障和就业支出（类）社会福利（款）儿童福利（项）：反映对儿童提供福利服务方面的支出。</w:t>
      </w:r>
    </w:p>
    <w:p>
      <w:pPr>
        <w:pStyle w:val="28"/>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18</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卫生健康</w:t>
      </w:r>
      <w:r>
        <w:rPr>
          <w:rFonts w:hint="default" w:ascii="Times New Roman" w:hAnsi="Times New Roman" w:eastAsia="仿宋_GB2312" w:cs="Times New Roman"/>
          <w:color w:val="auto"/>
          <w:sz w:val="32"/>
          <w:szCs w:val="32"/>
        </w:rPr>
        <w:t>（类）行政事业单位医疗（款）行政单位医疗（项）：反映财政部门安排的行政单位(包括实行公务员管理的事业单位)基本医疗保险缴费经费，未参加医疗保险的行政单位的公费医疗经费，按国家规定享受离休人员、红军老战士待遇人员的医疗经费。</w:t>
      </w:r>
    </w:p>
    <w:p>
      <w:pPr>
        <w:pStyle w:val="28"/>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19</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卫生健康</w:t>
      </w:r>
      <w:r>
        <w:rPr>
          <w:rFonts w:hint="default" w:ascii="Times New Roman" w:hAnsi="Times New Roman" w:eastAsia="仿宋_GB2312" w:cs="Times New Roman"/>
          <w:color w:val="auto"/>
          <w:sz w:val="32"/>
          <w:szCs w:val="32"/>
        </w:rPr>
        <w:t>（类）行政事业单位医疗（款）</w:t>
      </w:r>
      <w:r>
        <w:rPr>
          <w:rFonts w:hint="default" w:ascii="Times New Roman" w:hAnsi="Times New Roman" w:eastAsia="仿宋_GB2312" w:cs="Times New Roman"/>
          <w:color w:val="auto"/>
          <w:sz w:val="32"/>
          <w:szCs w:val="32"/>
          <w:lang w:val="en-US" w:eastAsia="zh-CN"/>
        </w:rPr>
        <w:t>事业</w:t>
      </w:r>
      <w:r>
        <w:rPr>
          <w:rFonts w:hint="default" w:ascii="Times New Roman" w:hAnsi="Times New Roman" w:eastAsia="仿宋_GB2312" w:cs="Times New Roman"/>
          <w:color w:val="auto"/>
          <w:sz w:val="32"/>
          <w:szCs w:val="32"/>
        </w:rPr>
        <w:t>单位医疗（项）：反映财政部门安排的事业单位基本医疗保险缴费经费，未参加医疗保险的事业单位的公费医疗经费，按国家规定享受离休人员待遇的医疗经费。</w:t>
      </w:r>
    </w:p>
    <w:p>
      <w:pPr>
        <w:pStyle w:val="28"/>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卫生健康</w:t>
      </w:r>
      <w:r>
        <w:rPr>
          <w:rFonts w:hint="default" w:ascii="Times New Roman" w:hAnsi="Times New Roman" w:eastAsia="仿宋_GB2312" w:cs="Times New Roman"/>
          <w:color w:val="auto"/>
          <w:sz w:val="32"/>
          <w:szCs w:val="32"/>
        </w:rPr>
        <w:t>（类）行政事业单位医疗（款）</w:t>
      </w:r>
      <w:r>
        <w:rPr>
          <w:rFonts w:hint="default" w:ascii="Times New Roman" w:hAnsi="Times New Roman" w:eastAsia="仿宋_GB2312" w:cs="Times New Roman"/>
          <w:color w:val="auto"/>
          <w:sz w:val="32"/>
          <w:szCs w:val="32"/>
          <w:lang w:val="en-US" w:eastAsia="zh-CN"/>
        </w:rPr>
        <w:t>公务员医疗补助</w:t>
      </w:r>
      <w:r>
        <w:rPr>
          <w:rFonts w:hint="default" w:ascii="Times New Roman" w:hAnsi="Times New Roman" w:eastAsia="仿宋_GB2312" w:cs="Times New Roman"/>
          <w:color w:val="auto"/>
          <w:sz w:val="32"/>
          <w:szCs w:val="32"/>
        </w:rPr>
        <w:t>（项）：反映财政部门安排的公务员医疗补助经费。</w:t>
      </w:r>
    </w:p>
    <w:p>
      <w:pPr>
        <w:pStyle w:val="28"/>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21</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卫生健康</w:t>
      </w:r>
      <w:r>
        <w:rPr>
          <w:rFonts w:hint="default" w:ascii="Times New Roman" w:hAnsi="Times New Roman" w:eastAsia="仿宋_GB2312" w:cs="Times New Roman"/>
          <w:color w:val="auto"/>
          <w:sz w:val="32"/>
          <w:szCs w:val="32"/>
        </w:rPr>
        <w:t>（类）行政事业单位医疗（款）</w:t>
      </w:r>
      <w:r>
        <w:rPr>
          <w:rFonts w:hint="default" w:ascii="Times New Roman" w:hAnsi="Times New Roman" w:eastAsia="仿宋_GB2312" w:cs="Times New Roman"/>
          <w:color w:val="auto"/>
          <w:sz w:val="32"/>
          <w:szCs w:val="32"/>
          <w:lang w:val="en-US" w:eastAsia="zh-CN"/>
        </w:rPr>
        <w:t>其他行政事业单位医疗支出</w:t>
      </w:r>
      <w:r>
        <w:rPr>
          <w:rFonts w:hint="default" w:ascii="Times New Roman" w:hAnsi="Times New Roman" w:eastAsia="仿宋_GB2312" w:cs="Times New Roman"/>
          <w:color w:val="auto"/>
          <w:sz w:val="32"/>
          <w:szCs w:val="32"/>
        </w:rPr>
        <w:t>（项）：反映其他用于行政事业单位医疗方面的支出。</w:t>
      </w:r>
    </w:p>
    <w:p>
      <w:pPr>
        <w:pStyle w:val="28"/>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22</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卫生健康</w:t>
      </w:r>
      <w:r>
        <w:rPr>
          <w:rFonts w:hint="default" w:ascii="Times New Roman" w:hAnsi="Times New Roman" w:eastAsia="仿宋_GB2312" w:cs="Times New Roman"/>
          <w:color w:val="auto"/>
          <w:sz w:val="32"/>
          <w:szCs w:val="32"/>
        </w:rPr>
        <w:t>（类）其他卫生健康支出（款）</w:t>
      </w:r>
      <w:r>
        <w:rPr>
          <w:rFonts w:hint="default" w:ascii="Times New Roman" w:hAnsi="Times New Roman" w:eastAsia="仿宋_GB2312" w:cs="Times New Roman"/>
          <w:color w:val="auto"/>
          <w:sz w:val="32"/>
          <w:szCs w:val="32"/>
          <w:lang w:val="en-US" w:eastAsia="zh-CN"/>
        </w:rPr>
        <w:t>其他卫生健康支出</w:t>
      </w:r>
      <w:r>
        <w:rPr>
          <w:rFonts w:hint="default" w:ascii="Times New Roman" w:hAnsi="Times New Roman" w:eastAsia="仿宋_GB2312" w:cs="Times New Roman"/>
          <w:color w:val="auto"/>
          <w:sz w:val="32"/>
          <w:szCs w:val="32"/>
        </w:rPr>
        <w:t>（项）：反映其他用于卫生健康方面的支出。</w:t>
      </w:r>
    </w:p>
    <w:p>
      <w:pPr>
        <w:pStyle w:val="28"/>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住房保障支出（类）住房改革支出（款）住房公积金（项）：反映行政事业单位按人力资源和社会保障部、财政部规定的基本工资和津贴补贴以及规定比例为职工缴纳的住房公积金。</w:t>
      </w:r>
    </w:p>
    <w:p>
      <w:pPr>
        <w:pStyle w:val="28"/>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基本支出：指为保障机构正常运转、完成日常工作任务而发生的人员支出和公用支出。</w:t>
      </w:r>
    </w:p>
    <w:p>
      <w:pPr>
        <w:pStyle w:val="28"/>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项目支出：指在基本支出之外为完成特定行政任务和事业发展目标所发生的支出。</w:t>
      </w:r>
    </w:p>
    <w:p>
      <w:pPr>
        <w:pStyle w:val="28"/>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经营支出：指事业单位在专业业务活动及其辅助活动之外开展非独立核算经营活动发生的支出。</w:t>
      </w:r>
    </w:p>
    <w:p>
      <w:pPr>
        <w:pStyle w:val="28"/>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“三公”经费：指单位用财政拨款安排的因公出国（境）费、公务用车购置及运行费和公务接待费。其中，因公出国（境）</w:t>
      </w:r>
      <w:bookmarkStart w:id="164" w:name="hmjd_error_2_0_费_黑马提示无建议_11309"/>
      <w:r>
        <w:rPr>
          <w:rFonts w:hint="default" w:ascii="Times New Roman" w:hAnsi="Times New Roman" w:eastAsia="仿宋_GB2312" w:cs="Times New Roman"/>
          <w:color w:val="auto"/>
          <w:sz w:val="32"/>
          <w:szCs w:val="32"/>
          <w:lang w:val="en-US" w:eastAsia="zh-CN"/>
        </w:rPr>
        <w:t>费</w:t>
      </w:r>
      <w:bookmarkEnd w:id="164"/>
      <w:r>
        <w:rPr>
          <w:rFonts w:hint="default" w:ascii="Times New Roman" w:hAnsi="Times New Roman" w:eastAsia="仿宋_GB2312" w:cs="Times New Roman"/>
          <w:color w:val="auto"/>
          <w:sz w:val="32"/>
          <w:szCs w:val="32"/>
          <w:lang w:val="en-US" w:eastAsia="zh-CN"/>
        </w:rPr>
        <w:t>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8"/>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28</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numPr>
          <w:ilvl w:val="0"/>
          <w:numId w:val="0"/>
        </w:numPr>
        <w:spacing w:line="600" w:lineRule="exact"/>
        <w:jc w:val="center"/>
        <w:outlineLvl w:val="0"/>
        <w:rPr>
          <w:rStyle w:val="30"/>
          <w:rFonts w:hint="eastAsia" w:ascii="Times New Roman" w:hAnsi="Times New Roman" w:eastAsia="黑体"/>
          <w:b w:val="0"/>
          <w:color w:val="auto"/>
          <w:highlight w:val="none"/>
          <w:lang w:eastAsia="zh-CN"/>
        </w:rPr>
      </w:pPr>
      <w:bookmarkStart w:id="165" w:name="_Toc15377226"/>
      <w:r>
        <w:rPr>
          <w:rFonts w:hint="eastAsia" w:ascii="Times New Roman" w:hAnsi="Times New Roman" w:eastAsia="仿宋_GB2312" w:cs="仿宋_GB2312"/>
          <w:color w:val="auto"/>
          <w:kern w:val="2"/>
          <w:sz w:val="32"/>
          <w:szCs w:val="32"/>
          <w:highlight w:val="none"/>
          <w:lang w:val="en-US" w:eastAsia="zh-CN" w:bidi="ar-SA"/>
        </w:rPr>
        <w:br w:type="page"/>
      </w:r>
      <w:bookmarkStart w:id="166" w:name="_Toc15396614"/>
      <w:bookmarkStart w:id="167" w:name="_Toc1705856527_WPSOffice_Level1"/>
      <w:r>
        <w:rPr>
          <w:rFonts w:hint="eastAsia" w:ascii="Times New Roman" w:hAnsi="Times New Roman" w:eastAsia="黑体"/>
          <w:color w:val="auto"/>
          <w:sz w:val="44"/>
          <w:szCs w:val="44"/>
          <w:highlight w:val="none"/>
        </w:rPr>
        <w:t>第四部分</w:t>
      </w:r>
      <w:r>
        <w:rPr>
          <w:rFonts w:hint="eastAsia" w:ascii="Times New Roman" w:hAnsi="Times New Roman"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 xml:space="preserve"> 附件</w:t>
      </w:r>
      <w:bookmarkEnd w:id="166"/>
      <w:bookmarkEnd w:id="167"/>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Times New Roman" w:hAnsi="Times New Roman" w:eastAsia="仿宋_GB2312" w:cs="仿宋_GB2312"/>
          <w:color w:val="auto"/>
          <w:kern w:val="2"/>
          <w:sz w:val="32"/>
          <w:szCs w:val="32"/>
          <w:highlight w:val="none"/>
          <w:lang w:val="en-US" w:eastAsia="zh-CN" w:bidi="ar-SA"/>
        </w:rPr>
      </w:pPr>
    </w:p>
    <w:p>
      <w:pPr>
        <w:keepNext w:val="0"/>
        <w:keepLines w:val="0"/>
        <w:pageBreakBefore w:val="0"/>
        <w:kinsoku/>
        <w:wordWrap/>
        <w:overflowPunct/>
        <w:topLinePunct w:val="0"/>
        <w:autoSpaceDE/>
        <w:autoSpaceDN/>
        <w:bidi w:val="0"/>
        <w:spacing w:line="572" w:lineRule="exact"/>
        <w:ind w:firstLine="960" w:firstLineChars="300"/>
        <w:jc w:val="left"/>
        <w:textAlignment w:val="auto"/>
        <w:outlineLvl w:val="0"/>
        <w:rPr>
          <w:rFonts w:hint="eastAsia" w:ascii="Times New Roman" w:hAnsi="Times New Roman" w:eastAsia="仿宋_GB2312" w:cs="仿宋_GB2312"/>
          <w:color w:val="auto"/>
          <w:kern w:val="2"/>
          <w:sz w:val="32"/>
          <w:szCs w:val="32"/>
          <w:highlight w:val="none"/>
          <w:lang w:val="en-US" w:eastAsia="zh-CN" w:bidi="ar-SA"/>
        </w:rPr>
      </w:pPr>
      <w:bookmarkStart w:id="168" w:name="_Toc20493"/>
      <w:bookmarkStart w:id="169" w:name="_Toc30236"/>
      <w:bookmarkStart w:id="170" w:name="_Toc29313"/>
      <w:r>
        <w:rPr>
          <w:rFonts w:hint="eastAsia" w:ascii="Times New Roman" w:hAnsi="Times New Roman" w:eastAsia="仿宋_GB2312" w:cs="仿宋_GB2312"/>
          <w:color w:val="auto"/>
          <w:kern w:val="2"/>
          <w:sz w:val="32"/>
          <w:szCs w:val="32"/>
          <w:highlight w:val="none"/>
          <w:lang w:val="en-US" w:eastAsia="zh-CN" w:bidi="ar-SA"/>
        </w:rPr>
        <w:t>部门预算项目支出绩效自评表（2024）</w:t>
      </w:r>
      <w:r>
        <w:rPr>
          <w:rFonts w:hint="default" w:ascii="Times New Roman" w:hAnsi="Times New Roman" w:eastAsia="仿宋_GB2312" w:cs="Times New Roman"/>
          <w:color w:val="auto"/>
          <w:kern w:val="0"/>
          <w:sz w:val="32"/>
          <w:szCs w:val="32"/>
          <w:highlight w:val="none"/>
          <w:lang w:val="en-US" w:eastAsia="zh-CN" w:bidi="ar-SA"/>
        </w:rPr>
        <w:t>见附件3</w:t>
      </w:r>
      <w:bookmarkEnd w:id="168"/>
      <w:bookmarkEnd w:id="169"/>
      <w:bookmarkEnd w:id="170"/>
    </w:p>
    <w:p>
      <w:pPr>
        <w:widowControl/>
        <w:jc w:val="center"/>
        <w:rPr>
          <w:rFonts w:hint="eastAsia" w:ascii="Times New Roman" w:hAnsi="Times New Roman" w:eastAsia="黑体"/>
          <w:color w:val="auto"/>
          <w:sz w:val="44"/>
          <w:szCs w:val="44"/>
          <w:highlight w:val="none"/>
        </w:rPr>
      </w:pPr>
      <w:bookmarkStart w:id="171" w:name="_Toc15396618"/>
    </w:p>
    <w:p>
      <w:pPr>
        <w:numPr>
          <w:ilvl w:val="0"/>
          <w:numId w:val="0"/>
        </w:numPr>
        <w:spacing w:line="600" w:lineRule="exact"/>
        <w:jc w:val="center"/>
        <w:outlineLvl w:val="0"/>
        <w:rPr>
          <w:rFonts w:hint="eastAsia" w:ascii="Times New Roman" w:hAnsi="Times New Roman" w:eastAsia="黑体"/>
          <w:color w:val="auto"/>
          <w:sz w:val="44"/>
          <w:szCs w:val="44"/>
          <w:highlight w:val="none"/>
        </w:rPr>
      </w:pPr>
      <w:bookmarkStart w:id="172" w:name="_Toc1727646274_WPSOffice_Level1"/>
      <w:r>
        <w:rPr>
          <w:rFonts w:hint="eastAsia" w:ascii="Times New Roman" w:hAnsi="Times New Roman" w:eastAsia="黑体"/>
          <w:color w:val="auto"/>
          <w:sz w:val="44"/>
          <w:szCs w:val="44"/>
          <w:highlight w:val="none"/>
        </w:rPr>
        <w:t>第五部分 附表</w:t>
      </w:r>
      <w:bookmarkEnd w:id="165"/>
      <w:bookmarkEnd w:id="171"/>
      <w:bookmarkEnd w:id="172"/>
      <w:bookmarkStart w:id="173" w:name="_Toc15396619"/>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p>
    <w:p>
      <w:pPr>
        <w:keepNext w:val="0"/>
        <w:keepLines w:val="0"/>
        <w:pageBreakBefore w:val="0"/>
        <w:kinsoku/>
        <w:wordWrap/>
        <w:overflowPunct/>
        <w:topLinePunct w:val="0"/>
        <w:autoSpaceDE/>
        <w:autoSpaceDN/>
        <w:bidi w:val="0"/>
        <w:spacing w:line="572" w:lineRule="exact"/>
        <w:ind w:firstLine="960" w:firstLineChars="300"/>
        <w:jc w:val="left"/>
        <w:textAlignment w:val="auto"/>
        <w:outlineLvl w:val="0"/>
        <w:rPr>
          <w:rFonts w:hint="eastAsia" w:ascii="Times New Roman" w:hAnsi="Times New Roman" w:eastAsia="仿宋_GB2312" w:cs="仿宋_GB2312"/>
          <w:color w:val="auto"/>
          <w:kern w:val="2"/>
          <w:sz w:val="32"/>
          <w:szCs w:val="32"/>
          <w:highlight w:val="none"/>
          <w:lang w:val="en-US" w:eastAsia="zh-CN" w:bidi="ar-SA"/>
        </w:rPr>
      </w:pPr>
      <w:bookmarkStart w:id="174" w:name="_Toc1640683570_WPSOffice_Level2"/>
      <w:r>
        <w:rPr>
          <w:rFonts w:hint="eastAsia" w:ascii="Times New Roman" w:hAnsi="Times New Roman" w:eastAsia="仿宋_GB2312" w:cs="仿宋_GB2312"/>
          <w:color w:val="auto"/>
          <w:kern w:val="2"/>
          <w:sz w:val="32"/>
          <w:szCs w:val="32"/>
          <w:highlight w:val="none"/>
          <w:lang w:val="en-US" w:eastAsia="zh-CN" w:bidi="ar-SA"/>
        </w:rPr>
        <w:t>一、收入支出决算总表</w:t>
      </w:r>
      <w:bookmarkEnd w:id="173"/>
      <w:bookmarkEnd w:id="174"/>
    </w:p>
    <w:p>
      <w:pPr>
        <w:keepNext w:val="0"/>
        <w:keepLines w:val="0"/>
        <w:pageBreakBefore w:val="0"/>
        <w:kinsoku/>
        <w:wordWrap/>
        <w:overflowPunct/>
        <w:topLinePunct w:val="0"/>
        <w:autoSpaceDE/>
        <w:autoSpaceDN/>
        <w:bidi w:val="0"/>
        <w:spacing w:line="572" w:lineRule="exact"/>
        <w:ind w:firstLine="960" w:firstLineChars="300"/>
        <w:jc w:val="left"/>
        <w:textAlignment w:val="auto"/>
        <w:outlineLvl w:val="0"/>
        <w:rPr>
          <w:rFonts w:hint="eastAsia" w:ascii="Times New Roman" w:hAnsi="Times New Roman" w:eastAsia="仿宋_GB2312" w:cs="仿宋_GB2312"/>
          <w:color w:val="auto"/>
          <w:kern w:val="2"/>
          <w:sz w:val="32"/>
          <w:szCs w:val="32"/>
          <w:highlight w:val="none"/>
          <w:lang w:val="en-US" w:eastAsia="zh-CN" w:bidi="ar-SA"/>
        </w:rPr>
      </w:pPr>
      <w:bookmarkStart w:id="175" w:name="_Toc15396620"/>
      <w:bookmarkStart w:id="176" w:name="_Toc130479404_WPSOffice_Level2"/>
      <w:r>
        <w:rPr>
          <w:rFonts w:hint="eastAsia" w:ascii="Times New Roman" w:hAnsi="Times New Roman" w:eastAsia="仿宋_GB2312" w:cs="仿宋_GB2312"/>
          <w:color w:val="auto"/>
          <w:kern w:val="2"/>
          <w:sz w:val="32"/>
          <w:szCs w:val="32"/>
          <w:highlight w:val="none"/>
          <w:lang w:val="en-US" w:eastAsia="zh-CN" w:bidi="ar-SA"/>
        </w:rPr>
        <w:t>二、收入决算表</w:t>
      </w:r>
      <w:bookmarkEnd w:id="175"/>
      <w:bookmarkEnd w:id="176"/>
    </w:p>
    <w:p>
      <w:pPr>
        <w:keepNext w:val="0"/>
        <w:keepLines w:val="0"/>
        <w:pageBreakBefore w:val="0"/>
        <w:kinsoku/>
        <w:wordWrap/>
        <w:overflowPunct/>
        <w:topLinePunct w:val="0"/>
        <w:autoSpaceDE/>
        <w:autoSpaceDN/>
        <w:bidi w:val="0"/>
        <w:spacing w:line="572" w:lineRule="exact"/>
        <w:ind w:firstLine="960" w:firstLineChars="300"/>
        <w:jc w:val="left"/>
        <w:textAlignment w:val="auto"/>
        <w:outlineLvl w:val="0"/>
        <w:rPr>
          <w:rFonts w:hint="eastAsia" w:ascii="Times New Roman" w:hAnsi="Times New Roman" w:eastAsia="仿宋_GB2312" w:cs="仿宋_GB2312"/>
          <w:color w:val="auto"/>
          <w:kern w:val="2"/>
          <w:sz w:val="32"/>
          <w:szCs w:val="32"/>
          <w:highlight w:val="none"/>
          <w:lang w:val="en-US" w:eastAsia="zh-CN" w:bidi="ar-SA"/>
        </w:rPr>
      </w:pPr>
      <w:bookmarkStart w:id="177" w:name="_Toc15396621"/>
      <w:bookmarkStart w:id="178" w:name="_Toc1288739566_WPSOffice_Level2"/>
      <w:r>
        <w:rPr>
          <w:rFonts w:hint="eastAsia" w:ascii="Times New Roman" w:hAnsi="Times New Roman" w:eastAsia="仿宋_GB2312" w:cs="仿宋_GB2312"/>
          <w:color w:val="auto"/>
          <w:kern w:val="2"/>
          <w:sz w:val="32"/>
          <w:szCs w:val="32"/>
          <w:highlight w:val="none"/>
          <w:lang w:val="en-US" w:eastAsia="zh-CN" w:bidi="ar-SA"/>
        </w:rPr>
        <w:t>三、支出决算表</w:t>
      </w:r>
      <w:bookmarkEnd w:id="177"/>
      <w:bookmarkEnd w:id="178"/>
    </w:p>
    <w:p>
      <w:pPr>
        <w:keepNext w:val="0"/>
        <w:keepLines w:val="0"/>
        <w:pageBreakBefore w:val="0"/>
        <w:kinsoku/>
        <w:wordWrap/>
        <w:overflowPunct/>
        <w:topLinePunct w:val="0"/>
        <w:autoSpaceDE/>
        <w:autoSpaceDN/>
        <w:bidi w:val="0"/>
        <w:spacing w:line="572" w:lineRule="exact"/>
        <w:ind w:firstLine="960" w:firstLineChars="300"/>
        <w:jc w:val="left"/>
        <w:textAlignment w:val="auto"/>
        <w:outlineLvl w:val="0"/>
        <w:rPr>
          <w:rFonts w:hint="eastAsia" w:ascii="Times New Roman" w:hAnsi="Times New Roman" w:eastAsia="仿宋_GB2312" w:cs="仿宋_GB2312"/>
          <w:color w:val="auto"/>
          <w:kern w:val="2"/>
          <w:sz w:val="32"/>
          <w:szCs w:val="32"/>
          <w:highlight w:val="none"/>
          <w:lang w:val="en-US" w:eastAsia="zh-CN" w:bidi="ar-SA"/>
        </w:rPr>
      </w:pPr>
      <w:bookmarkStart w:id="179" w:name="_Toc15396622"/>
      <w:bookmarkStart w:id="180" w:name="_Toc710317184_WPSOffice_Level2"/>
      <w:r>
        <w:rPr>
          <w:rFonts w:hint="eastAsia" w:ascii="Times New Roman" w:hAnsi="Times New Roman" w:eastAsia="仿宋_GB2312" w:cs="仿宋_GB2312"/>
          <w:color w:val="auto"/>
          <w:kern w:val="2"/>
          <w:sz w:val="32"/>
          <w:szCs w:val="32"/>
          <w:highlight w:val="none"/>
          <w:lang w:val="en-US" w:eastAsia="zh-CN" w:bidi="ar-SA"/>
        </w:rPr>
        <w:t>四、财政拨款收入支出决算总表</w:t>
      </w:r>
      <w:bookmarkEnd w:id="179"/>
      <w:bookmarkEnd w:id="180"/>
    </w:p>
    <w:p>
      <w:pPr>
        <w:keepNext w:val="0"/>
        <w:keepLines w:val="0"/>
        <w:pageBreakBefore w:val="0"/>
        <w:kinsoku/>
        <w:wordWrap/>
        <w:overflowPunct/>
        <w:topLinePunct w:val="0"/>
        <w:autoSpaceDE/>
        <w:autoSpaceDN/>
        <w:bidi w:val="0"/>
        <w:spacing w:line="572" w:lineRule="exact"/>
        <w:ind w:firstLine="960" w:firstLineChars="300"/>
        <w:jc w:val="left"/>
        <w:textAlignment w:val="auto"/>
        <w:outlineLvl w:val="0"/>
        <w:rPr>
          <w:rFonts w:hint="eastAsia" w:ascii="Times New Roman" w:hAnsi="Times New Roman" w:eastAsia="仿宋_GB2312" w:cs="仿宋_GB2312"/>
          <w:color w:val="auto"/>
          <w:kern w:val="2"/>
          <w:sz w:val="32"/>
          <w:szCs w:val="32"/>
          <w:highlight w:val="none"/>
          <w:lang w:val="en-US" w:eastAsia="zh-CN" w:bidi="ar-SA"/>
        </w:rPr>
      </w:pPr>
      <w:bookmarkStart w:id="181" w:name="_Toc15396623"/>
      <w:bookmarkStart w:id="182" w:name="_Toc1957025982_WPSOffice_Level2"/>
      <w:r>
        <w:rPr>
          <w:rFonts w:hint="eastAsia" w:ascii="Times New Roman" w:hAnsi="Times New Roman" w:eastAsia="仿宋_GB2312" w:cs="仿宋_GB2312"/>
          <w:color w:val="auto"/>
          <w:kern w:val="2"/>
          <w:sz w:val="32"/>
          <w:szCs w:val="32"/>
          <w:highlight w:val="none"/>
          <w:lang w:val="en-US" w:eastAsia="zh-CN" w:bidi="ar-SA"/>
        </w:rPr>
        <w:t>五、财政拨款支出决算明细表</w:t>
      </w:r>
      <w:bookmarkEnd w:id="181"/>
      <w:bookmarkEnd w:id="182"/>
      <w:bookmarkStart w:id="183" w:name="_Toc15396624"/>
    </w:p>
    <w:p>
      <w:pPr>
        <w:keepNext w:val="0"/>
        <w:keepLines w:val="0"/>
        <w:pageBreakBefore w:val="0"/>
        <w:kinsoku/>
        <w:wordWrap/>
        <w:overflowPunct/>
        <w:topLinePunct w:val="0"/>
        <w:autoSpaceDE/>
        <w:autoSpaceDN/>
        <w:bidi w:val="0"/>
        <w:spacing w:line="572" w:lineRule="exact"/>
        <w:ind w:firstLine="960" w:firstLineChars="300"/>
        <w:jc w:val="left"/>
        <w:textAlignment w:val="auto"/>
        <w:outlineLvl w:val="0"/>
        <w:rPr>
          <w:rFonts w:hint="eastAsia" w:ascii="Times New Roman" w:hAnsi="Times New Roman" w:eastAsia="仿宋_GB2312" w:cs="仿宋_GB2312"/>
          <w:color w:val="auto"/>
          <w:kern w:val="2"/>
          <w:sz w:val="32"/>
          <w:szCs w:val="32"/>
          <w:highlight w:val="none"/>
          <w:lang w:val="en-US" w:eastAsia="zh-CN" w:bidi="ar-SA"/>
        </w:rPr>
      </w:pPr>
      <w:bookmarkStart w:id="184" w:name="_Toc1995945080_WPSOffice_Level2"/>
      <w:r>
        <w:rPr>
          <w:rFonts w:hint="eastAsia" w:ascii="Times New Roman" w:hAnsi="Times New Roman" w:eastAsia="仿宋_GB2312" w:cs="仿宋_GB2312"/>
          <w:color w:val="auto"/>
          <w:kern w:val="2"/>
          <w:sz w:val="32"/>
          <w:szCs w:val="32"/>
          <w:highlight w:val="none"/>
          <w:lang w:val="en-US" w:eastAsia="zh-CN" w:bidi="ar-SA"/>
        </w:rPr>
        <w:t>六、一般公共预算财政拨款支出决算表</w:t>
      </w:r>
      <w:bookmarkEnd w:id="183"/>
      <w:bookmarkEnd w:id="184"/>
    </w:p>
    <w:p>
      <w:pPr>
        <w:keepNext w:val="0"/>
        <w:keepLines w:val="0"/>
        <w:pageBreakBefore w:val="0"/>
        <w:kinsoku/>
        <w:wordWrap/>
        <w:overflowPunct/>
        <w:topLinePunct w:val="0"/>
        <w:autoSpaceDE/>
        <w:autoSpaceDN/>
        <w:bidi w:val="0"/>
        <w:spacing w:line="572" w:lineRule="exact"/>
        <w:ind w:firstLine="960" w:firstLineChars="300"/>
        <w:jc w:val="left"/>
        <w:textAlignment w:val="auto"/>
        <w:outlineLvl w:val="0"/>
        <w:rPr>
          <w:rFonts w:hint="eastAsia" w:ascii="Times New Roman" w:hAnsi="Times New Roman" w:eastAsia="仿宋_GB2312" w:cs="仿宋_GB2312"/>
          <w:color w:val="auto"/>
          <w:kern w:val="2"/>
          <w:sz w:val="32"/>
          <w:szCs w:val="32"/>
          <w:highlight w:val="none"/>
          <w:lang w:val="en-US" w:eastAsia="zh-CN" w:bidi="ar-SA"/>
        </w:rPr>
      </w:pPr>
      <w:bookmarkStart w:id="185" w:name="_Toc15396625"/>
      <w:bookmarkStart w:id="186" w:name="_Toc1739650329_WPSOffice_Level2"/>
      <w:r>
        <w:rPr>
          <w:rFonts w:hint="eastAsia" w:ascii="Times New Roman" w:hAnsi="Times New Roman" w:eastAsia="仿宋_GB2312" w:cs="仿宋_GB2312"/>
          <w:color w:val="auto"/>
          <w:kern w:val="2"/>
          <w:sz w:val="32"/>
          <w:szCs w:val="32"/>
          <w:highlight w:val="none"/>
          <w:lang w:val="en-US" w:eastAsia="zh-CN" w:bidi="ar-SA"/>
        </w:rPr>
        <w:t>七、一般公共预算财政拨款支出决算明细表</w:t>
      </w:r>
      <w:bookmarkEnd w:id="185"/>
      <w:bookmarkEnd w:id="186"/>
    </w:p>
    <w:p>
      <w:pPr>
        <w:keepNext w:val="0"/>
        <w:keepLines w:val="0"/>
        <w:pageBreakBefore w:val="0"/>
        <w:kinsoku/>
        <w:wordWrap/>
        <w:overflowPunct/>
        <w:topLinePunct w:val="0"/>
        <w:autoSpaceDE/>
        <w:autoSpaceDN/>
        <w:bidi w:val="0"/>
        <w:spacing w:line="572" w:lineRule="exact"/>
        <w:ind w:firstLine="960" w:firstLineChars="300"/>
        <w:jc w:val="left"/>
        <w:textAlignment w:val="auto"/>
        <w:outlineLvl w:val="0"/>
        <w:rPr>
          <w:rFonts w:hint="eastAsia" w:ascii="Times New Roman" w:hAnsi="Times New Roman" w:eastAsia="仿宋_GB2312" w:cs="仿宋_GB2312"/>
          <w:color w:val="auto"/>
          <w:kern w:val="2"/>
          <w:sz w:val="32"/>
          <w:szCs w:val="32"/>
          <w:highlight w:val="none"/>
          <w:lang w:val="en-US" w:eastAsia="zh-CN" w:bidi="ar-SA"/>
        </w:rPr>
      </w:pPr>
      <w:bookmarkStart w:id="187" w:name="_Toc15396626"/>
      <w:bookmarkStart w:id="188" w:name="_Toc1256447869_WPSOffice_Level2"/>
      <w:r>
        <w:rPr>
          <w:rFonts w:hint="eastAsia" w:ascii="Times New Roman" w:hAnsi="Times New Roman" w:eastAsia="仿宋_GB2312" w:cs="仿宋_GB2312"/>
          <w:color w:val="auto"/>
          <w:kern w:val="2"/>
          <w:sz w:val="32"/>
          <w:szCs w:val="32"/>
          <w:highlight w:val="none"/>
          <w:lang w:val="en-US" w:eastAsia="zh-CN" w:bidi="ar-SA"/>
        </w:rPr>
        <w:t>八、一般公共预算财政拨款基本支出决算表</w:t>
      </w:r>
      <w:bookmarkEnd w:id="187"/>
      <w:bookmarkEnd w:id="188"/>
    </w:p>
    <w:p>
      <w:pPr>
        <w:keepNext w:val="0"/>
        <w:keepLines w:val="0"/>
        <w:pageBreakBefore w:val="0"/>
        <w:kinsoku/>
        <w:wordWrap/>
        <w:overflowPunct/>
        <w:topLinePunct w:val="0"/>
        <w:autoSpaceDE/>
        <w:autoSpaceDN/>
        <w:bidi w:val="0"/>
        <w:spacing w:line="572" w:lineRule="exact"/>
        <w:ind w:firstLine="960" w:firstLineChars="300"/>
        <w:jc w:val="left"/>
        <w:textAlignment w:val="auto"/>
        <w:outlineLvl w:val="0"/>
        <w:rPr>
          <w:rFonts w:hint="eastAsia" w:ascii="Times New Roman" w:hAnsi="Times New Roman" w:eastAsia="仿宋_GB2312" w:cs="仿宋_GB2312"/>
          <w:color w:val="auto"/>
          <w:kern w:val="2"/>
          <w:sz w:val="32"/>
          <w:szCs w:val="32"/>
          <w:highlight w:val="none"/>
          <w:lang w:val="en-US" w:eastAsia="zh-CN" w:bidi="ar-SA"/>
        </w:rPr>
      </w:pPr>
      <w:bookmarkStart w:id="189" w:name="_Toc15396627"/>
      <w:bookmarkStart w:id="190" w:name="_Toc1118286855_WPSOffice_Level2"/>
      <w:r>
        <w:rPr>
          <w:rFonts w:hint="eastAsia" w:ascii="Times New Roman" w:hAnsi="Times New Roman" w:eastAsia="仿宋_GB2312" w:cs="仿宋_GB2312"/>
          <w:color w:val="auto"/>
          <w:kern w:val="2"/>
          <w:sz w:val="32"/>
          <w:szCs w:val="32"/>
          <w:highlight w:val="none"/>
          <w:lang w:val="en-US" w:eastAsia="zh-CN" w:bidi="ar-SA"/>
        </w:rPr>
        <w:t>九、一般公共预算财政拨款项目支出决算表</w:t>
      </w:r>
      <w:bookmarkEnd w:id="189"/>
      <w:bookmarkEnd w:id="190"/>
    </w:p>
    <w:p>
      <w:pPr>
        <w:keepNext w:val="0"/>
        <w:keepLines w:val="0"/>
        <w:pageBreakBefore w:val="0"/>
        <w:kinsoku/>
        <w:wordWrap/>
        <w:overflowPunct/>
        <w:topLinePunct w:val="0"/>
        <w:autoSpaceDE/>
        <w:autoSpaceDN/>
        <w:bidi w:val="0"/>
        <w:spacing w:line="572" w:lineRule="exact"/>
        <w:ind w:firstLine="960" w:firstLineChars="300"/>
        <w:jc w:val="left"/>
        <w:textAlignment w:val="auto"/>
        <w:outlineLvl w:val="0"/>
        <w:rPr>
          <w:rFonts w:hint="eastAsia" w:ascii="Times New Roman" w:hAnsi="Times New Roman" w:eastAsia="仿宋_GB2312" w:cs="仿宋_GB2312"/>
          <w:color w:val="auto"/>
          <w:kern w:val="2"/>
          <w:sz w:val="32"/>
          <w:szCs w:val="32"/>
          <w:highlight w:val="none"/>
          <w:lang w:val="en-US" w:eastAsia="zh-CN" w:bidi="ar-SA"/>
        </w:rPr>
      </w:pPr>
      <w:bookmarkStart w:id="191" w:name="_Toc15396628"/>
      <w:bookmarkStart w:id="192" w:name="_Toc1298670193_WPSOffice_Level2"/>
      <w:r>
        <w:rPr>
          <w:rFonts w:hint="eastAsia" w:ascii="Times New Roman" w:hAnsi="Times New Roman" w:eastAsia="仿宋_GB2312" w:cs="仿宋_GB2312"/>
          <w:color w:val="auto"/>
          <w:kern w:val="2"/>
          <w:sz w:val="32"/>
          <w:szCs w:val="32"/>
          <w:highlight w:val="none"/>
          <w:lang w:val="en-US" w:eastAsia="zh-CN" w:bidi="ar-SA"/>
        </w:rPr>
        <w:t>十、</w:t>
      </w:r>
      <w:bookmarkEnd w:id="191"/>
      <w:r>
        <w:rPr>
          <w:rFonts w:hint="eastAsia" w:ascii="Times New Roman" w:hAnsi="Times New Roman" w:eastAsia="仿宋_GB2312" w:cs="仿宋_GB2312"/>
          <w:color w:val="auto"/>
          <w:kern w:val="2"/>
          <w:sz w:val="32"/>
          <w:szCs w:val="32"/>
          <w:highlight w:val="none"/>
          <w:lang w:val="en-US" w:eastAsia="zh-CN" w:bidi="ar-SA"/>
        </w:rPr>
        <w:t>政府性基金预算财政拨款收入支出决算表</w:t>
      </w:r>
      <w:bookmarkEnd w:id="192"/>
    </w:p>
    <w:p>
      <w:pPr>
        <w:keepNext w:val="0"/>
        <w:keepLines w:val="0"/>
        <w:pageBreakBefore w:val="0"/>
        <w:kinsoku/>
        <w:wordWrap/>
        <w:overflowPunct/>
        <w:topLinePunct w:val="0"/>
        <w:autoSpaceDE/>
        <w:autoSpaceDN/>
        <w:bidi w:val="0"/>
        <w:spacing w:line="572" w:lineRule="exact"/>
        <w:ind w:firstLine="960" w:firstLineChars="300"/>
        <w:jc w:val="left"/>
        <w:textAlignment w:val="auto"/>
        <w:outlineLvl w:val="0"/>
        <w:rPr>
          <w:rFonts w:hint="eastAsia" w:ascii="Times New Roman" w:hAnsi="Times New Roman" w:eastAsia="仿宋_GB2312" w:cs="仿宋_GB2312"/>
          <w:color w:val="auto"/>
          <w:kern w:val="2"/>
          <w:sz w:val="32"/>
          <w:szCs w:val="32"/>
          <w:highlight w:val="none"/>
          <w:lang w:val="en-US" w:eastAsia="zh-CN" w:bidi="ar-SA"/>
        </w:rPr>
      </w:pPr>
      <w:bookmarkStart w:id="193" w:name="_Toc15396629"/>
      <w:bookmarkStart w:id="194" w:name="_Toc1387656186_WPSOffice_Level2"/>
      <w:r>
        <w:rPr>
          <w:rFonts w:hint="eastAsia" w:ascii="Times New Roman" w:hAnsi="Times New Roman" w:eastAsia="仿宋_GB2312" w:cs="仿宋_GB2312"/>
          <w:color w:val="auto"/>
          <w:kern w:val="2"/>
          <w:sz w:val="32"/>
          <w:szCs w:val="32"/>
          <w:highlight w:val="none"/>
          <w:lang w:val="en-US" w:eastAsia="zh-CN" w:bidi="ar-SA"/>
        </w:rPr>
        <w:t>十一、</w:t>
      </w:r>
      <w:bookmarkEnd w:id="193"/>
      <w:r>
        <w:rPr>
          <w:rFonts w:hint="eastAsia" w:ascii="Times New Roman" w:hAnsi="Times New Roman" w:eastAsia="仿宋_GB2312" w:cs="仿宋_GB2312"/>
          <w:color w:val="auto"/>
          <w:kern w:val="2"/>
          <w:sz w:val="32"/>
          <w:szCs w:val="32"/>
          <w:highlight w:val="none"/>
          <w:lang w:val="en-US" w:eastAsia="zh-CN" w:bidi="ar-SA"/>
        </w:rPr>
        <w:t>国有资本经营预算财政拨款收入支出决算表</w:t>
      </w:r>
      <w:bookmarkEnd w:id="194"/>
    </w:p>
    <w:p>
      <w:pPr>
        <w:keepNext w:val="0"/>
        <w:keepLines w:val="0"/>
        <w:pageBreakBefore w:val="0"/>
        <w:kinsoku/>
        <w:wordWrap/>
        <w:overflowPunct/>
        <w:topLinePunct w:val="0"/>
        <w:autoSpaceDE/>
        <w:autoSpaceDN/>
        <w:bidi w:val="0"/>
        <w:spacing w:line="572" w:lineRule="exact"/>
        <w:ind w:firstLine="960" w:firstLineChars="300"/>
        <w:jc w:val="left"/>
        <w:textAlignment w:val="auto"/>
        <w:outlineLvl w:val="0"/>
        <w:rPr>
          <w:rFonts w:hint="eastAsia" w:ascii="Times New Roman" w:hAnsi="Times New Roman" w:eastAsia="仿宋_GB2312" w:cs="仿宋_GB2312"/>
          <w:color w:val="auto"/>
          <w:kern w:val="2"/>
          <w:sz w:val="32"/>
          <w:szCs w:val="32"/>
          <w:highlight w:val="none"/>
          <w:lang w:val="en-US" w:eastAsia="zh-CN" w:bidi="ar-SA"/>
        </w:rPr>
      </w:pPr>
      <w:bookmarkStart w:id="195" w:name="_Toc15396630"/>
      <w:bookmarkStart w:id="196" w:name="_Toc31090444_WPSOffice_Level2"/>
      <w:r>
        <w:rPr>
          <w:rFonts w:hint="eastAsia" w:ascii="Times New Roman" w:hAnsi="Times New Roman" w:eastAsia="仿宋_GB2312" w:cs="仿宋_GB2312"/>
          <w:color w:val="auto"/>
          <w:kern w:val="2"/>
          <w:sz w:val="32"/>
          <w:szCs w:val="32"/>
          <w:highlight w:val="none"/>
          <w:lang w:val="en-US" w:eastAsia="zh-CN" w:bidi="ar-SA"/>
        </w:rPr>
        <w:t>十二、</w:t>
      </w:r>
      <w:bookmarkEnd w:id="195"/>
      <w:r>
        <w:rPr>
          <w:rFonts w:hint="eastAsia" w:ascii="Times New Roman" w:hAnsi="Times New Roman" w:eastAsia="仿宋_GB2312" w:cs="仿宋_GB2312"/>
          <w:color w:val="auto"/>
          <w:kern w:val="2"/>
          <w:sz w:val="32"/>
          <w:szCs w:val="32"/>
          <w:highlight w:val="none"/>
          <w:lang w:val="en-US" w:eastAsia="zh-CN" w:bidi="ar-SA"/>
        </w:rPr>
        <w:t>国有资本经营预算财政拨款支出决算表</w:t>
      </w:r>
      <w:bookmarkEnd w:id="196"/>
    </w:p>
    <w:p>
      <w:pPr>
        <w:keepNext w:val="0"/>
        <w:keepLines w:val="0"/>
        <w:pageBreakBefore w:val="0"/>
        <w:kinsoku/>
        <w:wordWrap/>
        <w:overflowPunct/>
        <w:topLinePunct w:val="0"/>
        <w:autoSpaceDE/>
        <w:autoSpaceDN/>
        <w:bidi w:val="0"/>
        <w:spacing w:line="572" w:lineRule="exact"/>
        <w:ind w:firstLine="960" w:firstLineChars="300"/>
        <w:jc w:val="left"/>
        <w:textAlignment w:val="auto"/>
        <w:outlineLvl w:val="0"/>
        <w:rPr>
          <w:rFonts w:hint="eastAsia" w:ascii="Times New Roman" w:hAnsi="Times New Roman" w:eastAsia="仿宋_GB2312" w:cs="仿宋_GB2312"/>
          <w:color w:val="auto"/>
          <w:kern w:val="2"/>
          <w:sz w:val="32"/>
          <w:szCs w:val="32"/>
          <w:highlight w:val="none"/>
          <w:lang w:val="en-US" w:eastAsia="zh-CN" w:bidi="ar-SA"/>
        </w:rPr>
      </w:pPr>
      <w:bookmarkStart w:id="197" w:name="_Toc15396631"/>
      <w:bookmarkStart w:id="198" w:name="_Toc602395552_WPSOffice_Level2"/>
      <w:r>
        <w:rPr>
          <w:rFonts w:hint="eastAsia" w:ascii="Times New Roman" w:hAnsi="Times New Roman" w:eastAsia="仿宋_GB2312" w:cs="仿宋_GB2312"/>
          <w:color w:val="auto"/>
          <w:kern w:val="2"/>
          <w:sz w:val="32"/>
          <w:szCs w:val="32"/>
          <w:highlight w:val="none"/>
          <w:lang w:val="en-US" w:eastAsia="zh-CN" w:bidi="ar-SA"/>
        </w:rPr>
        <w:t>十三、</w:t>
      </w:r>
      <w:bookmarkEnd w:id="197"/>
      <w:r>
        <w:rPr>
          <w:rFonts w:hint="eastAsia" w:ascii="Times New Roman" w:hAnsi="Times New Roman" w:eastAsia="仿宋_GB2312" w:cs="仿宋_GB2312"/>
          <w:color w:val="auto"/>
          <w:kern w:val="2"/>
          <w:sz w:val="32"/>
          <w:szCs w:val="32"/>
          <w:highlight w:val="none"/>
          <w:lang w:val="en-US" w:eastAsia="zh-CN" w:bidi="ar-SA"/>
        </w:rPr>
        <w:t>财政拨款“三公”经费支出决算表</w:t>
      </w:r>
      <w:bookmarkEnd w:id="198"/>
    </w:p>
    <w:p>
      <w:pPr>
        <w:rPr>
          <w:rFonts w:hint="eastAsia" w:ascii="Times New Roman" w:hAnsi="Times New Roman"/>
          <w:lang w:eastAsia="zh-CN"/>
        </w:rPr>
      </w:pPr>
    </w:p>
    <w:sectPr>
      <w:footerReference r:id="rId6" w:type="first"/>
      <w:footerReference r:id="rId5" w:type="default"/>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
    <w:altName w:val="国标宋体-超大字符集扩"/>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永中宋体">
    <w:panose1 w:val="02010600030101010101"/>
    <w:charset w:val="86"/>
    <w:family w:val="auto"/>
    <w:pitch w:val="default"/>
    <w:sig w:usb0="00000803" w:usb1="080E0000" w:usb2="00000000" w:usb3="00000000" w:csb0="00040001" w:csb1="00000000"/>
  </w:font>
  <w:font w:name="Lucida Sans">
    <w:altName w:val="国标宋体-超大字符集扩"/>
    <w:panose1 w:val="00000000000000000000"/>
    <w:charset w:val="01"/>
    <w:family w:val="auto"/>
    <w:pitch w:val="default"/>
    <w:sig w:usb0="00000000" w:usb1="00000000" w:usb2="00000000" w:usb3="00000000" w:csb0="00000000" w:csb1="00000000"/>
  </w:font>
  <w:font w:name="微软雅黑">
    <w:altName w:val="黑体"/>
    <w:panose1 w:val="020B0503020204020204"/>
    <w:charset w:val="86"/>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国标宋体-超大字符集扩">
    <w:panose1 w:val="000005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xM+CTyQ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BxM+CTyQIAAOwFAAAOAAAAAAAAAAEAIAAAADUBAABkcnMvZTJvRG9jLnhtbFBL&#10;BQYAAAAABgAGAFkBAABwBg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- 2 -</w:t>
                    </w:r>
                    <w:r>
                      <w:fldChar w:fldCharType="end"/>
                    </w:r>
                  </w:p>
                </w:txbxContent>
              </v:textbox>
            </v:shape>
          </w:pict>
        </mc:Fallback>
      </mc:AlternateContent>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CrQUMRyQIAAO4FAAAOAAAAAAAAAAEAIAAAADUBAABkcnMvZTJvRG9jLnhtbFBL&#10;BQYAAAAABgAGAFkBAABwBg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FEBE30"/>
    <w:rsid w:val="03A82C24"/>
    <w:rsid w:val="04916F1E"/>
    <w:rsid w:val="061E35DE"/>
    <w:rsid w:val="066E0107"/>
    <w:rsid w:val="07996F6E"/>
    <w:rsid w:val="07DFD8BA"/>
    <w:rsid w:val="09867E8F"/>
    <w:rsid w:val="0A2032A3"/>
    <w:rsid w:val="0A3436BB"/>
    <w:rsid w:val="0CA8290A"/>
    <w:rsid w:val="0D35B1ED"/>
    <w:rsid w:val="0DA74B0C"/>
    <w:rsid w:val="0E254B6B"/>
    <w:rsid w:val="0F98263C"/>
    <w:rsid w:val="101860EC"/>
    <w:rsid w:val="101F47CC"/>
    <w:rsid w:val="10C055FF"/>
    <w:rsid w:val="11694EBD"/>
    <w:rsid w:val="116B6959"/>
    <w:rsid w:val="11772AA4"/>
    <w:rsid w:val="118107EC"/>
    <w:rsid w:val="12E24EE2"/>
    <w:rsid w:val="13D50BC4"/>
    <w:rsid w:val="14B17F78"/>
    <w:rsid w:val="165E0673"/>
    <w:rsid w:val="16B831D5"/>
    <w:rsid w:val="16BB723D"/>
    <w:rsid w:val="17E50567"/>
    <w:rsid w:val="186504BB"/>
    <w:rsid w:val="18FDDDEA"/>
    <w:rsid w:val="19A445FC"/>
    <w:rsid w:val="1BE8440E"/>
    <w:rsid w:val="1D155CEE"/>
    <w:rsid w:val="1D1638FE"/>
    <w:rsid w:val="1E312DEB"/>
    <w:rsid w:val="1E740ACF"/>
    <w:rsid w:val="1FF35744"/>
    <w:rsid w:val="1FF6BC77"/>
    <w:rsid w:val="2186353C"/>
    <w:rsid w:val="23860B96"/>
    <w:rsid w:val="240371BF"/>
    <w:rsid w:val="244F3473"/>
    <w:rsid w:val="24C97D99"/>
    <w:rsid w:val="25A718F0"/>
    <w:rsid w:val="25BB59F6"/>
    <w:rsid w:val="260F557C"/>
    <w:rsid w:val="26970054"/>
    <w:rsid w:val="281408E2"/>
    <w:rsid w:val="29FD04D3"/>
    <w:rsid w:val="2A3265CF"/>
    <w:rsid w:val="2A5E59F6"/>
    <w:rsid w:val="2AA16CEF"/>
    <w:rsid w:val="2BFF7BC6"/>
    <w:rsid w:val="2C8A61B5"/>
    <w:rsid w:val="2DEFFECB"/>
    <w:rsid w:val="2DF04E50"/>
    <w:rsid w:val="2E586DFA"/>
    <w:rsid w:val="2E5EAA32"/>
    <w:rsid w:val="2F040D46"/>
    <w:rsid w:val="2F6B035B"/>
    <w:rsid w:val="2FAE5751"/>
    <w:rsid w:val="2FB1A395"/>
    <w:rsid w:val="2FD9A7D8"/>
    <w:rsid w:val="2FDBF714"/>
    <w:rsid w:val="2FF708AB"/>
    <w:rsid w:val="30901D07"/>
    <w:rsid w:val="30AB6865"/>
    <w:rsid w:val="319F7F4E"/>
    <w:rsid w:val="31FB58A6"/>
    <w:rsid w:val="32BD1EF1"/>
    <w:rsid w:val="3304709D"/>
    <w:rsid w:val="33A773CB"/>
    <w:rsid w:val="349D6851"/>
    <w:rsid w:val="35982D9B"/>
    <w:rsid w:val="36AA5135"/>
    <w:rsid w:val="36BE0DA7"/>
    <w:rsid w:val="376B6AA6"/>
    <w:rsid w:val="376D39B2"/>
    <w:rsid w:val="37E16F03"/>
    <w:rsid w:val="37F53A3B"/>
    <w:rsid w:val="389B6C89"/>
    <w:rsid w:val="38D469F0"/>
    <w:rsid w:val="39627CCD"/>
    <w:rsid w:val="397BAF1F"/>
    <w:rsid w:val="3AB79AF3"/>
    <w:rsid w:val="3AE834C0"/>
    <w:rsid w:val="3B7EF35A"/>
    <w:rsid w:val="3B9FDB6C"/>
    <w:rsid w:val="3BF5BC2F"/>
    <w:rsid w:val="3CEBA265"/>
    <w:rsid w:val="3D98207C"/>
    <w:rsid w:val="3DEBE078"/>
    <w:rsid w:val="3DEE7CF3"/>
    <w:rsid w:val="3E740A63"/>
    <w:rsid w:val="3E78745D"/>
    <w:rsid w:val="3EE17838"/>
    <w:rsid w:val="3F55381A"/>
    <w:rsid w:val="3F7F7599"/>
    <w:rsid w:val="3FF4CAE0"/>
    <w:rsid w:val="3FF7B227"/>
    <w:rsid w:val="42652CB0"/>
    <w:rsid w:val="43E550C6"/>
    <w:rsid w:val="44E268DA"/>
    <w:rsid w:val="450D13D7"/>
    <w:rsid w:val="45506656"/>
    <w:rsid w:val="483D7BF1"/>
    <w:rsid w:val="486A6C7A"/>
    <w:rsid w:val="4A627F82"/>
    <w:rsid w:val="4B0E749A"/>
    <w:rsid w:val="4B2477C4"/>
    <w:rsid w:val="4B4F25DA"/>
    <w:rsid w:val="4BE068DB"/>
    <w:rsid w:val="4C882C6A"/>
    <w:rsid w:val="4D0114AC"/>
    <w:rsid w:val="4D577224"/>
    <w:rsid w:val="4DB03590"/>
    <w:rsid w:val="4DBF1CEB"/>
    <w:rsid w:val="4DF0007C"/>
    <w:rsid w:val="4EAB630A"/>
    <w:rsid w:val="4ECE2238"/>
    <w:rsid w:val="4F833267"/>
    <w:rsid w:val="4FE9BD67"/>
    <w:rsid w:val="4FFB052F"/>
    <w:rsid w:val="5332107D"/>
    <w:rsid w:val="537E6D0A"/>
    <w:rsid w:val="53F74C96"/>
    <w:rsid w:val="53FF844B"/>
    <w:rsid w:val="55170BA8"/>
    <w:rsid w:val="553218C9"/>
    <w:rsid w:val="567E1AA5"/>
    <w:rsid w:val="56E47B74"/>
    <w:rsid w:val="57175D52"/>
    <w:rsid w:val="57BD3DD4"/>
    <w:rsid w:val="594E0FFB"/>
    <w:rsid w:val="5AF92295"/>
    <w:rsid w:val="5B250254"/>
    <w:rsid w:val="5BDD79E6"/>
    <w:rsid w:val="5BF561CA"/>
    <w:rsid w:val="5BFF5DFC"/>
    <w:rsid w:val="5C003417"/>
    <w:rsid w:val="5CD71FC4"/>
    <w:rsid w:val="5D1F11B5"/>
    <w:rsid w:val="5D695134"/>
    <w:rsid w:val="5DAE1B18"/>
    <w:rsid w:val="5DE7D9E5"/>
    <w:rsid w:val="5ECEC941"/>
    <w:rsid w:val="5EDF7BEB"/>
    <w:rsid w:val="5F7A7191"/>
    <w:rsid w:val="5FBF9FF3"/>
    <w:rsid w:val="5FCD4E2C"/>
    <w:rsid w:val="5FEF394A"/>
    <w:rsid w:val="5FF67715"/>
    <w:rsid w:val="6000403D"/>
    <w:rsid w:val="62BF3928"/>
    <w:rsid w:val="63B3701E"/>
    <w:rsid w:val="63DFD1BC"/>
    <w:rsid w:val="647F5392"/>
    <w:rsid w:val="652E0743"/>
    <w:rsid w:val="65E66580"/>
    <w:rsid w:val="664B1D71"/>
    <w:rsid w:val="664B4E8E"/>
    <w:rsid w:val="67277B67"/>
    <w:rsid w:val="67AA3209"/>
    <w:rsid w:val="69450BD9"/>
    <w:rsid w:val="698D0931"/>
    <w:rsid w:val="6A6F132D"/>
    <w:rsid w:val="6A7FE5F3"/>
    <w:rsid w:val="6B053271"/>
    <w:rsid w:val="6BDD78B3"/>
    <w:rsid w:val="6C4A05C8"/>
    <w:rsid w:val="6C8742B8"/>
    <w:rsid w:val="6D5A49FE"/>
    <w:rsid w:val="6DBF5E93"/>
    <w:rsid w:val="6DFF077E"/>
    <w:rsid w:val="6E714EF0"/>
    <w:rsid w:val="6E7E3605"/>
    <w:rsid w:val="6E7FDCC7"/>
    <w:rsid w:val="6ED6A62E"/>
    <w:rsid w:val="6EE00B15"/>
    <w:rsid w:val="6F65120A"/>
    <w:rsid w:val="6F6FB3EB"/>
    <w:rsid w:val="6F8731EA"/>
    <w:rsid w:val="6FCE6052"/>
    <w:rsid w:val="6FD57C00"/>
    <w:rsid w:val="6FDD14C2"/>
    <w:rsid w:val="6FEFFFD8"/>
    <w:rsid w:val="6FF5CC65"/>
    <w:rsid w:val="6FFB47EC"/>
    <w:rsid w:val="6FFF034A"/>
    <w:rsid w:val="70484440"/>
    <w:rsid w:val="712A28F1"/>
    <w:rsid w:val="715C0E4B"/>
    <w:rsid w:val="71992E7C"/>
    <w:rsid w:val="72233669"/>
    <w:rsid w:val="72734D90"/>
    <w:rsid w:val="72F77EFE"/>
    <w:rsid w:val="73160E6D"/>
    <w:rsid w:val="7332FE48"/>
    <w:rsid w:val="73AB61DA"/>
    <w:rsid w:val="73AD73D5"/>
    <w:rsid w:val="73B6EB34"/>
    <w:rsid w:val="73FA497D"/>
    <w:rsid w:val="743273F9"/>
    <w:rsid w:val="744731E5"/>
    <w:rsid w:val="74BBD01D"/>
    <w:rsid w:val="74ED5379"/>
    <w:rsid w:val="75DEEEC2"/>
    <w:rsid w:val="75E32345"/>
    <w:rsid w:val="76E3355F"/>
    <w:rsid w:val="76FF5125"/>
    <w:rsid w:val="776F6FFA"/>
    <w:rsid w:val="778769C8"/>
    <w:rsid w:val="77A75DCA"/>
    <w:rsid w:val="77DC22F5"/>
    <w:rsid w:val="783E271A"/>
    <w:rsid w:val="78616DE9"/>
    <w:rsid w:val="78E875D7"/>
    <w:rsid w:val="79086DAD"/>
    <w:rsid w:val="79D7FD79"/>
    <w:rsid w:val="79EE5BA4"/>
    <w:rsid w:val="7A894339"/>
    <w:rsid w:val="7AD284E8"/>
    <w:rsid w:val="7AD92A11"/>
    <w:rsid w:val="7AFF7572"/>
    <w:rsid w:val="7B6C7DFB"/>
    <w:rsid w:val="7BBFBED0"/>
    <w:rsid w:val="7BC3E394"/>
    <w:rsid w:val="7BFFC3E6"/>
    <w:rsid w:val="7C1F3737"/>
    <w:rsid w:val="7CBB0C07"/>
    <w:rsid w:val="7CBFC87B"/>
    <w:rsid w:val="7CFE0F48"/>
    <w:rsid w:val="7D272ABC"/>
    <w:rsid w:val="7D7EC23E"/>
    <w:rsid w:val="7DEEFD3A"/>
    <w:rsid w:val="7DEFF7D6"/>
    <w:rsid w:val="7E8ADEBF"/>
    <w:rsid w:val="7EEF11D3"/>
    <w:rsid w:val="7EFE4840"/>
    <w:rsid w:val="7F0971A6"/>
    <w:rsid w:val="7F1D62E7"/>
    <w:rsid w:val="7F3F679B"/>
    <w:rsid w:val="7F4FC4EF"/>
    <w:rsid w:val="7F5E4D54"/>
    <w:rsid w:val="7F5F1FA1"/>
    <w:rsid w:val="7F6E0135"/>
    <w:rsid w:val="7F79F205"/>
    <w:rsid w:val="7FA30C79"/>
    <w:rsid w:val="7FA79C44"/>
    <w:rsid w:val="7FAF8ABF"/>
    <w:rsid w:val="7FB7269E"/>
    <w:rsid w:val="7FC96657"/>
    <w:rsid w:val="7FDA9588"/>
    <w:rsid w:val="7FDF220F"/>
    <w:rsid w:val="7FE61F7F"/>
    <w:rsid w:val="7FEDC5F7"/>
    <w:rsid w:val="7FEDD9DE"/>
    <w:rsid w:val="7FF5890D"/>
    <w:rsid w:val="7FF93490"/>
    <w:rsid w:val="90F7AF17"/>
    <w:rsid w:val="99FF2014"/>
    <w:rsid w:val="9FEF96A5"/>
    <w:rsid w:val="A6DD0D7F"/>
    <w:rsid w:val="ACFF4FBB"/>
    <w:rsid w:val="ADC6F725"/>
    <w:rsid w:val="B1EF1719"/>
    <w:rsid w:val="B7CF06AB"/>
    <w:rsid w:val="B7CFA926"/>
    <w:rsid w:val="B7F8786B"/>
    <w:rsid w:val="BABB6AA1"/>
    <w:rsid w:val="BB2F4199"/>
    <w:rsid w:val="BCFFB442"/>
    <w:rsid w:val="BD079C78"/>
    <w:rsid w:val="BD733540"/>
    <w:rsid w:val="BE7EA5A0"/>
    <w:rsid w:val="BEBC8A91"/>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7BFC3B"/>
    <w:rsid w:val="DFBF85B6"/>
    <w:rsid w:val="DFE9BE81"/>
    <w:rsid w:val="DFFFA9E8"/>
    <w:rsid w:val="E5DF9DDB"/>
    <w:rsid w:val="E5F4E9DC"/>
    <w:rsid w:val="E70FE695"/>
    <w:rsid w:val="EB2E368B"/>
    <w:rsid w:val="ECFED1BC"/>
    <w:rsid w:val="ED1D69BB"/>
    <w:rsid w:val="ED5F5BC6"/>
    <w:rsid w:val="ED7FD312"/>
    <w:rsid w:val="EF2E1AC6"/>
    <w:rsid w:val="EF53993F"/>
    <w:rsid w:val="EF6FD633"/>
    <w:rsid w:val="EFBFB2F4"/>
    <w:rsid w:val="EFBFFA21"/>
    <w:rsid w:val="F2BEBCB8"/>
    <w:rsid w:val="F36FB518"/>
    <w:rsid w:val="F3DE1A04"/>
    <w:rsid w:val="F3F722E5"/>
    <w:rsid w:val="F4FBCD07"/>
    <w:rsid w:val="F7CC4CAF"/>
    <w:rsid w:val="F7FFF3C0"/>
    <w:rsid w:val="FA5F1E70"/>
    <w:rsid w:val="FA5FDB97"/>
    <w:rsid w:val="FB7F486A"/>
    <w:rsid w:val="FBFF5B2E"/>
    <w:rsid w:val="FD7FFE2B"/>
    <w:rsid w:val="FDEE196B"/>
    <w:rsid w:val="FDFE6575"/>
    <w:rsid w:val="FDFF5905"/>
    <w:rsid w:val="FDFF89C2"/>
    <w:rsid w:val="FEDFDDC2"/>
    <w:rsid w:val="FEED32F6"/>
    <w:rsid w:val="FEF781DD"/>
    <w:rsid w:val="FEFF636B"/>
    <w:rsid w:val="FF3F7E3F"/>
    <w:rsid w:val="FF737F84"/>
    <w:rsid w:val="FF7CB9F8"/>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4"/>
    <w:unhideWhenUsed/>
    <w:qFormat/>
    <w:uiPriority w:val="9"/>
    <w:pPr>
      <w:keepNext/>
      <w:keepLines/>
      <w:spacing w:before="260" w:after="260" w:line="416" w:lineRule="auto"/>
      <w:outlineLvl w:val="2"/>
    </w:pPr>
    <w:rPr>
      <w:b/>
      <w:bCs/>
      <w:sz w:val="32"/>
      <w:szCs w:val="32"/>
    </w:rPr>
  </w:style>
  <w:style w:type="character" w:default="1" w:styleId="18">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7"/>
    <w:qFormat/>
    <w:uiPriority w:val="99"/>
    <w:pPr>
      <w:spacing w:beforeLines="30"/>
    </w:pPr>
    <w:rPr>
      <w:rFonts w:ascii="仿宋_GB2312" w:eastAsia="仿宋_GB2312"/>
      <w:kern w:val="0"/>
      <w:sz w:val="30"/>
    </w:rPr>
  </w:style>
  <w:style w:type="paragraph" w:styleId="6">
    <w:name w:val="Salutation"/>
    <w:basedOn w:val="1"/>
    <w:next w:val="1"/>
    <w:qFormat/>
    <w:uiPriority w:val="0"/>
  </w:style>
  <w:style w:type="paragraph" w:styleId="7">
    <w:name w:val="Body Text Indent"/>
    <w:basedOn w:val="1"/>
    <w:next w:val="8"/>
    <w:qFormat/>
    <w:uiPriority w:val="0"/>
    <w:pPr>
      <w:spacing w:after="120"/>
      <w:ind w:leftChars="200"/>
    </w:pPr>
    <w:rPr>
      <w:rFonts w:ascii="仿宋_GB2312"/>
      <w:szCs w:val="32"/>
    </w:rPr>
  </w:style>
  <w:style w:type="paragraph" w:styleId="8">
    <w:name w:val="Body Text First Indent 2"/>
    <w:basedOn w:val="7"/>
    <w:unhideWhenUsed/>
    <w:qFormat/>
    <w:uiPriority w:val="99"/>
    <w:pPr>
      <w:ind w:firstLine="420" w:firstLineChars="200"/>
    </w:p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3"/>
    <w:semiHidden/>
    <w:unhideWhenUsed/>
    <w:qFormat/>
    <w:uiPriority w:val="99"/>
    <w:rPr>
      <w:sz w:val="18"/>
      <w:szCs w:val="18"/>
    </w:rPr>
  </w:style>
  <w:style w:type="paragraph" w:styleId="11">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footnote text"/>
    <w:basedOn w:val="1"/>
    <w:next w:val="8"/>
    <w:semiHidden/>
    <w:qFormat/>
    <w:uiPriority w:val="0"/>
    <w:pPr>
      <w:snapToGrid w:val="0"/>
      <w:jc w:val="left"/>
    </w:pPr>
    <w:rPr>
      <w:sz w:val="18"/>
      <w:szCs w:val="18"/>
    </w:rPr>
  </w:style>
  <w:style w:type="paragraph" w:styleId="15">
    <w:name w:val="toc 2"/>
    <w:basedOn w:val="1"/>
    <w:next w:val="1"/>
    <w:unhideWhenUsed/>
    <w:qFormat/>
    <w:uiPriority w:val="39"/>
    <w:pPr>
      <w:tabs>
        <w:tab w:val="right" w:leader="dot" w:pos="8296"/>
      </w:tabs>
      <w:ind w:left="420" w:leftChars="200"/>
    </w:pPr>
  </w:style>
  <w:style w:type="paragraph" w:styleId="1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9">
    <w:name w:val="Strong"/>
    <w:basedOn w:val="18"/>
    <w:qFormat/>
    <w:uiPriority w:val="99"/>
    <w:rPr>
      <w:b/>
    </w:rPr>
  </w:style>
  <w:style w:type="character" w:styleId="20">
    <w:name w:val="Hyperlink"/>
    <w:basedOn w:val="18"/>
    <w:unhideWhenUsed/>
    <w:qFormat/>
    <w:uiPriority w:val="99"/>
    <w:rPr>
      <w:color w:val="0000FF" w:themeColor="hyperlink"/>
      <w:u w:val="single"/>
      <w14:textFill>
        <w14:solidFill>
          <w14:schemeClr w14:val="hlink"/>
        </w14:solidFill>
      </w14:textFill>
    </w:rPr>
  </w:style>
  <w:style w:type="paragraph" w:customStyle="1" w:styleId="21">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2">
    <w:name w:val="Header Char"/>
    <w:basedOn w:val="18"/>
    <w:semiHidden/>
    <w:qFormat/>
    <w:uiPriority w:val="99"/>
    <w:rPr>
      <w:rFonts w:ascii="Times New Roman" w:hAnsi="Times New Roman"/>
      <w:sz w:val="18"/>
      <w:szCs w:val="18"/>
    </w:rPr>
  </w:style>
  <w:style w:type="character" w:customStyle="1" w:styleId="23">
    <w:name w:val="页眉 Char"/>
    <w:link w:val="12"/>
    <w:semiHidden/>
    <w:qFormat/>
    <w:locked/>
    <w:uiPriority w:val="99"/>
    <w:rPr>
      <w:sz w:val="18"/>
    </w:rPr>
  </w:style>
  <w:style w:type="character" w:customStyle="1" w:styleId="24">
    <w:name w:val="Footer Char"/>
    <w:basedOn w:val="18"/>
    <w:semiHidden/>
    <w:qFormat/>
    <w:uiPriority w:val="99"/>
    <w:rPr>
      <w:rFonts w:ascii="Times New Roman" w:hAnsi="Times New Roman"/>
      <w:sz w:val="18"/>
      <w:szCs w:val="18"/>
    </w:rPr>
  </w:style>
  <w:style w:type="character" w:customStyle="1" w:styleId="25">
    <w:name w:val="页脚 Char"/>
    <w:link w:val="11"/>
    <w:qFormat/>
    <w:locked/>
    <w:uiPriority w:val="99"/>
    <w:rPr>
      <w:sz w:val="18"/>
    </w:rPr>
  </w:style>
  <w:style w:type="character" w:customStyle="1" w:styleId="26">
    <w:name w:val="Body Text Char"/>
    <w:basedOn w:val="18"/>
    <w:semiHidden/>
    <w:qFormat/>
    <w:uiPriority w:val="99"/>
    <w:rPr>
      <w:rFonts w:ascii="Times New Roman" w:hAnsi="Times New Roman"/>
      <w:szCs w:val="24"/>
    </w:rPr>
  </w:style>
  <w:style w:type="character" w:customStyle="1" w:styleId="27">
    <w:name w:val="正文文本 Char"/>
    <w:link w:val="2"/>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9">
    <w:name w:val="List Paragraph"/>
    <w:basedOn w:val="1"/>
    <w:qFormat/>
    <w:uiPriority w:val="34"/>
    <w:pPr>
      <w:ind w:firstLine="420" w:firstLineChars="200"/>
    </w:pPr>
  </w:style>
  <w:style w:type="character" w:customStyle="1" w:styleId="30">
    <w:name w:val="标题 1 Char"/>
    <w:basedOn w:val="18"/>
    <w:link w:val="3"/>
    <w:qFormat/>
    <w:uiPriority w:val="9"/>
    <w:rPr>
      <w:rFonts w:ascii="Times New Roman" w:hAnsi="Times New Roman"/>
      <w:b/>
      <w:bCs/>
      <w:kern w:val="44"/>
      <w:sz w:val="44"/>
      <w:szCs w:val="44"/>
    </w:rPr>
  </w:style>
  <w:style w:type="character" w:customStyle="1" w:styleId="31">
    <w:name w:val="标题 2 Char"/>
    <w:basedOn w:val="18"/>
    <w:link w:val="4"/>
    <w:qFormat/>
    <w:uiPriority w:val="9"/>
    <w:rPr>
      <w:rFonts w:asciiTheme="majorHAnsi" w:hAnsiTheme="majorHAnsi" w:eastAsiaTheme="majorEastAsia" w:cstheme="majorBidi"/>
      <w:b/>
      <w:bCs/>
      <w:kern w:val="2"/>
      <w:sz w:val="32"/>
      <w:szCs w:val="32"/>
    </w:rPr>
  </w:style>
  <w:style w:type="paragraph" w:customStyle="1" w:styleId="32">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批注框文本 Char"/>
    <w:basedOn w:val="18"/>
    <w:link w:val="10"/>
    <w:semiHidden/>
    <w:qFormat/>
    <w:uiPriority w:val="99"/>
    <w:rPr>
      <w:rFonts w:ascii="Times New Roman" w:hAnsi="Times New Roman"/>
      <w:kern w:val="2"/>
      <w:sz w:val="18"/>
      <w:szCs w:val="18"/>
    </w:rPr>
  </w:style>
  <w:style w:type="character" w:customStyle="1" w:styleId="34">
    <w:name w:val="标题 3 Char"/>
    <w:basedOn w:val="18"/>
    <w:link w:val="5"/>
    <w:qFormat/>
    <w:uiPriority w:val="9"/>
    <w:rPr>
      <w:rFonts w:ascii="Times New Roman" w:hAnsi="Times New Roman"/>
      <w:b/>
      <w:bCs/>
      <w:kern w:val="2"/>
      <w:sz w:val="32"/>
      <w:szCs w:val="32"/>
    </w:rPr>
  </w:style>
  <w:style w:type="paragraph" w:customStyle="1" w:styleId="35">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6">
    <w:name w:val="四号正文"/>
    <w:basedOn w:val="1"/>
    <w:qFormat/>
    <w:uiPriority w:val="0"/>
    <w:pPr>
      <w:spacing w:line="360" w:lineRule="auto"/>
    </w:pPr>
    <w:rPr>
      <w:rFonts w:ascii="??" w:hAnsi="??" w:eastAsia="宋体"/>
      <w:color w:val="000000"/>
      <w:kern w:val="0"/>
      <w:sz w:val="28"/>
      <w:szCs w:val="21"/>
      <w:lang w:val="zh-CN" w:eastAsia="zh-CN"/>
    </w:rPr>
  </w:style>
  <w:style w:type="paragraph" w:customStyle="1" w:styleId="37">
    <w:name w:val="WPSOffice手动目录 1"/>
    <w:qFormat/>
    <w:uiPriority w:val="0"/>
    <w:pPr>
      <w:ind w:leftChars="0"/>
    </w:pPr>
    <w:rPr>
      <w:rFonts w:ascii="Times New Roman" w:hAnsi="Times New Roman" w:eastAsia="宋体" w:cs="Times New Roman"/>
      <w:sz w:val="20"/>
      <w:szCs w:val="20"/>
    </w:rPr>
  </w:style>
  <w:style w:type="paragraph" w:customStyle="1" w:styleId="38">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chart" Target="charts/chart2.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c\Desktop\2024&#24180;&#20915;&#31639;&#20844;&#24320;\&#25991;&#20214;4.xls" TargetMode="External"/></Relationships>
</file>

<file path=word/charts/_rels/chart2.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oleObject" Target="file:///C:\Users\pc\Desktop\2024&#24180;&#20915;&#31639;&#20844;&#24320;\&#25991;&#20214;4.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600" b="1" i="0" u="none" strike="noStrike" kern="1200" baseline="0">
                <a:solidFill>
                  <a:srgbClr val="44546A"/>
                </a:solidFill>
                <a:latin typeface="Times New Roman" panose="02020603050405020304"/>
                <a:ea typeface="永中宋体" panose="02010600030101010101" charset="-122"/>
                <a:cs typeface="Lucida Sans"/>
              </a:defRPr>
            </a:pPr>
            <a:r>
              <a:t>收入决算结构图</a:t>
            </a:r>
            <a:endParaRPr sz="1600" b="1" i="0" u="none" strike="noStrike" baseline="0">
              <a:solidFill>
                <a:srgbClr val="44546A"/>
              </a:solidFill>
              <a:latin typeface="Times New Roman" panose="02020603050405020304"/>
              <a:ea typeface="永中宋体" panose="02010600030101010101" charset="-122"/>
              <a:cs typeface="Lucida Sans"/>
            </a:endParaRPr>
          </a:p>
        </c:rich>
      </c:tx>
      <c:layout>
        <c:manualLayout>
          <c:x val="0.004"/>
          <c:y val="0"/>
        </c:manualLayout>
      </c:layout>
      <c:overlay val="false"/>
    </c:title>
    <c:autoTitleDeleted val="false"/>
    <c:plotArea>
      <c:layout>
        <c:manualLayout>
          <c:layoutTarget val="inner"/>
          <c:xMode val="edge"/>
          <c:yMode val="edge"/>
          <c:x val="0.163208762886598"/>
          <c:y val="0.170154840905224"/>
          <c:w val="0.624613402061856"/>
          <c:h val="0.824740513867619"/>
        </c:manualLayout>
      </c:layout>
      <c:pieChart>
        <c:varyColors val="true"/>
        <c:ser>
          <c:idx val="0"/>
          <c:order val="0"/>
          <c:tx>
            <c:strRef>
              <c:f>[文件4.xls]工作表1!$J$2</c:f>
              <c:strCache>
                <c:ptCount val="1"/>
                <c:pt idx="0">
                  <c:v>一般公共预算财政拨款收入</c:v>
                </c:pt>
              </c:strCache>
            </c:strRef>
          </c:tx>
          <c:spPr>
            <a:gradFill>
              <a:gsLst>
                <a:gs pos="0">
                  <a:srgbClr val="6EA9E0">
                    <a:alpha val="100000"/>
                  </a:srgbClr>
                </a:gs>
                <a:gs pos="100000">
                  <a:srgbClr val="418FD7">
                    <a:alpha val="100000"/>
                  </a:srgbClr>
                </a:gs>
              </a:gsLst>
              <a:lin ang="5400000" scaled="true"/>
            </a:gradFill>
            <a:ln w="3175">
              <a:noFill/>
            </a:ln>
          </c:spPr>
          <c:explosion val="0"/>
          <c:dPt>
            <c:idx val="0"/>
            <c:bubble3D val="false"/>
            <c:explosion val="0"/>
            <c:spPr>
              <a:gradFill>
                <a:gsLst>
                  <a:gs pos="0">
                    <a:srgbClr val="6EA9E0">
                      <a:alpha val="100000"/>
                    </a:srgbClr>
                  </a:gs>
                  <a:gs pos="100000">
                    <a:srgbClr val="418FD7">
                      <a:alpha val="100000"/>
                    </a:srgbClr>
                  </a:gs>
                </a:gsLst>
                <a:lin ang="5400000" scaled="true"/>
              </a:gradFill>
              <a:ln w="3175">
                <a:noFill/>
              </a:ln>
            </c:spPr>
          </c:dPt>
          <c:dLbls>
            <c:dLbl>
              <c:idx val="0"/>
              <c:layout>
                <c:manualLayout>
                  <c:x val="0.0117203195994644"/>
                  <c:y val="-0.270263318148868"/>
                </c:manualLayout>
              </c:layout>
              <c:tx>
                <c:rich>
                  <a:bodyPr rot="0" spcFirstLastPara="0" vertOverflow="ellipsis" vert="horz" wrap="square" lIns="38100" tIns="19050" rIns="38100" bIns="19050" anchor="ctr" anchorCtr="true"/>
                  <a:lstStyle/>
                  <a:p>
                    <a:pPr defTabSz="914400">
                      <a:defRPr lang="zh-CN" sz="1100" b="0" i="0" u="none" strike="noStrike" kern="1200" baseline="0">
                        <a:solidFill>
                          <a:srgbClr val="333F4F"/>
                        </a:solidFill>
                        <a:latin typeface="Times New Roman" panose="02020603050405020304"/>
                        <a:ea typeface="永中宋体" panose="02010600030101010101" charset="-122"/>
                        <a:cs typeface="Lucida Sans"/>
                      </a:defRPr>
                    </a:pPr>
                    <a:r>
                      <a:t>一般公共预算财政拨款收入</a:t>
                    </a:r>
                    <a:r>
                      <a:rPr lang="en-US" altLang="zh-CN"/>
                      <a:t>4163.03</a:t>
                    </a:r>
                    <a:r>
                      <a:rPr altLang="en-US"/>
                      <a:t>万元</a:t>
                    </a:r>
                    <a:r>
                      <a:t>，占本年收入100%</a:t>
                    </a:r>
                    <a:endParaRPr sz="1100" b="0" i="0" u="none" strike="noStrike" baseline="0">
                      <a:solidFill>
                        <a:srgbClr val="333F4F"/>
                      </a:solidFill>
                      <a:latin typeface="Times New Roman" panose="02020603050405020304"/>
                      <a:ea typeface="永中宋体" panose="02010600030101010101" charset="-122"/>
                      <a:cs typeface="Lucida Sans"/>
                    </a:endParaRPr>
                  </a:p>
                </c:rich>
              </c:tx>
              <c:numFmt formatCode="0%" sourceLinked="false"/>
              <c:spPr>
                <a:noFill/>
                <a:ln>
                  <a:noFill/>
                </a:ln>
                <a:effectLst/>
              </c:spPr>
              <c:txPr>
                <a:bodyPr rot="0" spcFirstLastPara="0" vertOverflow="ellipsis" vert="horz" wrap="square" lIns="38100" tIns="19050" rIns="38100" bIns="19050" anchor="ctr" anchorCtr="true"/>
                <a:lstStyle/>
                <a:p>
                  <a:pPr>
                    <a:defRPr lang="zh-CN" sz="1100" b="0" i="0" u="none" strike="noStrike" kern="1200" baseline="0">
                      <a:solidFill>
                        <a:srgbClr val="333F4F"/>
                      </a:solidFill>
                      <a:latin typeface="Times New Roman" panose="02020603050405020304"/>
                      <a:ea typeface="永中宋体" panose="02010600030101010101" charset="-122"/>
                      <a:cs typeface="Lucida Sans"/>
                    </a:defRPr>
                  </a:pPr>
                </a:p>
              </c:txPr>
              <c:dLblPos val="bestFit"/>
              <c:showLegendKey val="false"/>
              <c:showVal val="false"/>
              <c:showCatName val="false"/>
              <c:showSerName val="false"/>
              <c:showPercent val="true"/>
              <c:showBubbleSize val="false"/>
              <c:extLst>
                <c:ext xmlns:c15="http://schemas.microsoft.com/office/drawing/2012/chart" uri="{CE6537A1-D6FC-4f65-9D91-7224C49458BB}">
                  <c15:layout>
                    <c:manualLayout>
                      <c:w val="0.417558334407632"/>
                      <c:h val="0.189312977099237"/>
                    </c:manualLayout>
                  </c15:layout>
                </c:ext>
              </c:extLst>
            </c:dLbl>
            <c:numFmt formatCode="0%" sourceLinked="false"/>
            <c:spPr>
              <a:noFill/>
              <a:ln w="12700">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333F4F"/>
                    </a:solidFill>
                    <a:latin typeface="Times New Roman" panose="02020603050405020304"/>
                    <a:ea typeface="永中宋体" panose="02010600030101010101" charset="-122"/>
                    <a:cs typeface="Lucida Sans"/>
                  </a:defRPr>
                </a:pPr>
              </a:p>
            </c:txPr>
            <c:dLblPos val="ctr"/>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rgbClr val="000000">
                          <a:alpha val="100000"/>
                        </a:srgbClr>
                      </a:solidFill>
                      <a:prstDash val="solid"/>
                      <a:round/>
                    </a:ln>
                  </c:spPr>
                </c15:leaderLines>
              </c:ext>
            </c:extLst>
          </c:dLbls>
          <c:val>
            <c:numRef>
              <c:f>[文件4.xls]工作表1!$K$2</c:f>
              <c:numCache>
                <c:formatCode>General</c:formatCode>
                <c:ptCount val="1"/>
                <c:pt idx="0">
                  <c:v>4163.03</c:v>
                </c:pt>
              </c:numCache>
            </c:numRef>
          </c:val>
        </c:ser>
        <c:dLbls>
          <c:showLegendKey val="false"/>
          <c:showVal val="false"/>
          <c:showCatName val="false"/>
          <c:showSerName val="false"/>
          <c:showPercent val="false"/>
          <c:showBubbleSize val="false"/>
          <c:showLeaderLines val="true"/>
        </c:dLbls>
        <c:firstSliceAng val="0"/>
      </c:pieChart>
      <c:spPr>
        <a:noFill/>
        <a:ln w="3175">
          <a:noFill/>
        </a:ln>
      </c:spPr>
    </c:plotArea>
    <c:plotVisOnly val="true"/>
    <c:dispBlanksAs val="zero"/>
    <c:showDLblsOverMax val="false"/>
  </c:chart>
  <c:spPr>
    <a:solidFill>
      <a:srgbClr val="FFFFFF">
        <a:alpha val="100000"/>
      </a:srgbClr>
    </a:solidFill>
    <a:ln w="12700" cap="flat" cmpd="sng" algn="ctr">
      <a:solidFill>
        <a:srgbClr val="DFE4EB">
          <a:alpha val="100000"/>
        </a:srgbClr>
      </a:solidFill>
      <a:prstDash val="solid"/>
      <a:round/>
    </a:ln>
  </c:spPr>
  <c:txPr>
    <a:bodyPr rot="0" wrap="square" anchor="ctr" anchorCtr="true"/>
    <a:lstStyle/>
    <a:p>
      <a:pPr>
        <a:defRPr lang="zh-CN" sz="900" b="0" i="0" u="none" strike="noStrike" baseline="0">
          <a:solidFill>
            <a:srgbClr val="000000"/>
          </a:solidFill>
          <a:latin typeface="永中宋体" panose="02010600030101010101" charset="-122"/>
          <a:ea typeface="永中宋体" panose="02010600030101010101" charset="-122"/>
          <a:cs typeface="永中宋体" panose="02010600030101010101" charset="-122"/>
        </a:defRPr>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true" forceAA="false"/>
          <a:lstStyle/>
          <a:p>
            <a:pPr>
              <a:defRPr lang="zh-CN" sz="1400" b="0" i="0" u="none" strike="noStrike" kern="1200" spc="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“三公”经费财政拨款支出结构</a:t>
            </a:r>
          </a:p>
        </c:rich>
      </c:tx>
      <c:layout/>
      <c:overlay val="false"/>
      <c:spPr>
        <a:noFill/>
        <a:ln>
          <a:noFill/>
        </a:ln>
        <a:effectLst/>
      </c:spPr>
    </c:title>
    <c:autoTitleDeleted val="false"/>
    <c:plotArea>
      <c:layout>
        <c:manualLayout>
          <c:layoutTarget val="inner"/>
          <c:xMode val="edge"/>
          <c:yMode val="edge"/>
          <c:x val="0.280921052631579"/>
          <c:y val="0.297786326632444"/>
          <c:w val="0.408016243636231"/>
          <c:h val="0.620557024541795"/>
        </c:manualLayout>
      </c:layout>
      <c:pieChart>
        <c:varyColors val="true"/>
        <c:ser>
          <c:idx val="0"/>
          <c:order val="0"/>
          <c:spPr>
            <a:ln w="31750" cmpd="dbl">
              <a:solidFill>
                <a:schemeClr val="bg1"/>
              </a:solidFill>
              <a:prstDash val="solid"/>
            </a:ln>
            <a:effectLst>
              <a:innerShdw blurRad="63500" dist="114300">
                <a:prstClr val="black">
                  <a:alpha val="50000"/>
                </a:prstClr>
              </a:innerShdw>
            </a:effectLst>
            <a:sp3d contourW="31750"/>
          </c:spPr>
          <c:explosion val="0"/>
          <c:dPt>
            <c:idx val="0"/>
            <c:bubble3D val="false"/>
            <c:spPr>
              <a:solidFill>
                <a:schemeClr val="accent1"/>
              </a:solidFill>
              <a:ln w="31750" cmpd="dbl">
                <a:solidFill>
                  <a:schemeClr val="bg1"/>
                </a:solidFill>
                <a:prstDash val="solid"/>
              </a:ln>
              <a:effectLst>
                <a:innerShdw blurRad="63500" dist="114300">
                  <a:schemeClr val="accent1">
                    <a:lumMod val="50000"/>
                    <a:alpha val="100000"/>
                  </a:schemeClr>
                </a:innerShdw>
              </a:effectLst>
              <a:sp3d contourW="31750"/>
            </c:spPr>
          </c:dPt>
          <c:dPt>
            <c:idx val="1"/>
            <c:bubble3D val="false"/>
            <c:spPr>
              <a:solidFill>
                <a:schemeClr val="accent2"/>
              </a:solidFill>
              <a:ln w="38100" cmpd="dbl">
                <a:solidFill>
                  <a:schemeClr val="bg1"/>
                </a:solidFill>
                <a:prstDash val="solid"/>
              </a:ln>
              <a:effectLst>
                <a:innerShdw blurRad="63500" dist="114300">
                  <a:schemeClr val="accent2">
                    <a:lumMod val="50000"/>
                    <a:alpha val="100000"/>
                  </a:schemeClr>
                </a:innerShdw>
              </a:effectLst>
              <a:sp3d contourW="38100"/>
            </c:spPr>
          </c:dPt>
          <c:dPt>
            <c:idx val="2"/>
            <c:bubble3D val="false"/>
            <c:spPr>
              <a:solidFill>
                <a:schemeClr val="accent3"/>
              </a:solidFill>
              <a:ln w="31750" cmpd="dbl">
                <a:solidFill>
                  <a:schemeClr val="bg1"/>
                </a:solidFill>
                <a:prstDash val="solid"/>
              </a:ln>
              <a:effectLst>
                <a:innerShdw blurRad="63500" dist="114300">
                  <a:schemeClr val="accent3">
                    <a:lumMod val="50000"/>
                    <a:alpha val="100000"/>
                  </a:schemeClr>
                </a:innerShdw>
              </a:effectLst>
              <a:sp3d contourW="31750"/>
            </c:spPr>
          </c:dPt>
          <c:dLbls>
            <c:dLbl>
              <c:idx val="0"/>
              <c:layout>
                <c:manualLayout>
                  <c:x val="0.0836842105263158"/>
                  <c:y val="0.0360216129677807"/>
                </c:manualLayout>
              </c:layout>
              <c:numFmt formatCode="0.00%" sourceLinked="false"/>
              <c:spPr>
                <a:noFill/>
                <a:ln w="12700" cmpd="sng">
                  <a:solidFill>
                    <a:srgbClr val="5B9BD5"/>
                  </a:solidFill>
                  <a:prstDash val="solid"/>
                </a:ln>
                <a:effectLst/>
              </c:spPr>
              <c:txPr>
                <a:bodyPr rot="0" spcFirstLastPara="0" vertOverflow="ellipsis" vert="horz" wrap="square" lIns="38100" tIns="19050" rIns="38100" bIns="19050" anchor="ctr" anchorCtr="true" forceAA="false"/>
                <a:lstStyle/>
                <a:p>
                  <a:pPr>
                    <a:defRPr lang="zh-CN" sz="900" b="0" i="0" u="none" strike="noStrike" kern="1200" baseline="0">
                      <a:gradFill>
                        <a:gsLst>
                          <a:gs pos="50000">
                            <a:schemeClr val="accent1"/>
                          </a:gs>
                          <a:gs pos="0">
                            <a:schemeClr val="accent1">
                              <a:lumMod val="25000"/>
                              <a:lumOff val="75000"/>
                            </a:schemeClr>
                          </a:gs>
                          <a:gs pos="100000">
                            <a:schemeClr val="accent1">
                              <a:lumMod val="85000"/>
                            </a:schemeClr>
                          </a:gs>
                        </a:gsLst>
                        <a:lin ang="5400000" scaled="true"/>
                      </a:gra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bestFit"/>
              <c:showLegendKey val="true"/>
              <c:showVal val="false"/>
              <c:showCatName val="true"/>
              <c:showSerName val="false"/>
              <c:showPercent val="true"/>
              <c:showBubbleSize val="false"/>
              <c:separator> </c:separator>
              <c:extLst>
                <c:ext xmlns:c15="http://schemas.microsoft.com/office/drawing/2012/chart" uri="{CE6537A1-D6FC-4f65-9D91-7224C49458BB}">
                  <c15:layout/>
                </c:ext>
              </c:extLst>
            </c:dLbl>
            <c:dLbl>
              <c:idx val="1"/>
              <c:layout>
                <c:manualLayout>
                  <c:x val="-0.108947368421053"/>
                  <c:y val="-0.0408244946968181"/>
                </c:manualLayout>
              </c:layout>
              <c:numFmt formatCode="0.00%" sourceLinked="false"/>
              <c:spPr>
                <a:noFill/>
                <a:ln w="12700" cmpd="sng">
                  <a:solidFill>
                    <a:srgbClr val="5B9BD5"/>
                  </a:solidFill>
                  <a:prstDash val="solid"/>
                </a:ln>
                <a:effectLst/>
              </c:spPr>
              <c:txPr>
                <a:bodyPr rot="0" spcFirstLastPara="0" vertOverflow="ellipsis" vert="horz" wrap="square" lIns="38100" tIns="19050" rIns="38100" bIns="19050" anchor="ctr" anchorCtr="true" forceAA="false"/>
                <a:lstStyle/>
                <a:p>
                  <a:pPr>
                    <a:defRPr lang="zh-CN" sz="900" b="0" i="0" u="none" strike="noStrike" kern="1200" baseline="0">
                      <a:solidFill>
                        <a:srgbClr val="FFC000"/>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bestFit"/>
              <c:showLegendKey val="true"/>
              <c:showVal val="false"/>
              <c:showCatName val="true"/>
              <c:showSerName val="false"/>
              <c:showPercent val="true"/>
              <c:showBubbleSize val="false"/>
              <c:separator> </c:separator>
              <c:extLst>
                <c:ext xmlns:c15="http://schemas.microsoft.com/office/drawing/2012/chart" uri="{CE6537A1-D6FC-4f65-9D91-7224C49458BB}">
                  <c15:layout/>
                </c:ext>
              </c:extLst>
            </c:dLbl>
            <c:dLbl>
              <c:idx val="2"/>
              <c:layout>
                <c:manualLayout>
                  <c:x val="-0.165789473684211"/>
                  <c:y val="0.00480288172903742"/>
                </c:manualLayout>
              </c:layout>
              <c:numFmt formatCode="0.00%" sourceLinked="false"/>
              <c:spPr>
                <a:noFill/>
                <a:ln w="12700" cmpd="sng">
                  <a:solidFill>
                    <a:srgbClr val="5B9BD5"/>
                  </a:solidFill>
                  <a:prstDash val="solid"/>
                </a:ln>
                <a:effectLst/>
              </c:spPr>
              <c:txPr>
                <a:bodyPr rot="0" spcFirstLastPara="0" vertOverflow="ellipsis" vert="horz" wrap="square" lIns="38100" tIns="19050" rIns="38100" bIns="19050" anchor="ctr" anchorCtr="true" forceAA="false"/>
                <a:lstStyle/>
                <a:p>
                  <a:pPr>
                    <a:defRPr lang="zh-CN" sz="900" b="0" i="0" u="none" strike="noStrike" kern="1200" baseline="0">
                      <a:solidFill>
                        <a:srgbClr val="7030A0"/>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bestFit"/>
              <c:showLegendKey val="true"/>
              <c:showVal val="false"/>
              <c:showCatName val="true"/>
              <c:showSerName val="false"/>
              <c:showPercent val="true"/>
              <c:showBubbleSize val="false"/>
              <c:separator> </c:separator>
              <c:extLst>
                <c:ext xmlns:c15="http://schemas.microsoft.com/office/drawing/2012/chart" uri="{CE6537A1-D6FC-4f65-9D91-7224C49458BB}">
                  <c15:layout/>
                </c:ext>
              </c:extLst>
            </c:dLbl>
            <c:numFmt formatCode="0.00%" sourceLinked="false"/>
            <c:spPr>
              <a:noFill/>
              <a:ln w="12700" cmpd="sng">
                <a:solidFill>
                  <a:srgbClr val="5B9BD5"/>
                </a:solidFill>
                <a:prstDash val="solid"/>
              </a:ln>
              <a:effectLst/>
            </c:spPr>
            <c:txPr>
              <a:bodyPr rot="0" spcFirstLastPara="0" vertOverflow="ellipsis" vert="horz" wrap="square" lIns="38100" tIns="19050" rIns="38100" bIns="19050" anchor="ctr" anchorCtr="true" forceAA="false"/>
              <a:lstStyle/>
              <a:p>
                <a:pPr>
                  <a:defRPr lang="zh-CN" sz="9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true"/>
            <c:showVal val="false"/>
            <c:showCatName val="true"/>
            <c:showSerName val="false"/>
            <c:showPercent val="true"/>
            <c:showBubbleSize val="false"/>
            <c:separator> </c:separator>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[文件4.xls]工作表1!$P$12:$P$14</c:f>
              <c:strCache>
                <c:ptCount val="3"/>
                <c:pt idx="0">
                  <c:v>因公出国（境）费</c:v>
                </c:pt>
                <c:pt idx="1">
                  <c:v>公务用车购置及运行维护费</c:v>
                </c:pt>
                <c:pt idx="2">
                  <c:v>公务接待费</c:v>
                </c:pt>
              </c:strCache>
            </c:strRef>
          </c:cat>
          <c:val>
            <c:numRef>
              <c:f>[文件4.xls]工作表1!$Q$12:$Q$14</c:f>
              <c:numCache>
                <c:formatCode>General</c:formatCode>
                <c:ptCount val="3"/>
                <c:pt idx="0">
                  <c:v>11.6</c:v>
                </c:pt>
                <c:pt idx="1">
                  <c:v>39.66</c:v>
                </c:pt>
                <c:pt idx="2">
                  <c:v>1.54</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plotVisOnly val="true"/>
    <c:dispBlanksAs val="gap"/>
    <c:showDLblsOverMax val="false"/>
  </c:chart>
  <c:spPr>
    <a:solidFill>
      <a:schemeClr val="bg1"/>
    </a:solidFill>
    <a:ln w="12700" cap="flat" cmpd="sng" algn="ctr">
      <a:solidFill>
        <a:sysClr val="windowText" lastClr="000000">
          <a:lumMod val="50000"/>
          <a:lumOff val="50000"/>
        </a:sysClr>
      </a:solidFill>
      <a:prstDash val="solid"/>
      <a:round/>
    </a:ln>
    <a:effectLst/>
  </c:spPr>
  <c:txPr>
    <a:bodyPr/>
    <a:lstStyle/>
    <a:p>
      <a:pPr>
        <a:defRPr lang="zh-CN">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6097144-55e2-49a7-a727-62ccff64b659}"/>
        <w:style w:val=""/>
        <w:category>
          <w:name w:val="常规"/>
          <w:gallery w:val="placeholder"/>
        </w:category>
        <w:types>
          <w:type w:val="bbPlcHdr"/>
        </w:types>
        <w:behaviors>
          <w:behavior w:val="content"/>
        </w:behaviors>
        <w:description w:val=""/>
        <w:guid w:val="{f6097144-55e2-49a7-a727-62ccff64b659}"/>
      </w:docPartPr>
      <w:docPartBody>
        <w:p>
          <w:r>
            <w:rPr>
              <w:color w:val="808080"/>
            </w:rPr>
            <w:t>单击此处输入文字。</w:t>
          </w:r>
        </w:p>
      </w:docPartBody>
    </w:docPart>
    <w:docPart>
      <w:docPartPr>
        <w:name w:val="{478f8be7-5420-4299-8044-b38f49c33ec5}"/>
        <w:style w:val=""/>
        <w:category>
          <w:name w:val="常规"/>
          <w:gallery w:val="placeholder"/>
        </w:category>
        <w:types>
          <w:type w:val="bbPlcHdr"/>
        </w:types>
        <w:behaviors>
          <w:behavior w:val="content"/>
        </w:behaviors>
        <w:description w:val=""/>
        <w:guid w:val="{478f8be7-5420-4299-8044-b38f49c33ec5}"/>
      </w:docPartPr>
      <w:docPartBody>
        <w:p>
          <w:r>
            <w:rPr>
              <w:color w:val="808080"/>
            </w:rPr>
            <w:t>单击此处输入文字。</w:t>
          </w:r>
        </w:p>
      </w:docPartBody>
    </w:docPart>
    <w:docPart>
      <w:docPartPr>
        <w:name w:val="{0515b897-449c-4b4a-a860-0bcbd786c4a7}"/>
        <w:style w:val=""/>
        <w:category>
          <w:name w:val="常规"/>
          <w:gallery w:val="placeholder"/>
        </w:category>
        <w:types>
          <w:type w:val="bbPlcHdr"/>
        </w:types>
        <w:behaviors>
          <w:behavior w:val="content"/>
        </w:behaviors>
        <w:description w:val=""/>
        <w:guid w:val="{0515b897-449c-4b4a-a860-0bcbd786c4a7}"/>
      </w:docPartPr>
      <w:docPartBody>
        <w:p>
          <w:r>
            <w:rPr>
              <w:color w:val="808080"/>
            </w:rPr>
            <w:t>单击此处输入文字。</w:t>
          </w:r>
        </w:p>
      </w:docPartBody>
    </w:docPart>
    <w:docPart>
      <w:docPartPr>
        <w:name w:val="{4bd3e04b-0252-4a0e-9335-63eb1c321b11}"/>
        <w:style w:val=""/>
        <w:category>
          <w:name w:val="常规"/>
          <w:gallery w:val="placeholder"/>
        </w:category>
        <w:types>
          <w:type w:val="bbPlcHdr"/>
        </w:types>
        <w:behaviors>
          <w:behavior w:val="content"/>
        </w:behaviors>
        <w:description w:val=""/>
        <w:guid w:val="{4bd3e04b-0252-4a0e-9335-63eb1c321b11}"/>
      </w:docPartPr>
      <w:docPartBody>
        <w:p>
          <w:r>
            <w:rPr>
              <w:color w:val="808080"/>
            </w:rPr>
            <w:t>单击此处输入文字。</w:t>
          </w:r>
        </w:p>
      </w:docPartBody>
    </w:docPart>
    <w:docPart>
      <w:docPartPr>
        <w:name w:val="{4b76f297-ea6c-49ea-9c5f-31b6ef083125}"/>
        <w:style w:val=""/>
        <w:category>
          <w:name w:val="常规"/>
          <w:gallery w:val="placeholder"/>
        </w:category>
        <w:types>
          <w:type w:val="bbPlcHdr"/>
        </w:types>
        <w:behaviors>
          <w:behavior w:val="content"/>
        </w:behaviors>
        <w:description w:val=""/>
        <w:guid w:val="{4b76f297-ea6c-49ea-9c5f-31b6ef083125}"/>
      </w:docPartPr>
      <w:docPartBody>
        <w:p>
          <w:r>
            <w:rPr>
              <w:color w:val="808080"/>
            </w:rPr>
            <w:t>单击此处输入文字。</w:t>
          </w:r>
        </w:p>
      </w:docPartBody>
    </w:docPart>
    <w:docPart>
      <w:docPartPr>
        <w:name w:val="{eefc5a22-9001-4d38-a183-442efbf2cecd}"/>
        <w:style w:val=""/>
        <w:category>
          <w:name w:val="常规"/>
          <w:gallery w:val="placeholder"/>
        </w:category>
        <w:types>
          <w:type w:val="bbPlcHdr"/>
        </w:types>
        <w:behaviors>
          <w:behavior w:val="content"/>
        </w:behaviors>
        <w:description w:val=""/>
        <w:guid w:val="{eefc5a22-9001-4d38-a183-442efbf2cecd}"/>
      </w:docPartPr>
      <w:docPartBody>
        <w:p>
          <w:r>
            <w:rPr>
              <w:color w:val="808080"/>
            </w:rPr>
            <w:t>单击此处输入文字。</w:t>
          </w:r>
        </w:p>
      </w:docPartBody>
    </w:docPart>
    <w:docPart>
      <w:docPartPr>
        <w:name w:val="{c2db00bb-4ff8-4ac7-af77-3326a0d20361}"/>
        <w:style w:val=""/>
        <w:category>
          <w:name w:val="常规"/>
          <w:gallery w:val="placeholder"/>
        </w:category>
        <w:types>
          <w:type w:val="bbPlcHdr"/>
        </w:types>
        <w:behaviors>
          <w:behavior w:val="content"/>
        </w:behaviors>
        <w:description w:val=""/>
        <w:guid w:val="{c2db00bb-4ff8-4ac7-af77-3326a0d20361}"/>
      </w:docPartPr>
      <w:docPartBody>
        <w:p>
          <w:r>
            <w:rPr>
              <w:color w:val="808080"/>
            </w:rPr>
            <w:t>单击此处输入文字。</w:t>
          </w:r>
        </w:p>
      </w:docPartBody>
    </w:docPart>
    <w:docPart>
      <w:docPartPr>
        <w:name w:val="{de42ce3d-4c15-466e-8730-e9b5e9dbb85c}"/>
        <w:style w:val=""/>
        <w:category>
          <w:name w:val="常规"/>
          <w:gallery w:val="placeholder"/>
        </w:category>
        <w:types>
          <w:type w:val="bbPlcHdr"/>
        </w:types>
        <w:behaviors>
          <w:behavior w:val="content"/>
        </w:behaviors>
        <w:description w:val=""/>
        <w:guid w:val="{de42ce3d-4c15-466e-8730-e9b5e9dbb85c}"/>
      </w:docPartPr>
      <w:docPartBody>
        <w:p>
          <w:r>
            <w:rPr>
              <w:color w:val="808080"/>
            </w:rPr>
            <w:t>单击此处输入文字。</w:t>
          </w:r>
        </w:p>
      </w:docPartBody>
    </w:docPart>
    <w:docPart>
      <w:docPartPr>
        <w:name w:val="{0bf4b022-1d2c-4af2-a67f-3d249d63c47d}"/>
        <w:style w:val=""/>
        <w:category>
          <w:name w:val="常规"/>
          <w:gallery w:val="placeholder"/>
        </w:category>
        <w:types>
          <w:type w:val="bbPlcHdr"/>
        </w:types>
        <w:behaviors>
          <w:behavior w:val="content"/>
        </w:behaviors>
        <w:description w:val=""/>
        <w:guid w:val="{0bf4b022-1d2c-4af2-a67f-3d249d63c47d}"/>
      </w:docPartPr>
      <w:docPartBody>
        <w:p>
          <w:r>
            <w:rPr>
              <w:color w:val="808080"/>
            </w:rPr>
            <w:t>单击此处输入文字。</w:t>
          </w:r>
        </w:p>
      </w:docPartBody>
    </w:docPart>
    <w:docPart>
      <w:docPartPr>
        <w:name w:val="{f3f55f3c-e46d-45ec-8426-ef81b93d6ddb}"/>
        <w:style w:val=""/>
        <w:category>
          <w:name w:val="常规"/>
          <w:gallery w:val="placeholder"/>
        </w:category>
        <w:types>
          <w:type w:val="bbPlcHdr"/>
        </w:types>
        <w:behaviors>
          <w:behavior w:val="content"/>
        </w:behaviors>
        <w:description w:val=""/>
        <w:guid w:val="{f3f55f3c-e46d-45ec-8426-ef81b93d6ddb}"/>
      </w:docPartPr>
      <w:docPartBody>
        <w:p>
          <w:r>
            <w:rPr>
              <w:color w:val="808080"/>
            </w:rPr>
            <w:t>单击此处输入文字。</w:t>
          </w:r>
        </w:p>
      </w:docPartBody>
    </w:docPart>
    <w:docPart>
      <w:docPartPr>
        <w:name w:val="{997a0337-ab34-41bd-a3c3-4012d460d010}"/>
        <w:style w:val=""/>
        <w:category>
          <w:name w:val="常规"/>
          <w:gallery w:val="placeholder"/>
        </w:category>
        <w:types>
          <w:type w:val="bbPlcHdr"/>
        </w:types>
        <w:behaviors>
          <w:behavior w:val="content"/>
        </w:behaviors>
        <w:description w:val=""/>
        <w:guid w:val="{997a0337-ab34-41bd-a3c3-4012d460d010}"/>
      </w:docPartPr>
      <w:docPartBody>
        <w:p>
          <w:r>
            <w:rPr>
              <w:color w:val="808080"/>
            </w:rPr>
            <w:t>单击此处输入文字。</w:t>
          </w:r>
        </w:p>
      </w:docPartBody>
    </w:docPart>
    <w:docPart>
      <w:docPartPr>
        <w:name w:val="{21333c9f-82e6-447b-af31-6586c53589a6}"/>
        <w:style w:val=""/>
        <w:category>
          <w:name w:val="常规"/>
          <w:gallery w:val="placeholder"/>
        </w:category>
        <w:types>
          <w:type w:val="bbPlcHdr"/>
        </w:types>
        <w:behaviors>
          <w:behavior w:val="content"/>
        </w:behaviors>
        <w:description w:val=""/>
        <w:guid w:val="{21333c9f-82e6-447b-af31-6586c53589a6}"/>
      </w:docPartPr>
      <w:docPartBody>
        <w:p>
          <w:r>
            <w:rPr>
              <w:color w:val="808080"/>
            </w:rPr>
            <w:t>单击此处输入文字。</w:t>
          </w:r>
        </w:p>
      </w:docPartBody>
    </w:docPart>
    <w:docPart>
      <w:docPartPr>
        <w:name w:val="{cadbd507-70c5-47ab-bb09-e5f6a9858cbd}"/>
        <w:style w:val=""/>
        <w:category>
          <w:name w:val="常规"/>
          <w:gallery w:val="placeholder"/>
        </w:category>
        <w:types>
          <w:type w:val="bbPlcHdr"/>
        </w:types>
        <w:behaviors>
          <w:behavior w:val="content"/>
        </w:behaviors>
        <w:description w:val=""/>
        <w:guid w:val="{cadbd507-70c5-47ab-bb09-e5f6a9858cbd}"/>
      </w:docPartPr>
      <w:docPartBody>
        <w:p>
          <w:r>
            <w:rPr>
              <w:color w:val="808080"/>
            </w:rPr>
            <w:t>单击此处输入文字。</w:t>
          </w:r>
        </w:p>
      </w:docPartBody>
    </w:docPart>
    <w:docPart>
      <w:docPartPr>
        <w:name w:val="{7ec27e81-db40-4186-845d-598d569b2bda}"/>
        <w:style w:val=""/>
        <w:category>
          <w:name w:val="常规"/>
          <w:gallery w:val="placeholder"/>
        </w:category>
        <w:types>
          <w:type w:val="bbPlcHdr"/>
        </w:types>
        <w:behaviors>
          <w:behavior w:val="content"/>
        </w:behaviors>
        <w:description w:val=""/>
        <w:guid w:val="{7ec27e81-db40-4186-845d-598d569b2bda}"/>
      </w:docPartPr>
      <w:docPartBody>
        <w:p>
          <w:r>
            <w:rPr>
              <w:color w:val="808080"/>
            </w:rPr>
            <w:t>单击此处输入文字。</w:t>
          </w:r>
        </w:p>
      </w:docPartBody>
    </w:docPart>
    <w:docPart>
      <w:docPartPr>
        <w:name w:val="{3f8d39e2-471c-4eb9-93d4-2004f6066063}"/>
        <w:style w:val=""/>
        <w:category>
          <w:name w:val="常规"/>
          <w:gallery w:val="placeholder"/>
        </w:category>
        <w:types>
          <w:type w:val="bbPlcHdr"/>
        </w:types>
        <w:behaviors>
          <w:behavior w:val="content"/>
        </w:behaviors>
        <w:description w:val=""/>
        <w:guid w:val="{3f8d39e2-471c-4eb9-93d4-2004f6066063}"/>
      </w:docPartPr>
      <w:docPartBody>
        <w:p>
          <w:r>
            <w:rPr>
              <w:color w:val="808080"/>
            </w:rPr>
            <w:t>单击此处输入文字。</w:t>
          </w:r>
        </w:p>
      </w:docPartBody>
    </w:docPart>
    <w:docPart>
      <w:docPartPr>
        <w:name w:val="{e9fc3531-dc01-42bf-b79f-07303b3baf48}"/>
        <w:style w:val=""/>
        <w:category>
          <w:name w:val="常规"/>
          <w:gallery w:val="placeholder"/>
        </w:category>
        <w:types>
          <w:type w:val="bbPlcHdr"/>
        </w:types>
        <w:behaviors>
          <w:behavior w:val="content"/>
        </w:behaviors>
        <w:description w:val=""/>
        <w:guid w:val="{e9fc3531-dc01-42bf-b79f-07303b3baf48}"/>
      </w:docPartPr>
      <w:docPartBody>
        <w:p>
          <w:r>
            <w:rPr>
              <w:color w:val="808080"/>
            </w:rPr>
            <w:t>单击此处输入文字。</w:t>
          </w:r>
        </w:p>
      </w:docPartBody>
    </w:docPart>
    <w:docPart>
      <w:docPartPr>
        <w:name w:val="{bd4cc7b2-627a-408a-9453-9f7bf8777834}"/>
        <w:style w:val=""/>
        <w:category>
          <w:name w:val="常规"/>
          <w:gallery w:val="placeholder"/>
        </w:category>
        <w:types>
          <w:type w:val="bbPlcHdr"/>
        </w:types>
        <w:behaviors>
          <w:behavior w:val="content"/>
        </w:behaviors>
        <w:description w:val=""/>
        <w:guid w:val="{bd4cc7b2-627a-408a-9453-9f7bf8777834}"/>
      </w:docPartPr>
      <w:docPartBody>
        <w:p>
          <w:r>
            <w:rPr>
              <w:color w:val="808080"/>
            </w:rPr>
            <w:t>单击此处输入文字。</w:t>
          </w:r>
        </w:p>
      </w:docPartBody>
    </w:docPart>
    <w:docPart>
      <w:docPartPr>
        <w:name w:val="{3eea80dc-9248-47ad-a3c2-15a274d6cbd0}"/>
        <w:style w:val=""/>
        <w:category>
          <w:name w:val="常规"/>
          <w:gallery w:val="placeholder"/>
        </w:category>
        <w:types>
          <w:type w:val="bbPlcHdr"/>
        </w:types>
        <w:behaviors>
          <w:behavior w:val="content"/>
        </w:behaviors>
        <w:description w:val=""/>
        <w:guid w:val="{3eea80dc-9248-47ad-a3c2-15a274d6cbd0}"/>
      </w:docPartPr>
      <w:docPartBody>
        <w:p>
          <w:r>
            <w:rPr>
              <w:color w:val="808080"/>
            </w:rPr>
            <w:t>单击此处输入文字。</w:t>
          </w:r>
        </w:p>
      </w:docPartBody>
    </w:docPart>
    <w:docPart>
      <w:docPartPr>
        <w:name w:val="{e623334f-fe19-4c41-ba24-0949f4957ce3}"/>
        <w:style w:val=""/>
        <w:category>
          <w:name w:val="常规"/>
          <w:gallery w:val="placeholder"/>
        </w:category>
        <w:types>
          <w:type w:val="bbPlcHdr"/>
        </w:types>
        <w:behaviors>
          <w:behavior w:val="content"/>
        </w:behaviors>
        <w:description w:val=""/>
        <w:guid w:val="{e623334f-fe19-4c41-ba24-0949f4957ce3}"/>
      </w:docPartPr>
      <w:docPartBody>
        <w:p>
          <w:r>
            <w:rPr>
              <w:color w:val="808080"/>
            </w:rPr>
            <w:t>单击此处输入文字。</w:t>
          </w:r>
        </w:p>
      </w:docPartBody>
    </w:docPart>
    <w:docPart>
      <w:docPartPr>
        <w:name w:val="{6e268ae7-a815-4212-81d6-84d20c02c9c9}"/>
        <w:style w:val=""/>
        <w:category>
          <w:name w:val="常规"/>
          <w:gallery w:val="placeholder"/>
        </w:category>
        <w:types>
          <w:type w:val="bbPlcHdr"/>
        </w:types>
        <w:behaviors>
          <w:behavior w:val="content"/>
        </w:behaviors>
        <w:description w:val=""/>
        <w:guid w:val="{6e268ae7-a815-4212-81d6-84d20c02c9c9}"/>
      </w:docPartPr>
      <w:docPartBody>
        <w:p>
          <w:r>
            <w:rPr>
              <w:color w:val="808080"/>
            </w:rPr>
            <w:t>单击此处输入文字。</w:t>
          </w:r>
        </w:p>
      </w:docPartBody>
    </w:docPart>
    <w:docPart>
      <w:docPartPr>
        <w:name w:val="{b0fa8657-3acf-48e6-b554-d62577eea75e}"/>
        <w:style w:val=""/>
        <w:category>
          <w:name w:val="常规"/>
          <w:gallery w:val="placeholder"/>
        </w:category>
        <w:types>
          <w:type w:val="bbPlcHdr"/>
        </w:types>
        <w:behaviors>
          <w:behavior w:val="content"/>
        </w:behaviors>
        <w:description w:val=""/>
        <w:guid w:val="{b0fa8657-3acf-48e6-b554-d62577eea75e}"/>
      </w:docPartPr>
      <w:docPartBody>
        <w:p>
          <w:r>
            <w:rPr>
              <w:color w:val="808080"/>
            </w:rPr>
            <w:t>单击此处输入文字。</w:t>
          </w:r>
        </w:p>
      </w:docPartBody>
    </w:docPart>
    <w:docPart>
      <w:docPartPr>
        <w:name w:val="{a356e931-35ee-4713-8474-643eda73c80b}"/>
        <w:style w:val=""/>
        <w:category>
          <w:name w:val="常规"/>
          <w:gallery w:val="placeholder"/>
        </w:category>
        <w:types>
          <w:type w:val="bbPlcHdr"/>
        </w:types>
        <w:behaviors>
          <w:behavior w:val="content"/>
        </w:behaviors>
        <w:description w:val=""/>
        <w:guid w:val="{a356e931-35ee-4713-8474-643eda73c80b}"/>
      </w:docPartPr>
      <w:docPartBody>
        <w:p>
          <w:r>
            <w:rPr>
              <w:color w:val="808080"/>
            </w:rPr>
            <w:t>单击此处输入文字。</w:t>
          </w:r>
        </w:p>
      </w:docPartBody>
    </w:docPart>
    <w:docPart>
      <w:docPartPr>
        <w:name w:val="{6b36350d-c884-4b9b-a30b-957d4027fd23}"/>
        <w:style w:val=""/>
        <w:category>
          <w:name w:val="常规"/>
          <w:gallery w:val="placeholder"/>
        </w:category>
        <w:types>
          <w:type w:val="bbPlcHdr"/>
        </w:types>
        <w:behaviors>
          <w:behavior w:val="content"/>
        </w:behaviors>
        <w:description w:val=""/>
        <w:guid w:val="{6b36350d-c884-4b9b-a30b-957d4027fd23}"/>
      </w:docPartPr>
      <w:docPartBody>
        <w:p>
          <w:r>
            <w:rPr>
              <w:color w:val="808080"/>
            </w:rPr>
            <w:t>单击此处输入文字。</w:t>
          </w:r>
        </w:p>
      </w:docPartBody>
    </w:docPart>
    <w:docPart>
      <w:docPartPr>
        <w:name w:val="{5680a8d8-1a44-42c3-a60b-c187a881b914}"/>
        <w:style w:val=""/>
        <w:category>
          <w:name w:val="常规"/>
          <w:gallery w:val="placeholder"/>
        </w:category>
        <w:types>
          <w:type w:val="bbPlcHdr"/>
        </w:types>
        <w:behaviors>
          <w:behavior w:val="content"/>
        </w:behaviors>
        <w:description w:val=""/>
        <w:guid w:val="{5680a8d8-1a44-42c3-a60b-c187a881b914}"/>
      </w:docPartPr>
      <w:docPartBody>
        <w:p>
          <w:r>
            <w:rPr>
              <w:color w:val="808080"/>
            </w:rPr>
            <w:t>单击此处输入文字。</w:t>
          </w:r>
        </w:p>
      </w:docPartBody>
    </w:docPart>
    <w:docPart>
      <w:docPartPr>
        <w:name w:val="{0ec9d608-fd9f-426b-a55b-f3ca62d57c0e}"/>
        <w:style w:val=""/>
        <w:category>
          <w:name w:val="常规"/>
          <w:gallery w:val="placeholder"/>
        </w:category>
        <w:types>
          <w:type w:val="bbPlcHdr"/>
        </w:types>
        <w:behaviors>
          <w:behavior w:val="content"/>
        </w:behaviors>
        <w:description w:val=""/>
        <w:guid w:val="{0ec9d608-fd9f-426b-a55b-f3ca62d57c0e}"/>
      </w:docPartPr>
      <w:docPartBody>
        <w:p>
          <w:r>
            <w:rPr>
              <w:color w:val="808080"/>
            </w:rPr>
            <w:t>单击此处输入文字。</w:t>
          </w:r>
        </w:p>
      </w:docPartBody>
    </w:docPart>
    <w:docPart>
      <w:docPartPr>
        <w:name w:val="{e8128a04-6c96-4474-90bc-8c4afe625219}"/>
        <w:style w:val=""/>
        <w:category>
          <w:name w:val="常规"/>
          <w:gallery w:val="placeholder"/>
        </w:category>
        <w:types>
          <w:type w:val="bbPlcHdr"/>
        </w:types>
        <w:behaviors>
          <w:behavior w:val="content"/>
        </w:behaviors>
        <w:description w:val=""/>
        <w:guid w:val="{e8128a04-6c96-4474-90bc-8c4afe625219}"/>
      </w:docPartPr>
      <w:docPartBody>
        <w:p>
          <w:r>
            <w:rPr>
              <w:color w:val="808080"/>
            </w:rPr>
            <w:t>单击此处输入文字。</w:t>
          </w:r>
        </w:p>
      </w:docPartBody>
    </w:docPart>
    <w:docPart>
      <w:docPartPr>
        <w:name w:val="{ef4d12b5-bd09-4b74-af3d-206227b12657}"/>
        <w:style w:val=""/>
        <w:category>
          <w:name w:val="常规"/>
          <w:gallery w:val="placeholder"/>
        </w:category>
        <w:types>
          <w:type w:val="bbPlcHdr"/>
        </w:types>
        <w:behaviors>
          <w:behavior w:val="content"/>
        </w:behaviors>
        <w:description w:val=""/>
        <w:guid w:val="{ef4d12b5-bd09-4b74-af3d-206227b12657}"/>
      </w:docPartPr>
      <w:docPartBody>
        <w:p>
          <w:r>
            <w:rPr>
              <w:color w:val="808080"/>
            </w:rPr>
            <w:t>单击此处输入文字。</w:t>
          </w:r>
        </w:p>
      </w:docPartBody>
    </w:docPart>
    <w:docPart>
      <w:docPartPr>
        <w:name w:val="{22fc2e1f-fdbd-4ca2-8373-dc7fc7ff5530}"/>
        <w:style w:val=""/>
        <w:category>
          <w:name w:val="常规"/>
          <w:gallery w:val="placeholder"/>
        </w:category>
        <w:types>
          <w:type w:val="bbPlcHdr"/>
        </w:types>
        <w:behaviors>
          <w:behavior w:val="content"/>
        </w:behaviors>
        <w:description w:val=""/>
        <w:guid w:val="{22fc2e1f-fdbd-4ca2-8373-dc7fc7ff5530}"/>
      </w:docPartPr>
      <w:docPartBody>
        <w:p>
          <w:r>
            <w:rPr>
              <w:color w:val="808080"/>
            </w:rPr>
            <w:t>单击此处输入文字。</w:t>
          </w:r>
        </w:p>
      </w:docPartBody>
    </w:docPart>
    <w:docPart>
      <w:docPartPr>
        <w:name w:val="{a6ceab21-e630-48e1-93a3-4303f3d93ee0}"/>
        <w:style w:val=""/>
        <w:category>
          <w:name w:val="常规"/>
          <w:gallery w:val="placeholder"/>
        </w:category>
        <w:types>
          <w:type w:val="bbPlcHdr"/>
        </w:types>
        <w:behaviors>
          <w:behavior w:val="content"/>
        </w:behaviors>
        <w:description w:val=""/>
        <w:guid w:val="{a6ceab21-e630-48e1-93a3-4303f3d93ee0}"/>
      </w:docPartPr>
      <w:docPartBody>
        <w:p>
          <w:r>
            <w:rPr>
              <w:color w:val="808080"/>
            </w:rPr>
            <w:t>单击此处输入文字。</w:t>
          </w:r>
        </w:p>
      </w:docPartBody>
    </w:docPart>
    <w:docPart>
      <w:docPartPr>
        <w:name w:val="{ac1abae8-ed02-46af-8086-28d4af9bfa63}"/>
        <w:style w:val=""/>
        <w:category>
          <w:name w:val="常规"/>
          <w:gallery w:val="placeholder"/>
        </w:category>
        <w:types>
          <w:type w:val="bbPlcHdr"/>
        </w:types>
        <w:behaviors>
          <w:behavior w:val="content"/>
        </w:behaviors>
        <w:description w:val=""/>
        <w:guid w:val="{ac1abae8-ed02-46af-8086-28d4af9bfa63}"/>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彩色2">
    <a:dk1>
      <a:srgbClr val="000000"/>
    </a:dk1>
    <a:lt1>
      <a:srgbClr val="FFFFFF"/>
    </a:lt1>
    <a:dk2>
      <a:srgbClr val="44546A"/>
    </a:dk2>
    <a:lt2>
      <a:srgbClr val="E7E6E6"/>
    </a:lt2>
    <a:accent1>
      <a:srgbClr val="FF5958"/>
    </a:accent1>
    <a:accent2>
      <a:srgbClr val="FABB00"/>
    </a:accent2>
    <a:accent3>
      <a:srgbClr val="AC68FB"/>
    </a:accent3>
    <a:accent4>
      <a:srgbClr val="F75090"/>
    </a:accent4>
    <a:accent5>
      <a:srgbClr val="FF920C"/>
    </a:accent5>
    <a:accent6>
      <a:srgbClr val="ABD500"/>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21</Pages>
  <Words>15</Words>
  <Characters>18</Characters>
  <Lines>61</Lines>
  <Paragraphs>17</Paragraphs>
  <TotalTime>38</TotalTime>
  <ScaleCrop>false</ScaleCrop>
  <LinksUpToDate>false</LinksUpToDate>
  <CharactersWithSpaces>18</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2020-08-12T17:49:00Z</dcterms:created>
  <dc:creator>曹颖</dc:creator>
  <cp:lastModifiedBy>靜待婲閞</cp:lastModifiedBy>
  <cp:lastPrinted>2025-09-17T10:45:57Z</cp:lastPrinted>
  <dcterms:modified xsi:type="dcterms:W3CDTF">2025-09-17T10:53:01Z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04787F2533EB45DC91BCDE4AB213247F</vt:lpwstr>
  </property>
  <property fmtid="{D5CDD505-2E9C-101B-9397-08002B2CF9AE}" pid="4" name="KSOTemplateDocerSaveRecord">
    <vt:lpwstr>eyJoZGlkIjoiNzg0NmNiM2Y4ODRiZjExMDFjZDJlYmE0ZjI4ODNmNjAiLCJ1c2VySWQiOiIxMDc5MjkwNzI3In0=</vt:lpwstr>
  </property>
</Properties>
</file>