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ascii="Times New Roman" w:hAnsi="Times New Roman" w:eastAsia="方正小标宋简体" w:cs="Times New Roman"/>
          <w:color w:val="auto"/>
          <w:kern w:val="2"/>
          <w:sz w:val="72"/>
          <w:szCs w:val="72"/>
          <w:highlight w:val="none"/>
          <w:lang w:val="en-US" w:eastAsia="zh-CN" w:bidi="ar-SA"/>
        </w:rPr>
      </w:pPr>
      <w:bookmarkStart w:id="0" w:name="_Toc15396597"/>
      <w:bookmarkStart w:id="1" w:name="_Toc15378441"/>
      <w:bookmarkStart w:id="2" w:name="_Toc15377425"/>
      <w:bookmarkStart w:id="3" w:name="_Toc15377193"/>
      <w:bookmarkStart w:id="4" w:name="_Toc15396475"/>
      <w:bookmarkStart w:id="5" w:name="_Toc15306267"/>
    </w:p>
    <w:p>
      <w:pPr>
        <w:pStyle w:val="5"/>
        <w:rPr>
          <w:rFonts w:hint="eastAsia" w:ascii="Times New Roman" w:hAnsi="Times New Roman" w:eastAsia="方正小标宋简体" w:cs="Times New Roman"/>
          <w:color w:val="auto"/>
          <w:kern w:val="2"/>
          <w:sz w:val="72"/>
          <w:szCs w:val="72"/>
          <w:highlight w:val="none"/>
          <w:lang w:val="en-US" w:eastAsia="zh-CN" w:bidi="ar-SA"/>
        </w:rPr>
      </w:pPr>
    </w:p>
    <w:p>
      <w:pPr>
        <w:pStyle w:val="5"/>
        <w:rPr>
          <w:rFonts w:hint="eastAsia" w:ascii="Times New Roman" w:hAnsi="Times New Roman" w:eastAsia="方正小标宋简体" w:cs="Times New Roman"/>
          <w:color w:val="auto"/>
          <w:kern w:val="2"/>
          <w:sz w:val="72"/>
          <w:szCs w:val="72"/>
          <w:highlight w:val="none"/>
          <w:lang w:val="en-US" w:eastAsia="zh-CN" w:bidi="ar-SA"/>
        </w:rPr>
      </w:pPr>
    </w:p>
    <w:p>
      <w:pPr>
        <w:pStyle w:val="5"/>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Times New Roman" w:eastAsia="方正小标宋简体" w:cs="Times New Roman"/>
          <w:color w:val="auto"/>
          <w:kern w:val="2"/>
          <w:sz w:val="44"/>
          <w:szCs w:val="44"/>
          <w:highlight w:val="none"/>
          <w:lang w:val="en-US" w:eastAsia="zh-CN" w:bidi="ar-SA"/>
        </w:rPr>
        <w:t>市级</w:t>
      </w:r>
      <w:r>
        <w:rPr>
          <w:rFonts w:hint="eastAsia" w:ascii="Times New Roman" w:hAnsi="Times New Roman" w:eastAsia="方正小标宋简体" w:cs="Times New Roman"/>
          <w:color w:val="auto"/>
          <w:kern w:val="2"/>
          <w:sz w:val="44"/>
          <w:szCs w:val="44"/>
          <w:highlight w:val="none"/>
          <w:lang w:val="en-US" w:eastAsia="zh-CN" w:bidi="ar-SA"/>
        </w:rPr>
        <w:t>部门决算</w:t>
      </w:r>
    </w:p>
    <w:p>
      <w:pPr>
        <w:pStyle w:val="5"/>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公开文字说明</w:t>
      </w:r>
    </w:p>
    <w:p>
      <w:pPr>
        <w:spacing w:line="600" w:lineRule="exact"/>
        <w:jc w:val="center"/>
        <w:outlineLvl w:val="0"/>
        <w:rPr>
          <w:rFonts w:ascii="Times New Roman" w:hAnsi="Times New Roman" w:eastAsia="方正小标宋简体"/>
          <w:color w:val="auto"/>
          <w:sz w:val="72"/>
          <w:szCs w:val="72"/>
          <w:highlight w:val="none"/>
        </w:rPr>
      </w:pPr>
    </w:p>
    <w:p>
      <w:pPr>
        <w:pStyle w:val="20"/>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pPr>
        <w:rPr>
          <w:rFonts w:ascii="Times New Roman" w:hAnsi="Times New Roman"/>
        </w:rPr>
      </w:pPr>
    </w:p>
    <w:p>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pPr>
        <w:pStyle w:val="5"/>
        <w:jc w:val="center"/>
        <w:rPr>
          <w:rFonts w:hint="eastAsia" w:ascii="Times New Roman" w:eastAsia="方正小标宋简体" w:cs="Times New Roman"/>
          <w:color w:val="auto"/>
          <w:kern w:val="2"/>
          <w:sz w:val="44"/>
          <w:szCs w:val="44"/>
          <w:highlight w:val="none"/>
          <w:lang w:val="en-US" w:eastAsia="zh-CN" w:bidi="ar-SA"/>
        </w:rPr>
      </w:pPr>
      <w:bookmarkStart w:id="6" w:name="_Toc15378442"/>
      <w:bookmarkStart w:id="7" w:name="_Toc15396476"/>
      <w:bookmarkStart w:id="8" w:name="_Toc15396598"/>
      <w:bookmarkStart w:id="9" w:name="_Toc15377194"/>
      <w:bookmarkStart w:id="10" w:name="_Toc15377426"/>
      <w:r>
        <w:rPr>
          <w:rFonts w:hint="eastAsia" w:ascii="Times New Roman" w:hAnsi="Times New Roman" w:eastAsia="方正小标宋简体" w:cs="Times New Roman"/>
          <w:color w:val="auto"/>
          <w:kern w:val="2"/>
          <w:sz w:val="44"/>
          <w:szCs w:val="44"/>
          <w:highlight w:val="none"/>
          <w:lang w:val="en-US" w:eastAsia="zh-CN" w:bidi="ar-SA"/>
        </w:rPr>
        <w:t>2024年度</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攀枝花市人民政府办公室</w:t>
      </w:r>
    </w:p>
    <w:p>
      <w:pPr>
        <w:pStyle w:val="5"/>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p>
    <w:p>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9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17 </w:t>
      </w:r>
      <w:r>
        <w:rPr>
          <w:rFonts w:hint="eastAsia" w:ascii="Times New Roman" w:hAnsi="Times New Roman" w:eastAsia="仿宋_GB2312" w:cs="仿宋_GB2312"/>
          <w:color w:val="auto"/>
          <w:sz w:val="32"/>
          <w:szCs w:val="32"/>
          <w:highlight w:val="none"/>
        </w:rPr>
        <w:t>日</w:t>
      </w:r>
    </w:p>
    <w:p>
      <w:pPr>
        <w:rPr>
          <w:rFonts w:hint="eastAsia"/>
        </w:rPr>
      </w:pPr>
    </w:p>
    <w:sdt>
      <w:sdtPr>
        <w:rPr>
          <w:rFonts w:ascii="宋体" w:hAnsi="宋体" w:eastAsia="宋体" w:cs="Times New Roman"/>
          <w:kern w:val="2"/>
          <w:sz w:val="21"/>
          <w:szCs w:val="24"/>
          <w:lang w:val="en-US" w:eastAsia="zh-CN" w:bidi="ar-SA"/>
        </w:rPr>
        <w:id w:val="470601663"/>
        <w:docPartObj>
          <w:docPartGallery w:val="Table of Contents"/>
          <w:docPartUnique/>
        </w:docPartObj>
      </w:sdtPr>
      <w:sdtEndPr>
        <w:rPr>
          <w:rFonts w:asciiTheme="minorHAnsi" w:hAnsiTheme="minorHAnsi" w:eastAsiaTheme="minorEastAsia" w:cstheme="minorBidi"/>
          <w:kern w:val="2"/>
          <w:sz w:val="20"/>
          <w:szCs w:val="20"/>
          <w:lang w:val="en-US" w:eastAsia="zh-CN" w:bidi="ar-SA"/>
        </w:rPr>
      </w:sdtEndPr>
      <w:sdtContent>
        <w:p>
          <w:pPr>
            <w:pStyle w:val="36"/>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pPr>
          <w:bookmarkStart w:id="12" w:name="_Toc1982356465_WPSOffice_Type2"/>
          <w:r>
            <w:rPr>
              <w:b/>
              <w:bCs/>
            </w:rPr>
            <w:fldChar w:fldCharType="begin"/>
          </w:r>
          <w:r>
            <w:instrText xml:space="preserve"> HYPERLINK \l _Toc1506231160_WPSOffice_Level1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470601663"/>
              <w:placeholder>
                <w:docPart w:val="{9db22297-608a-4459-9add-c8f084b4e7ad}"/>
              </w:placeholder>
            </w:sdtPr>
            <w:sdtEndPr>
              <w:rPr>
                <w:rFonts w:ascii="Times New Roman" w:hAnsi="Times New Roman" w:eastAsia="宋体" w:cs="Times New Roman"/>
                <w:b/>
                <w:bCs/>
                <w:kern w:val="2"/>
                <w:sz w:val="21"/>
                <w:szCs w:val="24"/>
                <w:lang w:val="en-US" w:eastAsia="zh-CN" w:bidi="ar-SA"/>
              </w:rPr>
            </w:sdtEndPr>
            <w:sdtContent>
              <w:r>
                <w:rPr>
                  <w:rFonts w:hint="eastAsia" w:ascii="Times New Roman" w:hAnsi="Times New Roman" w:eastAsia="方正小标宋简体" w:cs="方正小标宋简体"/>
                  <w:b/>
                  <w:bCs/>
                </w:rPr>
                <w:t>第一部分  部门概况</w:t>
              </w:r>
            </w:sdtContent>
          </w:sdt>
          <w:r>
            <w:rPr>
              <w:b/>
              <w:bCs/>
            </w:rPr>
            <w:tab/>
          </w:r>
          <w:r>
            <w:rPr>
              <w:rFonts w:hint="eastAsia"/>
              <w:b/>
              <w:bCs/>
              <w:lang w:val="en-US" w:eastAsia="zh-CN"/>
            </w:rPr>
            <w:t>3</w:t>
          </w:r>
          <w:r>
            <w:rPr>
              <w:b/>
              <w:bCs/>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_Toc1982356465_WPSOffice_Level2 </w:instrText>
          </w:r>
          <w:r>
            <w:fldChar w:fldCharType="separate"/>
          </w:r>
          <w:sdt>
            <w:sdtPr>
              <w:rPr>
                <w:rFonts w:ascii="Times New Roman" w:hAnsi="Times New Roman" w:eastAsia="宋体" w:cs="Times New Roman"/>
                <w:kern w:val="2"/>
                <w:sz w:val="21"/>
                <w:szCs w:val="24"/>
                <w:lang w:val="en-US" w:eastAsia="zh-CN" w:bidi="ar-SA"/>
              </w:rPr>
              <w:id w:val="470601663"/>
              <w:placeholder>
                <w:docPart w:val="{01c972a4-023b-4468-b9bf-2f32d0a97b55}"/>
              </w:placeholder>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heme="majorBidi"/>
                </w:rPr>
                <w:t>一、部门职责</w:t>
              </w:r>
            </w:sdtContent>
          </w:sdt>
          <w:r>
            <w:tab/>
          </w:r>
          <w:r>
            <w:rPr>
              <w:rFonts w:hint="eastAsia"/>
              <w:lang w:val="en-US" w:eastAsia="zh-CN"/>
            </w:rPr>
            <w:t>3</w:t>
          </w:r>
          <w: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_Toc15454615_WPSOffice_Level2 </w:instrText>
          </w:r>
          <w:r>
            <w:fldChar w:fldCharType="separate"/>
          </w:r>
          <w:sdt>
            <w:sdtPr>
              <w:rPr>
                <w:rFonts w:ascii="Times New Roman" w:hAnsi="Times New Roman" w:eastAsia="宋体" w:cs="Times New Roman"/>
                <w:kern w:val="2"/>
                <w:sz w:val="21"/>
                <w:szCs w:val="24"/>
                <w:lang w:val="en-US" w:eastAsia="zh-CN" w:bidi="ar-SA"/>
              </w:rPr>
              <w:id w:val="470601663"/>
              <w:placeholder>
                <w:docPart w:val="{69134d90-bae0-434b-9865-e32bc2a23f18}"/>
              </w:placeholder>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heme="majorBidi"/>
                </w:rPr>
                <w:t>二、机构设置</w:t>
              </w:r>
            </w:sdtContent>
          </w:sdt>
          <w:r>
            <w:tab/>
          </w:r>
          <w:r>
            <w:rPr>
              <w:rFonts w:hint="eastAsia"/>
              <w:lang w:val="en-US" w:eastAsia="zh-CN"/>
            </w:rPr>
            <w:t>5</w:t>
          </w:r>
          <w:r>
            <w:fldChar w:fldCharType="end"/>
          </w:r>
        </w:p>
        <w:p>
          <w:pPr>
            <w:pStyle w:val="36"/>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pPr>
          <w:r>
            <w:rPr>
              <w:b/>
              <w:bCs/>
            </w:rPr>
            <w:fldChar w:fldCharType="begin"/>
          </w:r>
          <w:r>
            <w:instrText xml:space="preserve"> HYPERLINK \l _Toc1982356465_WPSOffice_Level1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470601663"/>
              <w:placeholder>
                <w:docPart w:val="{67876513-108b-4367-8e40-7e84eae5134f}"/>
              </w:placeholder>
            </w:sdtPr>
            <w:sdtEndPr>
              <w:rPr>
                <w:rFonts w:ascii="Times New Roman" w:hAnsi="Times New Roman" w:eastAsia="宋体" w:cs="Times New Roman"/>
                <w:b/>
                <w:bCs/>
                <w:kern w:val="2"/>
                <w:sz w:val="21"/>
                <w:szCs w:val="24"/>
                <w:lang w:val="en-US" w:eastAsia="zh-CN" w:bidi="ar-SA"/>
              </w:rPr>
            </w:sdtEndPr>
            <w:sdtContent>
              <w:r>
                <w:rPr>
                  <w:rFonts w:hint="eastAsia" w:ascii="Times New Roman" w:hAnsi="Times New Roman" w:eastAsia="方正小标宋简体" w:cs="方正小标宋简体"/>
                  <w:b/>
                  <w:bCs/>
                </w:rPr>
                <w:t>第二部分  2024年度部门决算情况说明</w:t>
              </w:r>
            </w:sdtContent>
          </w:sdt>
          <w:r>
            <w:rPr>
              <w:b/>
              <w:bCs/>
            </w:rPr>
            <w:tab/>
          </w:r>
          <w:bookmarkStart w:id="13" w:name="_Toc1982356465_WPSOffice_Level1Page"/>
          <w:r>
            <w:rPr>
              <w:b/>
              <w:bCs/>
            </w:rPr>
            <w:t>8</w:t>
          </w:r>
          <w:bookmarkEnd w:id="13"/>
          <w:r>
            <w:rPr>
              <w:b/>
              <w:bCs/>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_Toc1837271617_WPSOffice_Level2 </w:instrText>
          </w:r>
          <w:r>
            <w:fldChar w:fldCharType="separate"/>
          </w:r>
          <w:sdt>
            <w:sdtPr>
              <w:rPr>
                <w:rFonts w:ascii="Times New Roman" w:hAnsi="Times New Roman" w:eastAsia="宋体" w:cs="Times New Roman"/>
                <w:kern w:val="2"/>
                <w:sz w:val="21"/>
                <w:szCs w:val="24"/>
                <w:lang w:val="en-US" w:eastAsia="zh-CN" w:bidi="ar-SA"/>
              </w:rPr>
              <w:id w:val="470601663"/>
              <w:placeholder>
                <w:docPart w:val="{23d164a5-0b30-4293-acdf-c7df7570eee1}"/>
              </w:placeholder>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imes New Roman"/>
                </w:rPr>
                <w:t>一、收</w:t>
              </w:r>
              <w:r>
                <w:rPr>
                  <w:rFonts w:hint="eastAsia" w:ascii="Times New Roman" w:hAnsi="Times New Roman" w:eastAsia="黑体" w:cstheme="majorBidi"/>
                </w:rPr>
                <w:t>入支出决算总体情况说明</w:t>
              </w:r>
            </w:sdtContent>
          </w:sdt>
          <w:r>
            <w:tab/>
          </w:r>
          <w:bookmarkStart w:id="14" w:name="_Toc1837271617_WPSOffice_Level2Page"/>
          <w:r>
            <w:t>8</w:t>
          </w:r>
          <w:bookmarkEnd w:id="14"/>
          <w: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_Toc1720228247_WPSOffice_Level2 </w:instrText>
          </w:r>
          <w:r>
            <w:fldChar w:fldCharType="separate"/>
          </w:r>
          <w:sdt>
            <w:sdtPr>
              <w:rPr>
                <w:rFonts w:ascii="Times New Roman" w:hAnsi="Times New Roman" w:eastAsia="宋体" w:cs="Times New Roman"/>
                <w:kern w:val="2"/>
                <w:sz w:val="21"/>
                <w:szCs w:val="24"/>
                <w:lang w:val="en-US" w:eastAsia="zh-CN" w:bidi="ar-SA"/>
              </w:rPr>
              <w:id w:val="470601663"/>
              <w:placeholder>
                <w:docPart w:val="{0e90baf0-d5bb-4e53-a3e1-d4b991fd9e1f}"/>
              </w:placeholder>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imes New Roman"/>
                </w:rPr>
                <w:t>二、收入决算情况说明</w:t>
              </w:r>
            </w:sdtContent>
          </w:sdt>
          <w:r>
            <w:tab/>
          </w:r>
          <w:bookmarkStart w:id="15" w:name="_Toc1720228247_WPSOffice_Level2Page"/>
          <w:r>
            <w:t>8</w:t>
          </w:r>
          <w:bookmarkEnd w:id="15"/>
          <w: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_Toc1390844762_WPSOffice_Level2 </w:instrText>
          </w:r>
          <w:r>
            <w:fldChar w:fldCharType="separate"/>
          </w:r>
          <w:sdt>
            <w:sdtPr>
              <w:rPr>
                <w:rFonts w:ascii="Times New Roman" w:hAnsi="Times New Roman" w:eastAsia="宋体" w:cs="Times New Roman"/>
                <w:kern w:val="2"/>
                <w:sz w:val="21"/>
                <w:szCs w:val="24"/>
                <w:lang w:val="en-US" w:eastAsia="zh-CN" w:bidi="ar-SA"/>
              </w:rPr>
              <w:id w:val="470601663"/>
              <w:placeholder>
                <w:docPart w:val="{82ac2686-acc0-41c5-9127-1d2c9863b470}"/>
              </w:placeholder>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imes New Roman"/>
                </w:rPr>
                <w:t>三、支</w:t>
              </w:r>
              <w:r>
                <w:rPr>
                  <w:rFonts w:hint="eastAsia" w:ascii="Times New Roman" w:hAnsi="Times New Roman" w:eastAsia="黑体" w:cstheme="majorBidi"/>
                </w:rPr>
                <w:t>出决算情况说明</w:t>
              </w:r>
            </w:sdtContent>
          </w:sdt>
          <w:r>
            <w:tab/>
          </w:r>
          <w:r>
            <w:rPr>
              <w:rFonts w:hint="eastAsia"/>
              <w:lang w:val="en-US" w:eastAsia="zh-CN"/>
            </w:rPr>
            <w:t>8</w:t>
          </w:r>
          <w: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_Toc475541609_WPSOffice_Level2 </w:instrText>
          </w:r>
          <w:r>
            <w:fldChar w:fldCharType="separate"/>
          </w:r>
          <w:sdt>
            <w:sdtPr>
              <w:rPr>
                <w:rFonts w:ascii="Times New Roman" w:hAnsi="Times New Roman" w:eastAsia="宋体" w:cs="Times New Roman"/>
                <w:kern w:val="2"/>
                <w:sz w:val="21"/>
                <w:szCs w:val="24"/>
                <w:lang w:val="en-US" w:eastAsia="zh-CN" w:bidi="ar-SA"/>
              </w:rPr>
              <w:id w:val="470601663"/>
              <w:placeholder>
                <w:docPart w:val="{119710e6-9d9c-471a-a319-0da79c6a3f2a}"/>
              </w:placeholder>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imes New Roman"/>
                </w:rPr>
                <w:t>四、财</w:t>
              </w:r>
              <w:r>
                <w:rPr>
                  <w:rFonts w:hint="eastAsia" w:ascii="Times New Roman" w:hAnsi="Times New Roman" w:eastAsia="黑体" w:cstheme="majorBidi"/>
                </w:rPr>
                <w:t>政拨款收入支出决算总体情况说明</w:t>
              </w:r>
            </w:sdtContent>
          </w:sdt>
          <w:r>
            <w:tab/>
          </w:r>
          <w:r>
            <w:rPr>
              <w:rFonts w:hint="eastAsia"/>
              <w:lang w:val="en-US" w:eastAsia="zh-CN"/>
            </w:rPr>
            <w:t>9</w:t>
          </w:r>
          <w: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_Toc202813729_WPSOffice_Level2 </w:instrText>
          </w:r>
          <w:r>
            <w:fldChar w:fldCharType="separate"/>
          </w:r>
          <w:sdt>
            <w:sdtPr>
              <w:rPr>
                <w:rFonts w:ascii="Times New Roman" w:hAnsi="Times New Roman" w:eastAsia="宋体" w:cs="Times New Roman"/>
                <w:kern w:val="2"/>
                <w:sz w:val="21"/>
                <w:szCs w:val="24"/>
                <w:lang w:val="en-US" w:eastAsia="zh-CN" w:bidi="ar-SA"/>
              </w:rPr>
              <w:id w:val="470601663"/>
              <w:placeholder>
                <w:docPart w:val="{a2a91f73-0718-4dd0-b791-01b3c28532ee}"/>
              </w:placeholder>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imes New Roman"/>
                </w:rPr>
                <w:t>五、一</w:t>
              </w:r>
              <w:r>
                <w:rPr>
                  <w:rFonts w:hint="eastAsia" w:ascii="Times New Roman" w:hAnsi="Times New Roman" w:eastAsia="黑体" w:cstheme="majorBidi"/>
                </w:rPr>
                <w:t>般公共预算财政拨款支出决算情况说明</w:t>
              </w:r>
            </w:sdtContent>
          </w:sdt>
          <w:r>
            <w:tab/>
          </w:r>
          <w:r>
            <w:rPr>
              <w:rFonts w:hint="eastAsia"/>
              <w:lang w:val="en-US" w:eastAsia="zh-CN"/>
            </w:rPr>
            <w:t>9</w:t>
          </w:r>
          <w: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_Toc1276080832_WPSOffice_Level2 </w:instrText>
          </w:r>
          <w:r>
            <w:fldChar w:fldCharType="separate"/>
          </w:r>
          <w:sdt>
            <w:sdtPr>
              <w:rPr>
                <w:rFonts w:ascii="Times New Roman" w:hAnsi="Times New Roman" w:eastAsia="宋体" w:cs="Times New Roman"/>
                <w:kern w:val="2"/>
                <w:sz w:val="21"/>
                <w:szCs w:val="24"/>
                <w:lang w:val="en-US" w:eastAsia="zh-CN" w:bidi="ar-SA"/>
              </w:rPr>
              <w:id w:val="470601663"/>
              <w:placeholder>
                <w:docPart w:val="{dd504efb-1d0e-4d65-bab5-bcdd32fced52}"/>
              </w:placeholder>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imes New Roman"/>
                </w:rPr>
                <w:t>六、一</w:t>
              </w:r>
              <w:r>
                <w:rPr>
                  <w:rFonts w:hint="eastAsia" w:ascii="Times New Roman" w:hAnsi="Times New Roman" w:eastAsia="黑体" w:cstheme="majorBidi"/>
                </w:rPr>
                <w:t>般公共预算财政拨款基本支出决算情况说明</w:t>
              </w:r>
            </w:sdtContent>
          </w:sdt>
          <w:r>
            <w:tab/>
          </w:r>
          <w:bookmarkStart w:id="16" w:name="_Toc1276080832_WPSOffice_Level2Page"/>
          <w:r>
            <w:t>1</w:t>
          </w:r>
          <w:bookmarkEnd w:id="16"/>
          <w:r>
            <w:rPr>
              <w:rFonts w:hint="eastAsia"/>
              <w:lang w:val="en-US" w:eastAsia="zh-CN"/>
            </w:rPr>
            <w:t>3</w:t>
          </w:r>
          <w: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_Toc806899259_WPSOffice_Level2 </w:instrText>
          </w:r>
          <w:r>
            <w:fldChar w:fldCharType="separate"/>
          </w:r>
          <w:sdt>
            <w:sdtPr>
              <w:rPr>
                <w:rFonts w:ascii="Times New Roman" w:hAnsi="Times New Roman" w:eastAsia="宋体" w:cs="Times New Roman"/>
                <w:kern w:val="2"/>
                <w:sz w:val="21"/>
                <w:szCs w:val="24"/>
                <w:lang w:val="en-US" w:eastAsia="zh-CN" w:bidi="ar-SA"/>
              </w:rPr>
              <w:id w:val="470601663"/>
              <w:placeholder>
                <w:docPart w:val="{df7875cb-137c-4668-bcbf-88d222a9041b}"/>
              </w:placeholder>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imes New Roman"/>
                </w:rPr>
                <w:t>七、</w:t>
              </w:r>
              <w:r>
                <w:rPr>
                  <w:rFonts w:hint="eastAsia" w:ascii="Times New Roman" w:hAnsi="Times New Roman" w:eastAsia="黑体" w:cstheme="majorBidi"/>
                </w:rPr>
                <w:t>财政拨款“三公”经费支出决算情况说明</w:t>
              </w:r>
            </w:sdtContent>
          </w:sdt>
          <w:r>
            <w:tab/>
          </w:r>
          <w:bookmarkStart w:id="17" w:name="_Toc806899259_WPSOffice_Level2Page"/>
          <w:r>
            <w:t>1</w:t>
          </w:r>
          <w:bookmarkEnd w:id="17"/>
          <w:r>
            <w:rPr>
              <w:rFonts w:hint="eastAsia"/>
              <w:lang w:val="en-US" w:eastAsia="zh-CN"/>
            </w:rPr>
            <w:t>3</w:t>
          </w:r>
          <w:r>
            <w:fldChar w:fldCharType="end"/>
          </w:r>
          <w:bookmarkStart w:id="165" w:name="_GoBack"/>
          <w:bookmarkEnd w:id="165"/>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_Toc1037300688_WPSOffice_Level2 </w:instrText>
          </w:r>
          <w:r>
            <w:fldChar w:fldCharType="separate"/>
          </w:r>
          <w:sdt>
            <w:sdtPr>
              <w:rPr>
                <w:rFonts w:ascii="Times New Roman" w:hAnsi="Times New Roman" w:eastAsia="宋体" w:cs="Times New Roman"/>
                <w:kern w:val="2"/>
                <w:sz w:val="21"/>
                <w:szCs w:val="24"/>
                <w:lang w:val="en-US" w:eastAsia="zh-CN" w:bidi="ar-SA"/>
              </w:rPr>
              <w:id w:val="470601663"/>
              <w:placeholder>
                <w:docPart w:val="{b17f4bf1-6a38-45a5-ad4b-d85823385aed}"/>
              </w:placeholder>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imes New Roman"/>
                </w:rPr>
                <w:t>八、</w:t>
              </w:r>
              <w:r>
                <w:rPr>
                  <w:rFonts w:hint="eastAsia" w:ascii="Times New Roman" w:hAnsi="Times New Roman" w:eastAsia="黑体" w:cstheme="majorBidi"/>
                </w:rPr>
                <w:t>政府性基金预算支出决算情况说明</w:t>
              </w:r>
            </w:sdtContent>
          </w:sdt>
          <w:r>
            <w:tab/>
          </w:r>
          <w:bookmarkStart w:id="18" w:name="_Toc1037300688_WPSOffice_Level2Page"/>
          <w:r>
            <w:t>1</w:t>
          </w:r>
          <w:bookmarkEnd w:id="18"/>
          <w:r>
            <w:rPr>
              <w:rFonts w:hint="eastAsia"/>
              <w:lang w:val="en-US" w:eastAsia="zh-CN"/>
            </w:rPr>
            <w:t>5</w:t>
          </w:r>
          <w: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_Toc2054080575_WPSOffice_Level2 </w:instrText>
          </w:r>
          <w:r>
            <w:fldChar w:fldCharType="separate"/>
          </w:r>
          <w:sdt>
            <w:sdtPr>
              <w:rPr>
                <w:rFonts w:ascii="Times New Roman" w:hAnsi="Times New Roman" w:eastAsia="宋体" w:cs="Times New Roman"/>
                <w:kern w:val="2"/>
                <w:sz w:val="21"/>
                <w:szCs w:val="24"/>
                <w:lang w:val="en-US" w:eastAsia="zh-CN" w:bidi="ar-SA"/>
              </w:rPr>
              <w:id w:val="470601663"/>
              <w:placeholder>
                <w:docPart w:val="{8fb4ef5f-ac88-44f4-bcc9-1d7c98e0e0bd}"/>
              </w:placeholder>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heme="majorBidi"/>
                </w:rPr>
                <w:t>九、国有资本经营预算支出决算情况说明</w:t>
              </w:r>
            </w:sdtContent>
          </w:sdt>
          <w:r>
            <w:tab/>
          </w:r>
          <w:bookmarkStart w:id="19" w:name="_Toc2054080575_WPSOffice_Level2Page"/>
          <w:r>
            <w:t>1</w:t>
          </w:r>
          <w:bookmarkEnd w:id="19"/>
          <w:r>
            <w:rPr>
              <w:rFonts w:hint="eastAsia"/>
              <w:lang w:val="en-US" w:eastAsia="zh-CN"/>
            </w:rPr>
            <w:t>5</w:t>
          </w:r>
          <w: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_Toc1555140386_WPSOffice_Level2 </w:instrText>
          </w:r>
          <w:r>
            <w:fldChar w:fldCharType="separate"/>
          </w:r>
          <w:sdt>
            <w:sdtPr>
              <w:rPr>
                <w:rFonts w:ascii="Times New Roman" w:hAnsi="Times New Roman" w:eastAsia="宋体" w:cs="Times New Roman"/>
                <w:kern w:val="2"/>
                <w:sz w:val="21"/>
                <w:szCs w:val="24"/>
                <w:lang w:val="en-US" w:eastAsia="zh-CN" w:bidi="ar-SA"/>
              </w:rPr>
              <w:id w:val="470601663"/>
              <w:placeholder>
                <w:docPart w:val="{93f07a8f-b39f-4ca6-bea2-8c1bdb985062}"/>
              </w:placeholder>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heme="majorBidi"/>
                </w:rPr>
                <w:t>十、其他重要事项的情况说明</w:t>
              </w:r>
            </w:sdtContent>
          </w:sdt>
          <w:r>
            <w:tab/>
          </w:r>
          <w:bookmarkStart w:id="20" w:name="_Toc1555140386_WPSOffice_Level2Page"/>
          <w:r>
            <w:t>1</w:t>
          </w:r>
          <w:bookmarkEnd w:id="20"/>
          <w:r>
            <w:rPr>
              <w:rFonts w:hint="eastAsia"/>
              <w:lang w:val="en-US" w:eastAsia="zh-CN"/>
            </w:rPr>
            <w:t>5</w:t>
          </w:r>
          <w:r>
            <w:fldChar w:fldCharType="end"/>
          </w:r>
        </w:p>
        <w:p>
          <w:pPr>
            <w:pStyle w:val="36"/>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pPr>
          <w:r>
            <w:rPr>
              <w:b/>
              <w:bCs/>
            </w:rPr>
            <w:fldChar w:fldCharType="begin"/>
          </w:r>
          <w:r>
            <w:instrText xml:space="preserve"> HYPERLINK \l _Toc15454615_WPSOffice_Level1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470601663"/>
              <w:placeholder>
                <w:docPart w:val="{b03b06e7-3997-47f2-8bd5-66b1063e18dc}"/>
              </w:placeholder>
            </w:sdtPr>
            <w:sdtEndPr>
              <w:rPr>
                <w:rFonts w:ascii="Times New Roman" w:hAnsi="Times New Roman" w:eastAsia="宋体" w:cs="Times New Roman"/>
                <w:b/>
                <w:bCs/>
                <w:kern w:val="2"/>
                <w:sz w:val="21"/>
                <w:szCs w:val="24"/>
                <w:lang w:val="en-US" w:eastAsia="zh-CN" w:bidi="ar-SA"/>
              </w:rPr>
            </w:sdtEndPr>
            <w:sdtContent>
              <w:r>
                <w:rPr>
                  <w:rFonts w:hint="eastAsia" w:ascii="Times New Roman" w:hAnsi="Times New Roman" w:eastAsia="黑体" w:cs="Times New Roman"/>
                  <w:b/>
                  <w:bCs/>
                </w:rPr>
                <w:t>第三部分  名词解释</w:t>
              </w:r>
            </w:sdtContent>
          </w:sdt>
          <w:r>
            <w:rPr>
              <w:b/>
              <w:bCs/>
            </w:rPr>
            <w:tab/>
          </w:r>
          <w:bookmarkStart w:id="21" w:name="_Toc15454615_WPSOffice_Level1Page"/>
          <w:r>
            <w:rPr>
              <w:b/>
              <w:bCs/>
            </w:rPr>
            <w:t>1</w:t>
          </w:r>
          <w:bookmarkEnd w:id="21"/>
          <w:r>
            <w:rPr>
              <w:rFonts w:hint="eastAsia"/>
              <w:b/>
              <w:bCs/>
              <w:lang w:val="en-US" w:eastAsia="zh-CN"/>
            </w:rPr>
            <w:t>7</w:t>
          </w:r>
          <w:r>
            <w:rPr>
              <w:b/>
              <w:bCs/>
            </w:rPr>
            <w:fldChar w:fldCharType="end"/>
          </w:r>
        </w:p>
        <w:p>
          <w:pPr>
            <w:pStyle w:val="36"/>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pPr>
          <w:r>
            <w:rPr>
              <w:b/>
              <w:bCs/>
            </w:rPr>
            <w:fldChar w:fldCharType="begin"/>
          </w:r>
          <w:r>
            <w:instrText xml:space="preserve"> HYPERLINK \l _Toc1837271617_WPSOffice_Level1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470601663"/>
              <w:placeholder>
                <w:docPart w:val="{1c801237-e1f6-427d-8ae9-0a2633ae6b18}"/>
              </w:placeholder>
            </w:sdtPr>
            <w:sdtEndPr>
              <w:rPr>
                <w:rFonts w:ascii="Times New Roman" w:hAnsi="Times New Roman" w:eastAsia="宋体" w:cs="Times New Roman"/>
                <w:b/>
                <w:bCs/>
                <w:kern w:val="2"/>
                <w:sz w:val="21"/>
                <w:szCs w:val="24"/>
                <w:lang w:val="en-US" w:eastAsia="zh-CN" w:bidi="ar-SA"/>
              </w:rPr>
            </w:sdtEndPr>
            <w:sdtContent>
              <w:r>
                <w:rPr>
                  <w:rFonts w:hint="eastAsia" w:ascii="Times New Roman" w:hAnsi="Times New Roman" w:eastAsia="黑体" w:cs="Times New Roman"/>
                  <w:b/>
                  <w:bCs/>
                </w:rPr>
                <w:t>第四部分  附件</w:t>
              </w:r>
            </w:sdtContent>
          </w:sdt>
          <w:r>
            <w:rPr>
              <w:b/>
              <w:bCs/>
            </w:rPr>
            <w:tab/>
          </w:r>
          <w:bookmarkStart w:id="22" w:name="_Toc1837271617_WPSOffice_Level1Page"/>
          <w:r>
            <w:rPr>
              <w:b/>
              <w:bCs/>
            </w:rPr>
            <w:t>2</w:t>
          </w:r>
          <w:bookmarkEnd w:id="22"/>
          <w:r>
            <w:rPr>
              <w:rFonts w:hint="eastAsia"/>
              <w:b/>
              <w:bCs/>
              <w:lang w:val="en-US" w:eastAsia="zh-CN"/>
            </w:rPr>
            <w:t>1</w:t>
          </w:r>
          <w:r>
            <w:rPr>
              <w:b/>
              <w:bCs/>
            </w:rPr>
            <w:fldChar w:fldCharType="end"/>
          </w:r>
        </w:p>
        <w:p>
          <w:pPr>
            <w:pStyle w:val="36"/>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pPr>
          <w:r>
            <w:rPr>
              <w:b/>
              <w:bCs/>
            </w:rPr>
            <w:fldChar w:fldCharType="begin"/>
          </w:r>
          <w:r>
            <w:instrText xml:space="preserve"> HYPERLINK \l _Toc1720228247_WPSOffice_Level1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470601663"/>
              <w:placeholder>
                <w:docPart w:val="{c2edaee6-0ce0-4c63-94ee-1e9f4ace5e35}"/>
              </w:placeholder>
            </w:sdtPr>
            <w:sdtEndPr>
              <w:rPr>
                <w:rFonts w:ascii="Times New Roman" w:hAnsi="Times New Roman" w:eastAsia="宋体" w:cs="Times New Roman"/>
                <w:b/>
                <w:bCs/>
                <w:kern w:val="2"/>
                <w:sz w:val="21"/>
                <w:szCs w:val="24"/>
                <w:lang w:val="en-US" w:eastAsia="zh-CN" w:bidi="ar-SA"/>
              </w:rPr>
            </w:sdtEndPr>
            <w:sdtContent>
              <w:r>
                <w:rPr>
                  <w:rFonts w:hint="eastAsia" w:ascii="Times New Roman" w:hAnsi="Times New Roman" w:eastAsia="黑体" w:cs="Times New Roman"/>
                  <w:b/>
                  <w:bCs/>
                </w:rPr>
                <w:t>第五部分 附表</w:t>
              </w:r>
            </w:sdtContent>
          </w:sdt>
          <w:r>
            <w:rPr>
              <w:b/>
              <w:bCs/>
            </w:rPr>
            <w:tab/>
          </w:r>
          <w:bookmarkStart w:id="23" w:name="_Toc1720228247_WPSOffice_Level1Page"/>
          <w:r>
            <w:rPr>
              <w:b/>
              <w:bCs/>
            </w:rPr>
            <w:t>2</w:t>
          </w:r>
          <w:bookmarkEnd w:id="23"/>
          <w:r>
            <w:rPr>
              <w:rFonts w:hint="eastAsia"/>
              <w:b/>
              <w:bCs/>
              <w:lang w:val="en-US" w:eastAsia="zh-CN"/>
            </w:rPr>
            <w:t>7</w:t>
          </w:r>
          <w:r>
            <w:rPr>
              <w:b/>
              <w:bCs/>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_Toc2040674348_WPSOffice_Level2 </w:instrText>
          </w:r>
          <w:r>
            <w:fldChar w:fldCharType="separate"/>
          </w:r>
          <w:sdt>
            <w:sdtPr>
              <w:rPr>
                <w:rFonts w:ascii="Times New Roman" w:hAnsi="Times New Roman" w:eastAsia="宋体" w:cs="Times New Roman"/>
                <w:kern w:val="2"/>
                <w:sz w:val="21"/>
                <w:szCs w:val="24"/>
                <w:lang w:val="en-US" w:eastAsia="zh-CN" w:bidi="ar-SA"/>
              </w:rPr>
              <w:id w:val="470601663"/>
              <w:placeholder>
                <w:docPart w:val="{0bca76ba-e812-40e2-9868-6233f8903ce9}"/>
              </w:placeholder>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仿宋_GB2312" w:cs="仿宋_GB2312"/>
                </w:rPr>
                <w:t>一、收入支出决算总表</w:t>
              </w:r>
            </w:sdtContent>
          </w:sdt>
          <w:r>
            <w:tab/>
          </w:r>
          <w:bookmarkStart w:id="24" w:name="_Toc2040674348_WPSOffice_Level2Page"/>
          <w:r>
            <w:t>2</w:t>
          </w:r>
          <w:bookmarkEnd w:id="24"/>
          <w:r>
            <w:rPr>
              <w:rFonts w:hint="eastAsia"/>
              <w:lang w:val="en-US" w:eastAsia="zh-CN"/>
            </w:rPr>
            <w:t>7</w:t>
          </w:r>
          <w: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_Toc253693747_WPSOffice_Level2 </w:instrText>
          </w:r>
          <w:r>
            <w:fldChar w:fldCharType="separate"/>
          </w:r>
          <w:sdt>
            <w:sdtPr>
              <w:rPr>
                <w:rFonts w:ascii="Times New Roman" w:hAnsi="Times New Roman" w:eastAsia="宋体" w:cs="Times New Roman"/>
                <w:kern w:val="2"/>
                <w:sz w:val="21"/>
                <w:szCs w:val="24"/>
                <w:lang w:val="en-US" w:eastAsia="zh-CN" w:bidi="ar-SA"/>
              </w:rPr>
              <w:id w:val="470601663"/>
              <w:placeholder>
                <w:docPart w:val="{64173ce7-0d9c-4af2-8092-f31241fc49b5}"/>
              </w:placeholder>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仿宋_GB2312" w:cs="仿宋_GB2312"/>
                </w:rPr>
                <w:t>二、收入决算表</w:t>
              </w:r>
            </w:sdtContent>
          </w:sdt>
          <w:r>
            <w:tab/>
          </w:r>
          <w:bookmarkStart w:id="25" w:name="_Toc253693747_WPSOffice_Level2Page"/>
          <w:r>
            <w:t>2</w:t>
          </w:r>
          <w:bookmarkEnd w:id="25"/>
          <w:r>
            <w:rPr>
              <w:rFonts w:hint="eastAsia"/>
              <w:lang w:val="en-US" w:eastAsia="zh-CN"/>
            </w:rPr>
            <w:t>7</w:t>
          </w:r>
          <w: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_Toc1697649269_WPSOffice_Level2 </w:instrText>
          </w:r>
          <w:r>
            <w:fldChar w:fldCharType="separate"/>
          </w:r>
          <w:sdt>
            <w:sdtPr>
              <w:rPr>
                <w:rFonts w:ascii="Times New Roman" w:hAnsi="Times New Roman" w:eastAsia="宋体" w:cs="Times New Roman"/>
                <w:kern w:val="2"/>
                <w:sz w:val="21"/>
                <w:szCs w:val="24"/>
                <w:lang w:val="en-US" w:eastAsia="zh-CN" w:bidi="ar-SA"/>
              </w:rPr>
              <w:id w:val="470601663"/>
              <w:placeholder>
                <w:docPart w:val="{3c2acf77-bdf1-45de-aa2d-91cae3c3dc66}"/>
              </w:placeholder>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仿宋_GB2312" w:cs="仿宋_GB2312"/>
                </w:rPr>
                <w:t>三、支出决算表</w:t>
              </w:r>
            </w:sdtContent>
          </w:sdt>
          <w:r>
            <w:tab/>
          </w:r>
          <w:bookmarkStart w:id="26" w:name="_Toc1697649269_WPSOffice_Level2Page"/>
          <w:r>
            <w:t>2</w:t>
          </w:r>
          <w:bookmarkEnd w:id="26"/>
          <w:r>
            <w:rPr>
              <w:rFonts w:hint="eastAsia"/>
              <w:lang w:val="en-US" w:eastAsia="zh-CN"/>
            </w:rPr>
            <w:t>7</w:t>
          </w:r>
          <w: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_Toc682911729_WPSOffice_Level2 </w:instrText>
          </w:r>
          <w:r>
            <w:fldChar w:fldCharType="separate"/>
          </w:r>
          <w:sdt>
            <w:sdtPr>
              <w:rPr>
                <w:rFonts w:ascii="Times New Roman" w:hAnsi="Times New Roman" w:eastAsia="宋体" w:cs="Times New Roman"/>
                <w:kern w:val="2"/>
                <w:sz w:val="21"/>
                <w:szCs w:val="24"/>
                <w:lang w:val="en-US" w:eastAsia="zh-CN" w:bidi="ar-SA"/>
              </w:rPr>
              <w:id w:val="470601663"/>
              <w:placeholder>
                <w:docPart w:val="{9ce77380-feed-4472-b289-006b62e96e0e}"/>
              </w:placeholder>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仿宋_GB2312" w:cs="仿宋_GB2312"/>
                </w:rPr>
                <w:t>四、财政拨款收入支出决算总表</w:t>
              </w:r>
            </w:sdtContent>
          </w:sdt>
          <w:r>
            <w:tab/>
          </w:r>
          <w:bookmarkStart w:id="27" w:name="_Toc682911729_WPSOffice_Level2Page"/>
          <w:r>
            <w:t>2</w:t>
          </w:r>
          <w:bookmarkEnd w:id="27"/>
          <w:r>
            <w:rPr>
              <w:rFonts w:hint="eastAsia"/>
              <w:lang w:val="en-US" w:eastAsia="zh-CN"/>
            </w:rPr>
            <w:t>7</w:t>
          </w:r>
          <w: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_Toc800150202_WPSOffice_Level2 </w:instrText>
          </w:r>
          <w:r>
            <w:fldChar w:fldCharType="separate"/>
          </w:r>
          <w:sdt>
            <w:sdtPr>
              <w:rPr>
                <w:rFonts w:ascii="Times New Roman" w:hAnsi="Times New Roman" w:eastAsia="宋体" w:cs="Times New Roman"/>
                <w:kern w:val="2"/>
                <w:sz w:val="21"/>
                <w:szCs w:val="24"/>
                <w:lang w:val="en-US" w:eastAsia="zh-CN" w:bidi="ar-SA"/>
              </w:rPr>
              <w:id w:val="470601663"/>
              <w:placeholder>
                <w:docPart w:val="{d5a6b2ec-11d0-4224-ae68-388032598ffe}"/>
              </w:placeholder>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仿宋_GB2312" w:cs="仿宋_GB2312"/>
                </w:rPr>
                <w:t>五、财政拨款支出决算明细表</w:t>
              </w:r>
            </w:sdtContent>
          </w:sdt>
          <w:r>
            <w:tab/>
          </w:r>
          <w:bookmarkStart w:id="28" w:name="_Toc800150202_WPSOffice_Level2Page"/>
          <w:r>
            <w:t>2</w:t>
          </w:r>
          <w:bookmarkEnd w:id="28"/>
          <w:r>
            <w:rPr>
              <w:rFonts w:hint="eastAsia"/>
              <w:lang w:val="en-US" w:eastAsia="zh-CN"/>
            </w:rPr>
            <w:t>7</w:t>
          </w:r>
          <w: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_Toc1174487480_WPSOffice_Level2 </w:instrText>
          </w:r>
          <w:r>
            <w:fldChar w:fldCharType="separate"/>
          </w:r>
          <w:sdt>
            <w:sdtPr>
              <w:rPr>
                <w:rFonts w:ascii="Times New Roman" w:hAnsi="Times New Roman" w:eastAsia="宋体" w:cs="Times New Roman"/>
                <w:kern w:val="2"/>
                <w:sz w:val="21"/>
                <w:szCs w:val="24"/>
                <w:lang w:val="en-US" w:eastAsia="zh-CN" w:bidi="ar-SA"/>
              </w:rPr>
              <w:id w:val="470601663"/>
              <w:placeholder>
                <w:docPart w:val="{299e2a2a-0a2b-44db-9f7b-81e9a699334e}"/>
              </w:placeholder>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仿宋_GB2312" w:cs="仿宋_GB2312"/>
                </w:rPr>
                <w:t>六、一般公共预算财政拨款支出决算表</w:t>
              </w:r>
            </w:sdtContent>
          </w:sdt>
          <w:r>
            <w:tab/>
          </w:r>
          <w:bookmarkStart w:id="29" w:name="_Toc1174487480_WPSOffice_Level2Page"/>
          <w:r>
            <w:t>2</w:t>
          </w:r>
          <w:bookmarkEnd w:id="29"/>
          <w:r>
            <w:rPr>
              <w:rFonts w:hint="eastAsia"/>
              <w:lang w:val="en-US" w:eastAsia="zh-CN"/>
            </w:rPr>
            <w:t>7</w:t>
          </w:r>
          <w: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_Toc2130256135_WPSOffice_Level2 </w:instrText>
          </w:r>
          <w:r>
            <w:fldChar w:fldCharType="separate"/>
          </w:r>
          <w:sdt>
            <w:sdtPr>
              <w:rPr>
                <w:rFonts w:ascii="Times New Roman" w:hAnsi="Times New Roman" w:eastAsia="宋体" w:cs="Times New Roman"/>
                <w:kern w:val="2"/>
                <w:sz w:val="21"/>
                <w:szCs w:val="24"/>
                <w:lang w:val="en-US" w:eastAsia="zh-CN" w:bidi="ar-SA"/>
              </w:rPr>
              <w:id w:val="470601663"/>
              <w:placeholder>
                <w:docPart w:val="{85df0e5c-c68f-460a-885c-7abfd9939279}"/>
              </w:placeholder>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仿宋_GB2312" w:cs="仿宋_GB2312"/>
                </w:rPr>
                <w:t>七、一般公共预算财政拨款支出决算明细表</w:t>
              </w:r>
            </w:sdtContent>
          </w:sdt>
          <w:r>
            <w:tab/>
          </w:r>
          <w:bookmarkStart w:id="30" w:name="_Toc2130256135_WPSOffice_Level2Page"/>
          <w:r>
            <w:t>2</w:t>
          </w:r>
          <w:bookmarkEnd w:id="30"/>
          <w:r>
            <w:rPr>
              <w:rFonts w:hint="eastAsia"/>
              <w:lang w:val="en-US" w:eastAsia="zh-CN"/>
            </w:rPr>
            <w:t>7</w:t>
          </w:r>
          <w: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_Toc1235435049_WPSOffice_Level2 </w:instrText>
          </w:r>
          <w:r>
            <w:fldChar w:fldCharType="separate"/>
          </w:r>
          <w:sdt>
            <w:sdtPr>
              <w:rPr>
                <w:rFonts w:ascii="Times New Roman" w:hAnsi="Times New Roman" w:eastAsia="宋体" w:cs="Times New Roman"/>
                <w:kern w:val="2"/>
                <w:sz w:val="21"/>
                <w:szCs w:val="24"/>
                <w:lang w:val="en-US" w:eastAsia="zh-CN" w:bidi="ar-SA"/>
              </w:rPr>
              <w:id w:val="470601663"/>
              <w:placeholder>
                <w:docPart w:val="{afaf0073-a565-4a25-a001-210fc3bfaec8}"/>
              </w:placeholder>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仿宋_GB2312" w:cs="仿宋_GB2312"/>
                </w:rPr>
                <w:t>八、一般公共预算财政拨款基本支出决算表</w:t>
              </w:r>
            </w:sdtContent>
          </w:sdt>
          <w:r>
            <w:tab/>
          </w:r>
          <w:bookmarkStart w:id="31" w:name="_Toc1235435049_WPSOffice_Level2Page"/>
          <w:r>
            <w:t>2</w:t>
          </w:r>
          <w:bookmarkEnd w:id="31"/>
          <w:r>
            <w:rPr>
              <w:rFonts w:hint="eastAsia"/>
              <w:lang w:val="en-US" w:eastAsia="zh-CN"/>
            </w:rPr>
            <w:t>7</w:t>
          </w:r>
          <w: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_Toc2072476492_WPSOffice_Level2 </w:instrText>
          </w:r>
          <w:r>
            <w:fldChar w:fldCharType="separate"/>
          </w:r>
          <w:sdt>
            <w:sdtPr>
              <w:rPr>
                <w:rFonts w:ascii="Times New Roman" w:hAnsi="Times New Roman" w:eastAsia="宋体" w:cs="Times New Roman"/>
                <w:kern w:val="2"/>
                <w:sz w:val="21"/>
                <w:szCs w:val="24"/>
                <w:lang w:val="en-US" w:eastAsia="zh-CN" w:bidi="ar-SA"/>
              </w:rPr>
              <w:id w:val="470601663"/>
              <w:placeholder>
                <w:docPart w:val="{14782d99-056b-4429-b4a8-99e42990d5bd}"/>
              </w:placeholder>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仿宋_GB2312" w:cs="仿宋_GB2312"/>
                </w:rPr>
                <w:t>九、一般公共预算财政拨款项目支出决算表</w:t>
              </w:r>
            </w:sdtContent>
          </w:sdt>
          <w:r>
            <w:tab/>
          </w:r>
          <w:bookmarkStart w:id="32" w:name="_Toc2072476492_WPSOffice_Level2Page"/>
          <w:r>
            <w:t>2</w:t>
          </w:r>
          <w:bookmarkEnd w:id="32"/>
          <w:r>
            <w:rPr>
              <w:rFonts w:hint="eastAsia"/>
              <w:lang w:val="en-US" w:eastAsia="zh-CN"/>
            </w:rPr>
            <w:t>7</w:t>
          </w:r>
          <w: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_Toc68492317_WPSOffice_Level2 </w:instrText>
          </w:r>
          <w:r>
            <w:fldChar w:fldCharType="separate"/>
          </w:r>
          <w:sdt>
            <w:sdtPr>
              <w:rPr>
                <w:rFonts w:ascii="Times New Roman" w:hAnsi="Times New Roman" w:eastAsia="宋体" w:cs="Times New Roman"/>
                <w:kern w:val="2"/>
                <w:sz w:val="21"/>
                <w:szCs w:val="24"/>
                <w:lang w:val="en-US" w:eastAsia="zh-CN" w:bidi="ar-SA"/>
              </w:rPr>
              <w:id w:val="470601663"/>
              <w:placeholder>
                <w:docPart w:val="{5be83b52-91ae-4b89-97dc-591b69a10efd}"/>
              </w:placeholder>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仿宋_GB2312" w:cs="仿宋_GB2312"/>
                </w:rPr>
                <w:t>十、政府性基金预算财政拨款收入支出决算表</w:t>
              </w:r>
            </w:sdtContent>
          </w:sdt>
          <w:r>
            <w:tab/>
          </w:r>
          <w:bookmarkStart w:id="33" w:name="_Toc68492317_WPSOffice_Level2Page"/>
          <w:r>
            <w:t>2</w:t>
          </w:r>
          <w:bookmarkEnd w:id="33"/>
          <w:r>
            <w:rPr>
              <w:rFonts w:hint="eastAsia"/>
              <w:lang w:val="en-US" w:eastAsia="zh-CN"/>
            </w:rPr>
            <w:t>7</w:t>
          </w:r>
          <w: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_Toc872325055_WPSOffice_Level2 </w:instrText>
          </w:r>
          <w:r>
            <w:fldChar w:fldCharType="separate"/>
          </w:r>
          <w:sdt>
            <w:sdtPr>
              <w:rPr>
                <w:rFonts w:ascii="Times New Roman" w:hAnsi="Times New Roman" w:eastAsia="宋体" w:cs="Times New Roman"/>
                <w:kern w:val="2"/>
                <w:sz w:val="21"/>
                <w:szCs w:val="24"/>
                <w:lang w:val="en-US" w:eastAsia="zh-CN" w:bidi="ar-SA"/>
              </w:rPr>
              <w:id w:val="470601663"/>
              <w:placeholder>
                <w:docPart w:val="{8515cb47-3e75-42e4-8391-49fddec6bb35}"/>
              </w:placeholder>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仿宋_GB2312" w:cs="仿宋_GB2312"/>
                </w:rPr>
                <w:t>十一、国有资本经营预算财政拨款收入支出决算表</w:t>
              </w:r>
            </w:sdtContent>
          </w:sdt>
          <w:r>
            <w:tab/>
          </w:r>
          <w:bookmarkStart w:id="34" w:name="_Toc872325055_WPSOffice_Level2Page"/>
          <w:r>
            <w:t>2</w:t>
          </w:r>
          <w:bookmarkEnd w:id="34"/>
          <w:r>
            <w:rPr>
              <w:rFonts w:hint="eastAsia"/>
              <w:lang w:val="en-US" w:eastAsia="zh-CN"/>
            </w:rPr>
            <w:t>7</w:t>
          </w:r>
          <w: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_Toc2029733792_WPSOffice_Level2 </w:instrText>
          </w:r>
          <w:r>
            <w:fldChar w:fldCharType="separate"/>
          </w:r>
          <w:sdt>
            <w:sdtPr>
              <w:rPr>
                <w:rFonts w:ascii="Times New Roman" w:hAnsi="Times New Roman" w:eastAsia="宋体" w:cs="Times New Roman"/>
                <w:kern w:val="2"/>
                <w:sz w:val="21"/>
                <w:szCs w:val="24"/>
                <w:lang w:val="en-US" w:eastAsia="zh-CN" w:bidi="ar-SA"/>
              </w:rPr>
              <w:id w:val="470601663"/>
              <w:placeholder>
                <w:docPart w:val="{39b310b3-0f2b-41de-b8dd-b2da56fe26fe}"/>
              </w:placeholder>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仿宋_GB2312" w:cs="仿宋_GB2312"/>
                </w:rPr>
                <w:t>十二、国有资本经营预算财政拨款支出决算表</w:t>
              </w:r>
            </w:sdtContent>
          </w:sdt>
          <w:r>
            <w:tab/>
          </w:r>
          <w:bookmarkStart w:id="35" w:name="_Toc2029733792_WPSOffice_Level2Page"/>
          <w:r>
            <w:t>2</w:t>
          </w:r>
          <w:bookmarkEnd w:id="35"/>
          <w:r>
            <w:rPr>
              <w:rFonts w:hint="eastAsia"/>
              <w:lang w:val="en-US" w:eastAsia="zh-CN"/>
            </w:rPr>
            <w:t>7</w:t>
          </w:r>
          <w: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_Toc227481892_WPSOffice_Level2 </w:instrText>
          </w:r>
          <w:r>
            <w:fldChar w:fldCharType="separate"/>
          </w:r>
          <w:sdt>
            <w:sdtPr>
              <w:rPr>
                <w:rFonts w:ascii="Times New Roman" w:hAnsi="Times New Roman" w:eastAsia="宋体" w:cs="Times New Roman"/>
                <w:kern w:val="2"/>
                <w:sz w:val="21"/>
                <w:szCs w:val="24"/>
                <w:lang w:val="en-US" w:eastAsia="zh-CN" w:bidi="ar-SA"/>
              </w:rPr>
              <w:id w:val="470601663"/>
              <w:placeholder>
                <w:docPart w:val="{c5049d02-f3a3-4d37-9f26-5d351450efbe}"/>
              </w:placeholder>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仿宋_GB2312" w:cs="仿宋_GB2312"/>
                </w:rPr>
                <w:t>十三、财政拨款“三公”经费支出决算表</w:t>
              </w:r>
            </w:sdtContent>
          </w:sdt>
          <w:r>
            <w:tab/>
          </w:r>
          <w:bookmarkStart w:id="36" w:name="_Toc227481892_WPSOffice_Level2Page"/>
          <w:r>
            <w:t>2</w:t>
          </w:r>
          <w:bookmarkEnd w:id="36"/>
          <w:r>
            <w:rPr>
              <w:rFonts w:hint="eastAsia"/>
              <w:lang w:val="en-US" w:eastAsia="zh-CN"/>
            </w:rPr>
            <w:t>7</w:t>
          </w:r>
          <w:r>
            <w:fldChar w:fldCharType="end"/>
          </w:r>
          <w:bookmarkEnd w:id="12"/>
        </w:p>
      </w:sdtContent>
    </w:sdt>
    <w:p>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r>
        <w:rPr>
          <w:rFonts w:hint="eastAsia" w:ascii="Times New Roman" w:hAnsi="Times New Roman" w:eastAsia="仿宋_GB2312" w:cs="仿宋_GB2312"/>
          <w:b/>
          <w:color w:val="auto"/>
          <w:sz w:val="32"/>
          <w:szCs w:val="32"/>
          <w:highlight w:val="none"/>
        </w:rPr>
        <w:br w:type="page"/>
      </w:r>
    </w:p>
    <w:p>
      <w:pPr>
        <w:pStyle w:val="2"/>
        <w:jc w:val="center"/>
        <w:rPr>
          <w:rStyle w:val="29"/>
          <w:rFonts w:hint="eastAsia" w:ascii="Times New Roman" w:hAnsi="Times New Roman" w:eastAsia="方正小标宋简体" w:cs="方正小标宋简体"/>
          <w:b/>
          <w:bCs w:val="0"/>
          <w:color w:val="auto"/>
          <w:highlight w:val="none"/>
        </w:rPr>
      </w:pPr>
      <w:bookmarkStart w:id="37" w:name="_Toc1506231160_WPSOffice_Level1"/>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37"/>
    </w:p>
    <w:p>
      <w:pPr>
        <w:widowControl/>
        <w:jc w:val="left"/>
        <w:rPr>
          <w:rFonts w:ascii="Times New Roman" w:hAnsi="Times New Roman" w:eastAsia="黑体"/>
          <w:color w:val="auto"/>
          <w:sz w:val="32"/>
          <w:szCs w:val="32"/>
          <w:highlight w:val="none"/>
        </w:rPr>
      </w:pPr>
    </w:p>
    <w:p>
      <w:pPr>
        <w:pStyle w:val="3"/>
        <w:numPr>
          <w:ilvl w:val="0"/>
          <w:numId w:val="1"/>
        </w:numPr>
        <w:rPr>
          <w:rFonts w:hint="eastAsia" w:ascii="Times New Roman" w:hAnsi="Times New Roman" w:eastAsia="黑体"/>
          <w:b w:val="0"/>
          <w:color w:val="auto"/>
          <w:highlight w:val="none"/>
          <w:lang w:eastAsia="zh-CN"/>
        </w:rPr>
      </w:pPr>
      <w:bookmarkStart w:id="38" w:name="_Toc1982356465_WPSOffice_Level2"/>
      <w:r>
        <w:rPr>
          <w:rFonts w:hint="eastAsia" w:ascii="Times New Roman" w:hAnsi="Times New Roman" w:eastAsia="黑体"/>
          <w:b w:val="0"/>
          <w:color w:val="auto"/>
          <w:highlight w:val="none"/>
          <w:lang w:eastAsia="zh-CN"/>
        </w:rPr>
        <w:t>部门职责</w:t>
      </w:r>
      <w:bookmarkEnd w:id="38"/>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2" w:firstLineChars="200"/>
        <w:jc w:val="left"/>
        <w:textAlignment w:val="auto"/>
        <w:rPr>
          <w:rFonts w:hint="default" w:ascii="Times New Roman" w:hAnsi="Times New Roman" w:eastAsia="楷体_GB2312" w:cs="Times New Roman"/>
          <w:b/>
          <w:color w:val="auto"/>
          <w:kern w:val="2"/>
          <w:sz w:val="32"/>
          <w:szCs w:val="32"/>
          <w:highlight w:val="none"/>
          <w:lang w:val="en-US" w:eastAsia="zh-CN" w:bidi="ar-SA"/>
        </w:rPr>
      </w:pPr>
      <w:bookmarkStart w:id="39" w:name="_Toc363"/>
      <w:bookmarkStart w:id="40" w:name="_Toc29819"/>
      <w:bookmarkStart w:id="41" w:name="_Toc4440"/>
      <w:r>
        <w:rPr>
          <w:rFonts w:hint="eastAsia" w:ascii="Times New Roman" w:hAnsi="Times New Roman" w:eastAsia="楷体_GB2312" w:cs="Times New Roman"/>
          <w:b/>
          <w:color w:val="auto"/>
          <w:kern w:val="2"/>
          <w:sz w:val="32"/>
          <w:szCs w:val="32"/>
          <w:highlight w:val="none"/>
          <w:lang w:val="en-US" w:eastAsia="zh-CN" w:bidi="ar-SA"/>
        </w:rPr>
        <w:t>（一）市政府办公室职能简介。</w:t>
      </w:r>
      <w:bookmarkEnd w:id="39"/>
      <w:bookmarkEnd w:id="40"/>
      <w:bookmarkEnd w:id="41"/>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b w:val="0"/>
          <w:bCs w:val="0"/>
          <w:color w:val="333333"/>
          <w:spacing w:val="0"/>
          <w:sz w:val="32"/>
          <w:szCs w:val="32"/>
        </w:rPr>
      </w:pPr>
      <w:r>
        <w:rPr>
          <w:rFonts w:hint="eastAsia" w:ascii="方正仿宋_GBK" w:hAnsi="方正仿宋_GBK" w:eastAsia="方正仿宋_GBK" w:cs="方正仿宋_GBK"/>
          <w:b w:val="0"/>
          <w:bCs w:val="0"/>
          <w:color w:val="333333"/>
          <w:spacing w:val="0"/>
          <w:sz w:val="32"/>
          <w:szCs w:val="32"/>
        </w:rPr>
        <w:t>1</w:t>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b w:val="0"/>
          <w:bCs w:val="0"/>
          <w:color w:val="333333"/>
          <w:spacing w:val="0"/>
          <w:sz w:val="32"/>
          <w:szCs w:val="32"/>
        </w:rPr>
        <w:t>协助市政府领导同志组织起草或审核以市政府、市政府办公室名义发布的公文。办理省政府、省政府办公厅及省直部门发送市政府的文电。指导全市行政机关公文处理工作。</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b w:val="0"/>
          <w:bCs w:val="0"/>
          <w:color w:val="333333"/>
          <w:spacing w:val="0"/>
          <w:sz w:val="32"/>
          <w:szCs w:val="32"/>
        </w:rPr>
      </w:pPr>
      <w:r>
        <w:rPr>
          <w:rFonts w:hint="eastAsia" w:ascii="方正仿宋_GBK" w:hAnsi="方正仿宋_GBK" w:eastAsia="方正仿宋_GBK" w:cs="方正仿宋_GBK"/>
          <w:b w:val="0"/>
          <w:bCs w:val="0"/>
          <w:color w:val="333333"/>
          <w:spacing w:val="0"/>
          <w:sz w:val="32"/>
          <w:szCs w:val="32"/>
        </w:rPr>
        <w:t>2</w:t>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b w:val="0"/>
          <w:bCs w:val="0"/>
          <w:color w:val="333333"/>
          <w:spacing w:val="0"/>
          <w:sz w:val="32"/>
          <w:szCs w:val="32"/>
        </w:rPr>
        <w:t>研究市政府部门和县（区）人民政府</w:t>
      </w:r>
      <w:r>
        <w:rPr>
          <w:rFonts w:hint="eastAsia" w:ascii="方正仿宋_GBK" w:hAnsi="方正仿宋_GBK" w:eastAsia="方正仿宋_GBK" w:cs="方正仿宋_GBK"/>
          <w:b w:val="0"/>
          <w:bCs w:val="0"/>
          <w:color w:val="333333"/>
          <w:spacing w:val="0"/>
          <w:sz w:val="32"/>
          <w:szCs w:val="32"/>
          <w:lang w:eastAsia="zh-CN"/>
        </w:rPr>
        <w:t>、市政府派出机构</w:t>
      </w:r>
      <w:r>
        <w:rPr>
          <w:rFonts w:hint="eastAsia" w:ascii="方正仿宋_GBK" w:hAnsi="方正仿宋_GBK" w:eastAsia="方正仿宋_GBK" w:cs="方正仿宋_GBK"/>
          <w:b w:val="0"/>
          <w:bCs w:val="0"/>
          <w:color w:val="333333"/>
          <w:spacing w:val="0"/>
          <w:sz w:val="32"/>
          <w:szCs w:val="32"/>
        </w:rPr>
        <w:t>请示市政府的事项，提出审核意见，报市政府领导同志审批。</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b w:val="0"/>
          <w:bCs w:val="0"/>
          <w:color w:val="333333"/>
          <w:spacing w:val="0"/>
          <w:sz w:val="32"/>
          <w:szCs w:val="32"/>
        </w:rPr>
      </w:pPr>
      <w:r>
        <w:rPr>
          <w:rFonts w:hint="eastAsia" w:ascii="方正仿宋_GBK" w:hAnsi="方正仿宋_GBK" w:eastAsia="方正仿宋_GBK" w:cs="方正仿宋_GBK"/>
          <w:b w:val="0"/>
          <w:bCs w:val="0"/>
          <w:color w:val="333333"/>
          <w:spacing w:val="0"/>
          <w:sz w:val="32"/>
          <w:szCs w:val="32"/>
        </w:rPr>
        <w:t>3</w:t>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b w:val="0"/>
          <w:bCs w:val="0"/>
          <w:color w:val="333333"/>
          <w:spacing w:val="0"/>
          <w:sz w:val="32"/>
          <w:szCs w:val="32"/>
        </w:rPr>
        <w:t>负责市政府会议的准备工作，协助市政府领导同志组织实施会议决定事项。</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b w:val="0"/>
          <w:bCs w:val="0"/>
          <w:color w:val="333333"/>
          <w:spacing w:val="0"/>
          <w:sz w:val="32"/>
          <w:szCs w:val="32"/>
        </w:rPr>
      </w:pPr>
      <w:r>
        <w:rPr>
          <w:rFonts w:hint="eastAsia" w:ascii="方正仿宋_GBK" w:hAnsi="方正仿宋_GBK" w:eastAsia="方正仿宋_GBK" w:cs="方正仿宋_GBK"/>
          <w:b w:val="0"/>
          <w:bCs w:val="0"/>
          <w:color w:val="333333"/>
          <w:spacing w:val="0"/>
          <w:sz w:val="32"/>
          <w:szCs w:val="32"/>
        </w:rPr>
        <w:t>4</w:t>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b w:val="0"/>
          <w:bCs w:val="0"/>
          <w:color w:val="333333"/>
          <w:spacing w:val="0"/>
          <w:sz w:val="32"/>
          <w:szCs w:val="32"/>
        </w:rPr>
        <w:t>督促检查市政府部门和县（区）人民政府</w:t>
      </w:r>
      <w:r>
        <w:rPr>
          <w:rFonts w:hint="eastAsia" w:ascii="方正仿宋_GBK" w:hAnsi="方正仿宋_GBK" w:eastAsia="方正仿宋_GBK" w:cs="方正仿宋_GBK"/>
          <w:b w:val="0"/>
          <w:bCs w:val="0"/>
          <w:color w:val="333333"/>
          <w:spacing w:val="0"/>
          <w:sz w:val="32"/>
          <w:szCs w:val="32"/>
          <w:lang w:eastAsia="zh-CN"/>
        </w:rPr>
        <w:t>、市政府派出机构</w:t>
      </w:r>
      <w:r>
        <w:rPr>
          <w:rFonts w:hint="eastAsia" w:ascii="方正仿宋_GBK" w:hAnsi="方正仿宋_GBK" w:eastAsia="方正仿宋_GBK" w:cs="方正仿宋_GBK"/>
          <w:b w:val="0"/>
          <w:bCs w:val="0"/>
          <w:color w:val="333333"/>
          <w:spacing w:val="0"/>
          <w:sz w:val="32"/>
          <w:szCs w:val="32"/>
        </w:rPr>
        <w:t>对市政府决定事项及市政府领导同志指示的贯彻落实情况，及时向市政府领导同志报告。</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b w:val="0"/>
          <w:bCs w:val="0"/>
          <w:color w:val="333333"/>
          <w:spacing w:val="0"/>
          <w:sz w:val="32"/>
          <w:szCs w:val="32"/>
        </w:rPr>
      </w:pPr>
      <w:r>
        <w:rPr>
          <w:rFonts w:hint="eastAsia" w:ascii="方正仿宋_GBK" w:hAnsi="方正仿宋_GBK" w:eastAsia="方正仿宋_GBK" w:cs="方正仿宋_GBK"/>
          <w:b w:val="0"/>
          <w:bCs w:val="0"/>
          <w:color w:val="333333"/>
          <w:spacing w:val="0"/>
          <w:sz w:val="32"/>
          <w:szCs w:val="32"/>
        </w:rPr>
        <w:t>5</w:t>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b w:val="0"/>
          <w:bCs w:val="0"/>
          <w:color w:val="333333"/>
          <w:spacing w:val="0"/>
          <w:sz w:val="32"/>
          <w:szCs w:val="32"/>
        </w:rPr>
        <w:t>根据市政府领导同志的指示，对市政府部门间争议问题提出处理意见和建议，报市政府领导同志决定。</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b w:val="0"/>
          <w:bCs w:val="0"/>
          <w:color w:val="333333"/>
          <w:spacing w:val="0"/>
          <w:sz w:val="32"/>
          <w:szCs w:val="32"/>
        </w:rPr>
      </w:pPr>
      <w:r>
        <w:rPr>
          <w:rFonts w:hint="eastAsia" w:ascii="方正仿宋_GBK" w:hAnsi="方正仿宋_GBK" w:eastAsia="方正仿宋_GBK" w:cs="方正仿宋_GBK"/>
          <w:b w:val="0"/>
          <w:bCs w:val="0"/>
          <w:color w:val="333333"/>
          <w:spacing w:val="0"/>
          <w:sz w:val="32"/>
          <w:szCs w:val="32"/>
        </w:rPr>
        <w:t>6</w:t>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b w:val="0"/>
          <w:bCs w:val="0"/>
          <w:color w:val="333333"/>
          <w:spacing w:val="0"/>
          <w:sz w:val="32"/>
          <w:szCs w:val="32"/>
        </w:rPr>
        <w:t>负责市政府值班工作，指导市政府部门和县（区）人民政府</w:t>
      </w:r>
      <w:r>
        <w:rPr>
          <w:rFonts w:hint="eastAsia" w:ascii="方正仿宋_GBK" w:hAnsi="方正仿宋_GBK" w:eastAsia="方正仿宋_GBK" w:cs="方正仿宋_GBK"/>
          <w:b w:val="0"/>
          <w:bCs w:val="0"/>
          <w:color w:val="333333"/>
          <w:spacing w:val="0"/>
          <w:sz w:val="32"/>
          <w:szCs w:val="32"/>
          <w:lang w:eastAsia="zh-CN"/>
        </w:rPr>
        <w:t>、市政府派出机构</w:t>
      </w:r>
      <w:r>
        <w:rPr>
          <w:rFonts w:hint="eastAsia" w:ascii="方正仿宋_GBK" w:hAnsi="方正仿宋_GBK" w:eastAsia="方正仿宋_GBK" w:cs="方正仿宋_GBK"/>
          <w:b w:val="0"/>
          <w:bCs w:val="0"/>
          <w:color w:val="333333"/>
          <w:spacing w:val="0"/>
          <w:sz w:val="32"/>
          <w:szCs w:val="32"/>
        </w:rPr>
        <w:t>值班工作，及时报告重要情况。</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b w:val="0"/>
          <w:bCs w:val="0"/>
          <w:color w:val="333333"/>
          <w:spacing w:val="0"/>
          <w:sz w:val="32"/>
          <w:szCs w:val="32"/>
        </w:rPr>
      </w:pPr>
      <w:r>
        <w:rPr>
          <w:rFonts w:hint="eastAsia" w:ascii="方正仿宋_GBK" w:hAnsi="方正仿宋_GBK" w:eastAsia="方正仿宋_GBK" w:cs="方正仿宋_GBK"/>
          <w:b w:val="0"/>
          <w:bCs w:val="0"/>
          <w:color w:val="333333"/>
          <w:spacing w:val="0"/>
          <w:sz w:val="32"/>
          <w:szCs w:val="32"/>
        </w:rPr>
        <w:t>7</w:t>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b w:val="0"/>
          <w:bCs w:val="0"/>
          <w:color w:val="333333"/>
          <w:spacing w:val="0"/>
          <w:sz w:val="32"/>
          <w:szCs w:val="32"/>
        </w:rPr>
        <w:t>指导、监督全市政府信息公开工作，指导、监督全市政府系统电子政务工作和政府网站建设。</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b w:val="0"/>
          <w:bCs w:val="0"/>
          <w:color w:val="333333"/>
          <w:spacing w:val="0"/>
          <w:sz w:val="32"/>
          <w:szCs w:val="32"/>
        </w:rPr>
      </w:pPr>
      <w:r>
        <w:rPr>
          <w:rFonts w:hint="eastAsia" w:ascii="方正仿宋_GBK" w:hAnsi="方正仿宋_GBK" w:eastAsia="方正仿宋_GBK" w:cs="方正仿宋_GBK"/>
          <w:b w:val="0"/>
          <w:bCs w:val="0"/>
          <w:color w:val="333333"/>
          <w:spacing w:val="0"/>
          <w:sz w:val="32"/>
          <w:szCs w:val="32"/>
        </w:rPr>
        <w:t>8</w:t>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b w:val="0"/>
          <w:bCs w:val="0"/>
          <w:color w:val="333333"/>
          <w:spacing w:val="0"/>
          <w:sz w:val="32"/>
          <w:szCs w:val="32"/>
        </w:rPr>
        <w:t>围绕市政府中心工作和市政府领导同志的指示，组织专题调查研究，及时反映情况，提出政策性建议。</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b w:val="0"/>
          <w:bCs w:val="0"/>
          <w:color w:val="333333"/>
          <w:spacing w:val="0"/>
          <w:sz w:val="32"/>
          <w:szCs w:val="32"/>
        </w:rPr>
      </w:pPr>
      <w:r>
        <w:rPr>
          <w:rFonts w:hint="eastAsia" w:ascii="方正仿宋_GBK" w:hAnsi="方正仿宋_GBK" w:eastAsia="方正仿宋_GBK" w:cs="方正仿宋_GBK"/>
          <w:color w:val="333333"/>
          <w:spacing w:val="0"/>
          <w:sz w:val="32"/>
          <w:szCs w:val="32"/>
        </w:rPr>
        <w:t>9</w:t>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b w:val="0"/>
          <w:bCs w:val="0"/>
          <w:color w:val="333333"/>
          <w:spacing w:val="0"/>
          <w:sz w:val="32"/>
          <w:szCs w:val="32"/>
          <w:lang w:val="en-US" w:eastAsia="zh-CN"/>
        </w:rPr>
        <w:t>统筹管理全市外事工作，归口管理全市因公出国（境）工作，负责全市涉外管理、相关礼宾接待、国际友好城市缔结和对外友协工作，办理其他相关涉外事务。</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b w:val="0"/>
          <w:bCs w:val="0"/>
          <w:color w:val="333333"/>
          <w:spacing w:val="0"/>
          <w:sz w:val="32"/>
          <w:szCs w:val="32"/>
          <w:lang w:eastAsia="zh-CN"/>
        </w:rPr>
      </w:pPr>
      <w:r>
        <w:rPr>
          <w:rFonts w:hint="eastAsia" w:ascii="方正仿宋_GBK" w:hAnsi="方正仿宋_GBK" w:eastAsia="方正仿宋_GBK" w:cs="方正仿宋_GBK"/>
          <w:b w:val="0"/>
          <w:bCs w:val="0"/>
          <w:color w:val="333333"/>
          <w:spacing w:val="0"/>
          <w:sz w:val="32"/>
          <w:szCs w:val="32"/>
        </w:rPr>
        <w:t>1</w:t>
      </w:r>
      <w:r>
        <w:rPr>
          <w:rFonts w:hint="eastAsia" w:ascii="方正仿宋_GBK" w:hAnsi="方正仿宋_GBK" w:eastAsia="方正仿宋_GBK" w:cs="方正仿宋_GBK"/>
          <w:b w:val="0"/>
          <w:bCs w:val="0"/>
          <w:color w:val="333333"/>
          <w:spacing w:val="0"/>
          <w:sz w:val="32"/>
          <w:szCs w:val="32"/>
          <w:lang w:val="en-US" w:eastAsia="zh-CN"/>
        </w:rPr>
        <w:t>0</w:t>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b w:val="0"/>
          <w:bCs w:val="0"/>
          <w:color w:val="333333"/>
          <w:spacing w:val="0"/>
          <w:sz w:val="32"/>
          <w:szCs w:val="32"/>
          <w:lang w:eastAsia="zh-CN"/>
        </w:rPr>
        <w:t>负责市政府驻外机构的管理工作。</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b w:val="0"/>
          <w:bCs w:val="0"/>
          <w:color w:val="333333"/>
          <w:spacing w:val="0"/>
          <w:sz w:val="32"/>
          <w:szCs w:val="32"/>
        </w:rPr>
      </w:pPr>
      <w:r>
        <w:rPr>
          <w:rFonts w:hint="eastAsia" w:ascii="方正仿宋_GBK" w:hAnsi="方正仿宋_GBK" w:eastAsia="方正仿宋_GBK" w:cs="方正仿宋_GBK"/>
          <w:b w:val="0"/>
          <w:bCs w:val="0"/>
          <w:color w:val="333333"/>
          <w:spacing w:val="0"/>
          <w:sz w:val="32"/>
          <w:szCs w:val="32"/>
        </w:rPr>
        <w:t>1</w:t>
      </w:r>
      <w:r>
        <w:rPr>
          <w:rFonts w:hint="eastAsia" w:ascii="方正仿宋_GBK" w:hAnsi="方正仿宋_GBK" w:eastAsia="方正仿宋_GBK" w:cs="方正仿宋_GBK"/>
          <w:b w:val="0"/>
          <w:bCs w:val="0"/>
          <w:color w:val="333333"/>
          <w:spacing w:val="0"/>
          <w:sz w:val="32"/>
          <w:szCs w:val="32"/>
          <w:lang w:val="en-US" w:eastAsia="zh-CN"/>
        </w:rPr>
        <w:t>1</w:t>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b w:val="0"/>
          <w:bCs w:val="0"/>
          <w:color w:val="333333"/>
          <w:spacing w:val="0"/>
          <w:sz w:val="32"/>
          <w:szCs w:val="32"/>
          <w:lang w:eastAsia="zh-CN"/>
        </w:rPr>
        <w:t>承担市政府公布的有关行政审批事项</w:t>
      </w:r>
      <w:r>
        <w:rPr>
          <w:rFonts w:hint="eastAsia" w:ascii="方正仿宋_GBK" w:hAnsi="方正仿宋_GBK" w:eastAsia="方正仿宋_GBK" w:cs="方正仿宋_GBK"/>
          <w:b w:val="0"/>
          <w:bCs w:val="0"/>
          <w:color w:val="333333"/>
          <w:spacing w:val="0"/>
          <w:sz w:val="32"/>
          <w:szCs w:val="32"/>
        </w:rPr>
        <w:t>。</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2" w:firstLineChars="200"/>
        <w:jc w:val="left"/>
        <w:textAlignment w:val="auto"/>
        <w:rPr>
          <w:rFonts w:hint="default" w:ascii="Times New Roman" w:hAnsi="Times New Roman" w:eastAsia="仿宋" w:cs="Times New Roman"/>
          <w:color w:val="333333"/>
          <w:spacing w:val="0"/>
          <w:sz w:val="32"/>
          <w:szCs w:val="32"/>
        </w:rPr>
      </w:pPr>
      <w:bookmarkStart w:id="42" w:name="_Toc425292185_WPSOffice_Level2"/>
      <w:bookmarkStart w:id="43" w:name="_Toc1934651194_WPSOffice_Level2"/>
      <w:r>
        <w:rPr>
          <w:rFonts w:hint="default" w:ascii="Times New Roman" w:hAnsi="Times New Roman" w:eastAsia="楷体_GB2312" w:cs="Times New Roman"/>
          <w:b/>
          <w:color w:val="auto"/>
          <w:kern w:val="2"/>
          <w:sz w:val="32"/>
          <w:szCs w:val="32"/>
          <w:highlight w:val="none"/>
          <w:lang w:val="en-US" w:eastAsia="zh-CN" w:bidi="ar-SA"/>
        </w:rPr>
        <w:t>（二）市</w:t>
      </w:r>
      <w:r>
        <w:rPr>
          <w:rFonts w:hint="eastAsia" w:ascii="Times New Roman" w:hAnsi="Times New Roman" w:eastAsia="楷体_GB2312" w:cs="Times New Roman"/>
          <w:b/>
          <w:color w:val="auto"/>
          <w:kern w:val="2"/>
          <w:sz w:val="32"/>
          <w:szCs w:val="32"/>
          <w:highlight w:val="none"/>
          <w:lang w:val="en-US" w:eastAsia="zh-CN" w:bidi="ar-SA"/>
        </w:rPr>
        <w:t>网站事务</w:t>
      </w:r>
      <w:r>
        <w:rPr>
          <w:rFonts w:hint="default" w:ascii="Times New Roman" w:hAnsi="Times New Roman" w:eastAsia="楷体_GB2312" w:cs="Times New Roman"/>
          <w:b/>
          <w:color w:val="auto"/>
          <w:kern w:val="2"/>
          <w:sz w:val="32"/>
          <w:szCs w:val="32"/>
          <w:highlight w:val="none"/>
          <w:lang w:val="en-US" w:eastAsia="zh-CN" w:bidi="ar-SA"/>
        </w:rPr>
        <w:t>中心职能简介。</w:t>
      </w:r>
      <w:bookmarkEnd w:id="42"/>
      <w:bookmarkEnd w:id="43"/>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color w:val="333333"/>
          <w:spacing w:val="0"/>
          <w:sz w:val="32"/>
          <w:szCs w:val="32"/>
        </w:rPr>
      </w:pPr>
      <w:r>
        <w:rPr>
          <w:rFonts w:hint="eastAsia" w:ascii="方正仿宋_GBK" w:hAnsi="方正仿宋_GBK" w:eastAsia="方正仿宋_GBK" w:cs="方正仿宋_GBK"/>
          <w:color w:val="333333"/>
          <w:spacing w:val="0"/>
          <w:sz w:val="32"/>
          <w:szCs w:val="32"/>
        </w:rPr>
        <w:t>1</w:t>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color w:val="333333"/>
          <w:spacing w:val="0"/>
          <w:sz w:val="32"/>
          <w:szCs w:val="32"/>
          <w:lang w:eastAsia="zh-CN"/>
        </w:rPr>
        <w:t>负责攀枝花市政府网站集约化平台建设和运维管理，为政务公开、信息发布、政策解读等相关工作提供支撑服务，参与全市政府网站和政务新媒体绩效评估工作</w:t>
      </w:r>
      <w:r>
        <w:rPr>
          <w:rFonts w:hint="eastAsia" w:ascii="方正仿宋_GBK" w:hAnsi="方正仿宋_GBK" w:eastAsia="方正仿宋_GBK" w:cs="方正仿宋_GBK"/>
          <w:color w:val="333333"/>
          <w:spacing w:val="0"/>
          <w:sz w:val="32"/>
          <w:szCs w:val="32"/>
        </w:rPr>
        <w:t>。</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color w:val="333333"/>
          <w:spacing w:val="0"/>
          <w:sz w:val="32"/>
          <w:szCs w:val="32"/>
        </w:rPr>
      </w:pPr>
      <w:r>
        <w:rPr>
          <w:rFonts w:hint="eastAsia" w:ascii="方正仿宋_GBK" w:hAnsi="方正仿宋_GBK" w:eastAsia="方正仿宋_GBK" w:cs="方正仿宋_GBK"/>
          <w:color w:val="333333"/>
          <w:spacing w:val="0"/>
          <w:sz w:val="32"/>
          <w:szCs w:val="32"/>
        </w:rPr>
        <w:t>2</w:t>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color w:val="333333"/>
          <w:spacing w:val="0"/>
          <w:sz w:val="32"/>
          <w:szCs w:val="32"/>
          <w:lang w:eastAsia="zh-CN"/>
        </w:rPr>
        <w:t>负责对“走好网上群众路线”等群众诉求网络渠道办理情况进行统计分析，并提出建议</w:t>
      </w:r>
      <w:r>
        <w:rPr>
          <w:rFonts w:hint="eastAsia" w:ascii="方正仿宋_GBK" w:hAnsi="方正仿宋_GBK" w:eastAsia="方正仿宋_GBK" w:cs="方正仿宋_GBK"/>
          <w:color w:val="333333"/>
          <w:spacing w:val="0"/>
          <w:sz w:val="32"/>
          <w:szCs w:val="32"/>
        </w:rPr>
        <w:t>。</w:t>
      </w:r>
    </w:p>
    <w:p>
      <w:pPr>
        <w:pStyle w:val="5"/>
        <w:pageBreakBefore w:val="0"/>
        <w:widowControl w:val="0"/>
        <w:kinsoku/>
        <w:wordWrap/>
        <w:overflowPunct/>
        <w:topLinePunct w:val="0"/>
        <w:autoSpaceDE/>
        <w:autoSpaceDN/>
        <w:bidi w:val="0"/>
        <w:adjustRightInd w:val="0"/>
        <w:spacing w:beforeLines="0" w:line="240" w:lineRule="auto"/>
        <w:ind w:left="0" w:firstLine="642" w:firstLineChars="200"/>
        <w:textAlignment w:val="auto"/>
        <w:rPr>
          <w:rFonts w:hint="default" w:ascii="Times New Roman" w:hAnsi="Times New Roman" w:eastAsia="楷体_GB2312" w:cs="Times New Roman"/>
          <w:b/>
          <w:color w:val="auto"/>
          <w:sz w:val="32"/>
          <w:highlight w:val="none"/>
        </w:rPr>
      </w:pPr>
      <w:bookmarkStart w:id="44" w:name="_Toc58165406_WPSOffice_Level2"/>
      <w:bookmarkStart w:id="45" w:name="_Toc345528385_WPSOffice_Level2"/>
      <w:r>
        <w:rPr>
          <w:rFonts w:hint="eastAsia" w:ascii="Times New Roman" w:hAnsi="Times New Roman" w:eastAsia="楷体_GB2312" w:cs="Times New Roman"/>
          <w:b/>
          <w:color w:val="auto"/>
          <w:sz w:val="32"/>
          <w:highlight w:val="none"/>
        </w:rPr>
        <w:t>（三）市决策咨询服务中心职能简介。</w:t>
      </w:r>
      <w:bookmarkEnd w:id="44"/>
      <w:bookmarkEnd w:id="45"/>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color w:val="333333"/>
          <w:spacing w:val="0"/>
          <w:sz w:val="32"/>
          <w:szCs w:val="32"/>
          <w:lang w:val="en-US" w:eastAsia="zh-CN"/>
        </w:rPr>
      </w:pPr>
      <w:r>
        <w:rPr>
          <w:rFonts w:hint="eastAsia" w:ascii="方正仿宋_GBK" w:hAnsi="方正仿宋_GBK" w:eastAsia="方正仿宋_GBK" w:cs="方正仿宋_GBK"/>
          <w:color w:val="333333"/>
          <w:spacing w:val="0"/>
          <w:sz w:val="32"/>
          <w:szCs w:val="32"/>
        </w:rPr>
        <w:t>1</w:t>
      </w:r>
      <w:r>
        <w:rPr>
          <w:rFonts w:hint="eastAsia" w:ascii="方正仿宋_GBK" w:hAnsi="方正仿宋_GBK" w:eastAsia="方正仿宋_GBK" w:cs="方正仿宋_GBK"/>
          <w:color w:val="333333"/>
          <w:spacing w:val="0"/>
          <w:sz w:val="32"/>
          <w:szCs w:val="32"/>
          <w:lang w:val="en-US" w:eastAsia="zh-CN"/>
        </w:rPr>
        <w:t>．</w:t>
      </w:r>
      <w:r>
        <w:rPr>
          <w:rFonts w:hint="eastAsia" w:ascii="方正仿宋_GBK" w:hAnsi="方正仿宋_GBK" w:eastAsia="方正仿宋_GBK" w:cs="方正仿宋_GBK"/>
          <w:color w:val="333333"/>
          <w:spacing w:val="0"/>
          <w:sz w:val="32"/>
          <w:szCs w:val="32"/>
        </w:rPr>
        <w:t>根据市委、市政府和市决咨委安排，组织委员开展全市发展战略、中长期规划、重大决策部署、重大问题、重点项目等咨询论证活动。</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color w:val="333333"/>
          <w:spacing w:val="0"/>
          <w:sz w:val="32"/>
          <w:szCs w:val="32"/>
          <w:lang w:val="en-US" w:eastAsia="zh-CN"/>
        </w:rPr>
      </w:pPr>
      <w:r>
        <w:rPr>
          <w:rFonts w:hint="eastAsia" w:ascii="方正仿宋_GBK" w:hAnsi="方正仿宋_GBK" w:eastAsia="方正仿宋_GBK" w:cs="方正仿宋_GBK"/>
          <w:color w:val="333333"/>
          <w:spacing w:val="0"/>
          <w:sz w:val="32"/>
          <w:szCs w:val="32"/>
          <w:lang w:val="en-US" w:eastAsia="zh-CN"/>
        </w:rPr>
        <w:t>2．负责全市经济社会发展重大决策咨询研究课题的组织实施。</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color w:val="333333"/>
          <w:spacing w:val="0"/>
          <w:sz w:val="32"/>
          <w:szCs w:val="32"/>
          <w:lang w:val="en-US" w:eastAsia="zh-CN"/>
        </w:rPr>
      </w:pPr>
      <w:r>
        <w:rPr>
          <w:rFonts w:hint="eastAsia" w:ascii="方正仿宋_GBK" w:hAnsi="方正仿宋_GBK" w:eastAsia="方正仿宋_GBK" w:cs="方正仿宋_GBK"/>
          <w:color w:val="333333"/>
          <w:spacing w:val="0"/>
          <w:sz w:val="32"/>
          <w:szCs w:val="32"/>
          <w:lang w:val="en-US" w:eastAsia="zh-CN"/>
        </w:rPr>
        <w:t>3．负责市决咨委各专业组决策咨询调研、考察及与相关部门的组织协调工作。</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color w:val="333333"/>
          <w:spacing w:val="0"/>
          <w:sz w:val="32"/>
          <w:szCs w:val="32"/>
          <w:lang w:val="en-US" w:eastAsia="zh-CN"/>
        </w:rPr>
      </w:pPr>
      <w:r>
        <w:rPr>
          <w:rFonts w:hint="eastAsia" w:ascii="方正仿宋_GBK" w:hAnsi="方正仿宋_GBK" w:eastAsia="方正仿宋_GBK" w:cs="方正仿宋_GBK"/>
          <w:color w:val="333333"/>
          <w:spacing w:val="0"/>
          <w:sz w:val="32"/>
          <w:szCs w:val="32"/>
          <w:lang w:val="en-US" w:eastAsia="zh-CN"/>
        </w:rPr>
        <w:t>4．及时整理市决咨委委员和各专业组提出的咨询意见、建议和课题研究成果，报送市委、市政府及有关部门，并进行成果应用的跟踪。</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color w:val="333333"/>
          <w:spacing w:val="0"/>
          <w:sz w:val="32"/>
          <w:szCs w:val="32"/>
          <w:lang w:val="en-US" w:eastAsia="zh-CN"/>
        </w:rPr>
      </w:pPr>
      <w:r>
        <w:rPr>
          <w:rFonts w:hint="eastAsia" w:ascii="方正仿宋_GBK" w:hAnsi="方正仿宋_GBK" w:eastAsia="方正仿宋_GBK" w:cs="方正仿宋_GBK"/>
          <w:color w:val="333333"/>
          <w:spacing w:val="0"/>
          <w:sz w:val="32"/>
          <w:szCs w:val="32"/>
          <w:lang w:val="en-US" w:eastAsia="zh-CN"/>
        </w:rPr>
        <w:t>5．组织委员召开决策咨询研讨会议和决策咨询交流活动。</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color w:val="333333"/>
          <w:spacing w:val="0"/>
          <w:sz w:val="32"/>
          <w:szCs w:val="32"/>
          <w:lang w:val="en-US" w:eastAsia="zh-CN"/>
        </w:rPr>
      </w:pPr>
      <w:r>
        <w:rPr>
          <w:rFonts w:hint="eastAsia" w:ascii="方正仿宋_GBK" w:hAnsi="方正仿宋_GBK" w:eastAsia="方正仿宋_GBK" w:cs="方正仿宋_GBK"/>
          <w:color w:val="333333"/>
          <w:spacing w:val="0"/>
          <w:sz w:val="32"/>
          <w:szCs w:val="32"/>
          <w:lang w:val="en-US" w:eastAsia="zh-CN"/>
        </w:rPr>
        <w:t>6．为委员提供相关信息和资料，组织委员列席市委、市政府重要会议，为委员开展咨询工作提供服务。</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color w:val="333333"/>
          <w:spacing w:val="0"/>
          <w:sz w:val="32"/>
          <w:szCs w:val="32"/>
          <w:lang w:val="en-US" w:eastAsia="zh-CN"/>
        </w:rPr>
      </w:pPr>
      <w:r>
        <w:rPr>
          <w:rFonts w:hint="eastAsia" w:ascii="方正仿宋_GBK" w:hAnsi="方正仿宋_GBK" w:eastAsia="方正仿宋_GBK" w:cs="方正仿宋_GBK"/>
          <w:color w:val="333333"/>
          <w:spacing w:val="0"/>
          <w:sz w:val="32"/>
          <w:szCs w:val="32"/>
          <w:lang w:val="en-US" w:eastAsia="zh-CN"/>
        </w:rPr>
        <w:t>7．负责起草市决咨委的各种工作制度和文件草案，定期向市决咨委办公室领导汇报工作。</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color w:val="333333"/>
          <w:spacing w:val="0"/>
          <w:sz w:val="32"/>
          <w:szCs w:val="32"/>
          <w:lang w:val="en-US" w:eastAsia="zh-CN"/>
        </w:rPr>
      </w:pPr>
      <w:r>
        <w:rPr>
          <w:rFonts w:hint="eastAsia" w:ascii="方正仿宋_GBK" w:hAnsi="方正仿宋_GBK" w:eastAsia="方正仿宋_GBK" w:cs="方正仿宋_GBK"/>
          <w:color w:val="333333"/>
          <w:spacing w:val="0"/>
          <w:sz w:val="32"/>
          <w:szCs w:val="32"/>
          <w:lang w:val="en-US" w:eastAsia="zh-CN"/>
        </w:rPr>
        <w:t xml:space="preserve">8．负责市决咨委办公室日常事务工作。 </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color w:val="333333"/>
          <w:spacing w:val="0"/>
          <w:sz w:val="32"/>
          <w:szCs w:val="32"/>
          <w:lang w:val="en-US" w:eastAsia="zh-CN"/>
        </w:rPr>
      </w:pPr>
      <w:r>
        <w:rPr>
          <w:rFonts w:hint="eastAsia" w:ascii="方正仿宋_GBK" w:hAnsi="方正仿宋_GBK" w:eastAsia="方正仿宋_GBK" w:cs="方正仿宋_GBK"/>
          <w:color w:val="333333"/>
          <w:spacing w:val="0"/>
          <w:sz w:val="32"/>
          <w:szCs w:val="32"/>
          <w:lang w:val="en-US" w:eastAsia="zh-CN"/>
        </w:rPr>
        <w:t>9．完成市委、市政府交办的工作和主任委员会确定的其他工作。</w:t>
      </w:r>
    </w:p>
    <w:p>
      <w:pPr>
        <w:pStyle w:val="5"/>
        <w:pageBreakBefore w:val="0"/>
        <w:widowControl w:val="0"/>
        <w:kinsoku/>
        <w:wordWrap/>
        <w:overflowPunct/>
        <w:topLinePunct w:val="0"/>
        <w:autoSpaceDE/>
        <w:autoSpaceDN/>
        <w:bidi w:val="0"/>
        <w:adjustRightInd w:val="0"/>
        <w:spacing w:beforeLines="0" w:line="240" w:lineRule="auto"/>
        <w:ind w:left="0" w:firstLine="642" w:firstLineChars="200"/>
        <w:textAlignment w:val="auto"/>
        <w:rPr>
          <w:rFonts w:hint="eastAsia" w:ascii="Times New Roman" w:hAnsi="Times New Roman" w:eastAsia="楷体_GB2312" w:cs="Times New Roman"/>
          <w:b/>
          <w:color w:val="auto"/>
          <w:sz w:val="32"/>
          <w:highlight w:val="none"/>
          <w:lang w:val="en-US" w:eastAsia="zh-CN"/>
        </w:rPr>
      </w:pPr>
      <w:r>
        <w:rPr>
          <w:rFonts w:hint="eastAsia" w:ascii="Times New Roman" w:hAnsi="Times New Roman" w:eastAsia="楷体_GB2312" w:cs="Times New Roman"/>
          <w:b/>
          <w:color w:val="auto"/>
          <w:sz w:val="32"/>
          <w:highlight w:val="none"/>
          <w:lang w:val="en-US" w:eastAsia="zh-CN"/>
        </w:rPr>
        <w:t>（四）市地方志编纂中心职能简介。</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lang w:eastAsia="zh-CN"/>
        </w:rPr>
      </w:pPr>
      <w:r>
        <w:rPr>
          <w:rFonts w:hint="default" w:ascii="方正仿宋_GBK" w:hAnsi="方正仿宋_GBK" w:eastAsia="方正仿宋_GBK" w:cs="方正仿宋_GBK"/>
          <w:color w:val="333333"/>
          <w:spacing w:val="0"/>
          <w:sz w:val="32"/>
          <w:szCs w:val="32"/>
          <w:lang w:val="en-US" w:eastAsia="zh-CN"/>
        </w:rPr>
        <w:t>主要负责编修地方志、年鉴。负责组织编辑、出版、发行《攀枝花市志》、《攀枝花年鉴》；负责指导、督促县区志、部门志、专业志的编修，并审查验收；负责组织编辑、出版、发行《攀枝花史志》杂志。</w:t>
      </w:r>
    </w:p>
    <w:p>
      <w:pPr>
        <w:pStyle w:val="3"/>
        <w:rPr>
          <w:rStyle w:val="30"/>
          <w:rFonts w:ascii="Times New Roman" w:hAnsi="Times New Roman"/>
          <w:b w:val="0"/>
          <w:bCs w:val="0"/>
          <w:color w:val="auto"/>
          <w:highlight w:val="none"/>
        </w:rPr>
      </w:pPr>
      <w:bookmarkStart w:id="46" w:name="_Toc15377200"/>
      <w:bookmarkStart w:id="47" w:name="_Toc15454615_WPSOffice_Level2"/>
      <w:bookmarkStart w:id="48" w:name="_Toc15396601"/>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46"/>
      <w:bookmarkEnd w:id="47"/>
      <w:bookmarkEnd w:id="48"/>
    </w:p>
    <w:p>
      <w:pPr>
        <w:keepNext w:val="0"/>
        <w:keepLines w:val="0"/>
        <w:pageBreakBefore w:val="0"/>
        <w:widowControl w:val="0"/>
        <w:suppressAutoHyphens/>
        <w:kinsoku/>
        <w:wordWrap/>
        <w:overflowPunct/>
        <w:topLinePunct w:val="0"/>
        <w:autoSpaceDE/>
        <w:autoSpaceDN/>
        <w:bidi w:val="0"/>
        <w:adjustRightInd w:val="0"/>
        <w:snapToGrid w:val="0"/>
        <w:spacing w:line="352" w:lineRule="auto"/>
        <w:ind w:firstLine="640" w:firstLineChars="200"/>
        <w:textAlignment w:val="auto"/>
        <w:rPr>
          <w:rFonts w:hint="default" w:ascii="Times New Roman" w:hAnsi="Times New Roman" w:eastAsia="仿宋_GB2312" w:cs="Times New Roman"/>
          <w:snapToGrid w:val="0"/>
          <w:kern w:val="0"/>
          <w:sz w:val="32"/>
          <w:szCs w:val="32"/>
          <w:lang w:bidi="ar-SA"/>
        </w:rPr>
      </w:pPr>
      <w:r>
        <w:rPr>
          <w:rFonts w:hint="default" w:ascii="Times New Roman" w:hAnsi="Times New Roman" w:eastAsia="仿宋_GB2312" w:cs="Times New Roman"/>
          <w:snapToGrid w:val="0"/>
          <w:kern w:val="0"/>
          <w:sz w:val="32"/>
          <w:szCs w:val="32"/>
          <w:lang w:eastAsia="zh-CN" w:bidi="ar-SA"/>
        </w:rPr>
        <w:t>市政府办公室</w:t>
      </w:r>
      <w:r>
        <w:rPr>
          <w:rFonts w:hint="default" w:ascii="Times New Roman" w:hAnsi="Times New Roman" w:eastAsia="仿宋_GB2312" w:cs="Times New Roman"/>
          <w:snapToGrid w:val="0"/>
          <w:kern w:val="0"/>
          <w:sz w:val="32"/>
          <w:szCs w:val="32"/>
          <w:lang w:bidi="ar-SA"/>
        </w:rPr>
        <w:t>下属二级预算单位</w:t>
      </w:r>
      <w:r>
        <w:rPr>
          <w:rFonts w:hint="default" w:ascii="Times New Roman" w:hAnsi="Times New Roman" w:eastAsia="仿宋_GB2312" w:cs="Times New Roman"/>
          <w:snapToGrid w:val="0"/>
          <w:kern w:val="0"/>
          <w:sz w:val="32"/>
          <w:szCs w:val="32"/>
          <w:lang w:val="en-US" w:eastAsia="zh-CN" w:bidi="ar-SA"/>
        </w:rPr>
        <w:t>1</w:t>
      </w:r>
      <w:r>
        <w:rPr>
          <w:rFonts w:hint="default" w:ascii="Times New Roman" w:hAnsi="Times New Roman" w:eastAsia="仿宋_GB2312" w:cs="Times New Roman"/>
          <w:snapToGrid w:val="0"/>
          <w:kern w:val="0"/>
          <w:sz w:val="32"/>
          <w:szCs w:val="32"/>
          <w:lang w:bidi="ar-SA"/>
        </w:rPr>
        <w:t>个，其中行政单位</w:t>
      </w:r>
      <w:r>
        <w:rPr>
          <w:rFonts w:hint="default" w:ascii="Times New Roman" w:hAnsi="Times New Roman" w:eastAsia="仿宋_GB2312" w:cs="Times New Roman"/>
          <w:snapToGrid w:val="0"/>
          <w:kern w:val="0"/>
          <w:sz w:val="32"/>
          <w:szCs w:val="32"/>
          <w:lang w:val="en-US" w:eastAsia="zh-CN" w:bidi="ar-SA"/>
        </w:rPr>
        <w:t>0</w:t>
      </w:r>
      <w:r>
        <w:rPr>
          <w:rFonts w:hint="default" w:ascii="Times New Roman" w:hAnsi="Times New Roman" w:eastAsia="仿宋_GB2312" w:cs="Times New Roman"/>
          <w:snapToGrid w:val="0"/>
          <w:kern w:val="0"/>
          <w:sz w:val="32"/>
          <w:szCs w:val="32"/>
          <w:lang w:bidi="ar-SA"/>
        </w:rPr>
        <w:t>个，参照公务员法管理的事业单位</w:t>
      </w:r>
      <w:r>
        <w:rPr>
          <w:rFonts w:hint="default" w:ascii="Times New Roman" w:hAnsi="Times New Roman" w:eastAsia="仿宋_GB2312" w:cs="Times New Roman"/>
          <w:snapToGrid w:val="0"/>
          <w:kern w:val="0"/>
          <w:sz w:val="32"/>
          <w:szCs w:val="32"/>
          <w:lang w:val="en-US" w:eastAsia="zh-CN" w:bidi="ar-SA"/>
        </w:rPr>
        <w:t>1</w:t>
      </w:r>
      <w:r>
        <w:rPr>
          <w:rFonts w:hint="default" w:ascii="Times New Roman" w:hAnsi="Times New Roman" w:eastAsia="仿宋_GB2312" w:cs="Times New Roman"/>
          <w:snapToGrid w:val="0"/>
          <w:kern w:val="0"/>
          <w:sz w:val="32"/>
          <w:szCs w:val="32"/>
          <w:lang w:bidi="ar-SA"/>
        </w:rPr>
        <w:t>个，其他事业单位</w:t>
      </w:r>
      <w:r>
        <w:rPr>
          <w:rFonts w:hint="default" w:ascii="Times New Roman" w:hAnsi="Times New Roman" w:eastAsia="仿宋_GB2312" w:cs="Times New Roman"/>
          <w:snapToGrid w:val="0"/>
          <w:kern w:val="0"/>
          <w:sz w:val="32"/>
          <w:szCs w:val="32"/>
          <w:lang w:val="en-US" w:eastAsia="zh-CN" w:bidi="ar-SA"/>
        </w:rPr>
        <w:t>0</w:t>
      </w:r>
      <w:r>
        <w:rPr>
          <w:rFonts w:hint="default" w:ascii="Times New Roman" w:hAnsi="Times New Roman" w:eastAsia="仿宋_GB2312" w:cs="Times New Roman"/>
          <w:snapToGrid w:val="0"/>
          <w:kern w:val="0"/>
          <w:sz w:val="32"/>
          <w:szCs w:val="32"/>
          <w:lang w:bidi="ar-SA"/>
        </w:rPr>
        <w:t>个。</w:t>
      </w:r>
    </w:p>
    <w:p>
      <w:pPr>
        <w:keepNext w:val="0"/>
        <w:keepLines w:val="0"/>
        <w:pageBreakBefore w:val="0"/>
        <w:widowControl w:val="0"/>
        <w:suppressAutoHyphens/>
        <w:kinsoku/>
        <w:wordWrap/>
        <w:overflowPunct/>
        <w:topLinePunct w:val="0"/>
        <w:autoSpaceDE/>
        <w:autoSpaceDN/>
        <w:bidi w:val="0"/>
        <w:adjustRightInd w:val="0"/>
        <w:snapToGrid w:val="0"/>
        <w:spacing w:line="352" w:lineRule="auto"/>
        <w:ind w:firstLine="640" w:firstLineChars="200"/>
        <w:textAlignment w:val="auto"/>
        <w:rPr>
          <w:rFonts w:hint="default" w:ascii="Times New Roman" w:hAnsi="Times New Roman" w:eastAsia="仿宋_GB2312" w:cs="Times New Roman"/>
          <w:snapToGrid w:val="0"/>
          <w:kern w:val="0"/>
          <w:sz w:val="32"/>
          <w:szCs w:val="32"/>
          <w:lang w:bidi="ar-SA"/>
        </w:rPr>
      </w:pPr>
      <w:r>
        <w:rPr>
          <w:rFonts w:hint="default" w:ascii="Times New Roman" w:hAnsi="Times New Roman" w:eastAsia="仿宋_GB2312" w:cs="Times New Roman"/>
          <w:snapToGrid w:val="0"/>
          <w:kern w:val="0"/>
          <w:sz w:val="32"/>
          <w:szCs w:val="32"/>
          <w:lang w:bidi="ar-SA"/>
        </w:rPr>
        <w:t>纳入</w:t>
      </w:r>
      <w:r>
        <w:rPr>
          <w:rFonts w:hint="default" w:ascii="Times New Roman" w:hAnsi="Times New Roman" w:eastAsia="仿宋_GB2312" w:cs="Times New Roman"/>
          <w:snapToGrid w:val="0"/>
          <w:kern w:val="0"/>
          <w:sz w:val="32"/>
          <w:szCs w:val="32"/>
          <w:lang w:eastAsia="zh-CN" w:bidi="ar-SA"/>
        </w:rPr>
        <w:t>市政府办公室</w:t>
      </w:r>
      <w:r>
        <w:rPr>
          <w:rFonts w:hint="default" w:ascii="Times New Roman" w:hAnsi="Times New Roman" w:eastAsia="仿宋_GB2312" w:cs="Times New Roman"/>
          <w:snapToGrid w:val="0"/>
          <w:kern w:val="0"/>
          <w:sz w:val="32"/>
          <w:szCs w:val="32"/>
          <w:lang w:bidi="ar-SA"/>
        </w:rPr>
        <w:t>202</w:t>
      </w:r>
      <w:r>
        <w:rPr>
          <w:rFonts w:hint="eastAsia" w:ascii="Times New Roman" w:hAnsi="Times New Roman" w:eastAsia="仿宋_GB2312" w:cs="Times New Roman"/>
          <w:snapToGrid w:val="0"/>
          <w:kern w:val="0"/>
          <w:sz w:val="32"/>
          <w:szCs w:val="32"/>
          <w:lang w:val="en-US" w:eastAsia="zh-CN" w:bidi="ar-SA"/>
        </w:rPr>
        <w:t>4</w:t>
      </w:r>
      <w:r>
        <w:rPr>
          <w:rFonts w:hint="default" w:ascii="Times New Roman" w:hAnsi="Times New Roman" w:eastAsia="仿宋_GB2312" w:cs="Times New Roman"/>
          <w:snapToGrid w:val="0"/>
          <w:kern w:val="0"/>
          <w:sz w:val="32"/>
          <w:szCs w:val="32"/>
          <w:lang w:bidi="ar-SA"/>
        </w:rPr>
        <w:t>年度部门决算编制范围的二级预算单位包括：</w:t>
      </w:r>
    </w:p>
    <w:p>
      <w:pPr>
        <w:keepNext w:val="0"/>
        <w:keepLines w:val="0"/>
        <w:pageBreakBefore w:val="0"/>
        <w:widowControl w:val="0"/>
        <w:suppressAutoHyphens/>
        <w:kinsoku/>
        <w:wordWrap/>
        <w:overflowPunct/>
        <w:topLinePunct w:val="0"/>
        <w:autoSpaceDE/>
        <w:autoSpaceDN/>
        <w:bidi w:val="0"/>
        <w:adjustRightInd w:val="0"/>
        <w:snapToGrid w:val="0"/>
        <w:spacing w:line="352" w:lineRule="auto"/>
        <w:ind w:firstLine="640" w:firstLineChars="200"/>
        <w:textAlignment w:val="auto"/>
        <w:rPr>
          <w:rFonts w:hint="default" w:ascii="Times New Roman" w:hAnsi="Times New Roman" w:eastAsia="仿宋_GB2312" w:cs="Times New Roman"/>
          <w:snapToGrid w:val="0"/>
          <w:kern w:val="0"/>
          <w:sz w:val="32"/>
          <w:szCs w:val="32"/>
          <w:lang w:eastAsia="zh-CN" w:bidi="ar-SA"/>
        </w:rPr>
      </w:pPr>
      <w:bookmarkStart w:id="49" w:name="_Toc937782471"/>
      <w:bookmarkStart w:id="50" w:name="_Toc30899"/>
      <w:r>
        <w:rPr>
          <w:rFonts w:hint="default" w:ascii="Times New Roman" w:hAnsi="Times New Roman" w:eastAsia="仿宋_GB2312" w:cs="Times New Roman"/>
          <w:snapToGrid w:val="0"/>
          <w:kern w:val="0"/>
          <w:sz w:val="32"/>
          <w:szCs w:val="32"/>
          <w:lang w:val="en-US" w:eastAsia="zh-CN" w:bidi="ar-SA"/>
        </w:rPr>
        <w:t>1．</w:t>
      </w:r>
      <w:r>
        <w:rPr>
          <w:rFonts w:hint="default" w:ascii="Times New Roman" w:hAnsi="Times New Roman" w:eastAsia="仿宋_GB2312" w:cs="Times New Roman"/>
          <w:snapToGrid w:val="0"/>
          <w:kern w:val="0"/>
          <w:sz w:val="32"/>
          <w:szCs w:val="32"/>
          <w:lang w:bidi="ar-SA"/>
        </w:rPr>
        <w:t>市地方志编纂中心</w:t>
      </w:r>
      <w:bookmarkEnd w:id="49"/>
      <w:bookmarkEnd w:id="50"/>
      <w:r>
        <w:rPr>
          <w:rFonts w:hint="default" w:ascii="Times New Roman" w:hAnsi="Times New Roman" w:eastAsia="仿宋_GB2312" w:cs="Times New Roman"/>
          <w:snapToGrid w:val="0"/>
          <w:kern w:val="0"/>
          <w:sz w:val="32"/>
          <w:szCs w:val="32"/>
          <w:lang w:eastAsia="zh-CN" w:bidi="ar-SA"/>
        </w:rPr>
        <w:t>。</w:t>
      </w:r>
    </w:p>
    <w:p>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pPr>
        <w:pStyle w:val="2"/>
        <w:jc w:val="center"/>
        <w:rPr>
          <w:rFonts w:hint="eastAsia" w:ascii="Times New Roman" w:hAnsi="Times New Roman" w:eastAsia="方正小标宋简体" w:cs="方正小标宋简体"/>
          <w:b w:val="0"/>
          <w:color w:val="auto"/>
          <w:highlight w:val="none"/>
        </w:rPr>
      </w:pPr>
      <w:bookmarkStart w:id="51" w:name="_Toc15396602"/>
      <w:bookmarkStart w:id="52" w:name="_Toc15377204"/>
      <w:bookmarkStart w:id="53" w:name="_Toc1982356465_WPSOffice_Level1"/>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51"/>
      <w:bookmarkEnd w:id="52"/>
      <w:bookmarkEnd w:id="53"/>
    </w:p>
    <w:p>
      <w:pPr>
        <w:rPr>
          <w:rFonts w:ascii="Times New Roman" w:hAnsi="Times New Roman"/>
          <w:color w:val="auto"/>
          <w:highlight w:val="none"/>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54" w:name="_Toc1837271617_WPSOffice_Level2"/>
      <w:bookmarkStart w:id="55" w:name="_Toc15377205"/>
      <w:bookmarkStart w:id="56"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54"/>
      <w:bookmarkEnd w:id="55"/>
      <w:bookmarkEnd w:id="56"/>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方正仿宋_GBK" w:hAnsi="方正仿宋_GBK" w:eastAsia="方正仿宋_GBK" w:cs="方正仿宋_GBK"/>
          <w:color w:val="333333"/>
          <w:spacing w:val="0"/>
          <w:kern w:val="0"/>
          <w:sz w:val="32"/>
          <w:szCs w:val="32"/>
          <w:lang w:val="en-US" w:eastAsia="zh-CN" w:bidi="ar"/>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4472.5</w:t>
      </w:r>
      <w:r>
        <w:rPr>
          <w:rFonts w:hint="eastAsia" w:ascii="仿宋_GB2312" w:hAnsi="仿宋_GB2312" w:eastAsia="仿宋_GB2312" w:cs="仿宋_GB2312"/>
          <w:sz w:val="32"/>
          <w:szCs w:val="32"/>
          <w:lang w:val="en-US" w:eastAsia="zh-CN"/>
        </w:rPr>
        <w:t>0</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209.68</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4.48</w:t>
      </w:r>
      <w:r>
        <w:rPr>
          <w:rFonts w:hint="eastAsia" w:ascii="Times New Roman" w:hAnsi="Times New Roman" w:eastAsia="仿宋_GB2312" w:cs="仿宋_GB2312"/>
          <w:color w:val="auto"/>
          <w:sz w:val="32"/>
          <w:szCs w:val="32"/>
          <w:highlight w:val="none"/>
        </w:rPr>
        <w:t>%。主要变动原因是</w:t>
      </w:r>
      <w:r>
        <w:rPr>
          <w:rFonts w:hint="eastAsia" w:ascii="方正仿宋_GBK" w:hAnsi="方正仿宋_GBK" w:eastAsia="方正仿宋_GBK" w:cs="方正仿宋_GBK"/>
          <w:color w:val="333333"/>
          <w:spacing w:val="0"/>
          <w:kern w:val="0"/>
          <w:sz w:val="32"/>
          <w:szCs w:val="32"/>
          <w:lang w:val="en-US" w:eastAsia="zh-CN" w:bidi="ar"/>
        </w:rPr>
        <w:t>市大数据中心机构划转，人员减少，经费减少。</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1"/>
        <w:rPr>
          <w:rFonts w:hint="eastAsia" w:ascii="Times New Roman" w:hAnsi="Times New Roman" w:eastAsia="仿宋_GB2312" w:cs="仿宋_GB2312"/>
          <w:color w:val="auto"/>
          <w:sz w:val="32"/>
          <w:szCs w:val="32"/>
          <w:highlight w:val="none"/>
          <w:lang w:eastAsia="zh-CN"/>
        </w:rPr>
      </w:pPr>
      <w:r>
        <w:drawing>
          <wp:anchor distT="0" distB="0" distL="114300" distR="114300" simplePos="0" relativeHeight="251659264" behindDoc="0" locked="0" layoutInCell="1" allowOverlap="1">
            <wp:simplePos x="0" y="0"/>
            <wp:positionH relativeFrom="column">
              <wp:posOffset>211455</wp:posOffset>
            </wp:positionH>
            <wp:positionV relativeFrom="paragraph">
              <wp:posOffset>24765</wp:posOffset>
            </wp:positionV>
            <wp:extent cx="4918710" cy="2995930"/>
            <wp:effectExtent l="4445" t="4445" r="14605" b="17145"/>
            <wp:wrapNone/>
            <wp:docPr id="2" name="图表 1" descr="7b0a202020202263686172745265734964223a202232303437363834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57" w:name="_Toc1720228247_WPSOffice_Level2"/>
      <w:bookmarkStart w:id="58" w:name="_Toc15377206"/>
      <w:bookmarkStart w:id="59" w:name="_Toc15396604"/>
      <w:r>
        <w:rPr>
          <w:rFonts w:hint="eastAsia" w:ascii="Times New Roman" w:hAnsi="Times New Roman" w:eastAsia="黑体"/>
          <w:color w:val="auto"/>
          <w:sz w:val="32"/>
          <w:szCs w:val="32"/>
          <w:highlight w:val="none"/>
          <w:lang w:eastAsia="zh-CN"/>
        </w:rPr>
        <w:t>二、收入决算情况说明</w:t>
      </w:r>
      <w:bookmarkEnd w:id="57"/>
      <w:bookmarkEnd w:id="58"/>
      <w:bookmarkEnd w:id="59"/>
    </w:p>
    <w:p>
      <w:pPr>
        <w:ind w:firstLine="800" w:firstLineChars="25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4451.26万元，其中：一般公共预算财政拨款收入4451.26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pPr>
        <w:ind w:firstLine="525" w:firstLineChars="250"/>
        <w:rPr>
          <w:rFonts w:hint="eastAsia" w:ascii="仿宋_GB2312" w:hAnsi="仿宋_GB2312" w:eastAsia="仿宋_GB2312" w:cs="仿宋_GB2312"/>
          <w:color w:val="auto"/>
          <w:sz w:val="32"/>
          <w:szCs w:val="32"/>
          <w:highlight w:val="none"/>
          <w:lang w:eastAsia="zh-CN"/>
        </w:rPr>
      </w:pPr>
      <w:r>
        <w:drawing>
          <wp:inline distT="0" distB="0" distL="114300" distR="114300">
            <wp:extent cx="4893945" cy="2593975"/>
            <wp:effectExtent l="4445" t="4445" r="8890" b="7620"/>
            <wp:docPr id="3080"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ind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60" w:name="_Toc15377207"/>
      <w:bookmarkStart w:id="61" w:name="_Toc1390844762_WPSOffice_Level2"/>
      <w:bookmarkStart w:id="62"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60"/>
      <w:bookmarkEnd w:id="61"/>
      <w:bookmarkEnd w:id="62"/>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4450.77</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3706.69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83.28</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744.08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16.7</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left"/>
        <w:textAlignment w:val="auto"/>
        <w:outlineLvl w:val="1"/>
        <w:rPr>
          <w:rFonts w:hint="eastAsia" w:ascii="仿宋_GB2312" w:hAnsi="仿宋_GB2312" w:eastAsia="仿宋_GB2312" w:cs="仿宋_GB2312"/>
          <w:color w:val="auto"/>
          <w:sz w:val="32"/>
          <w:szCs w:val="32"/>
          <w:highlight w:val="none"/>
          <w:lang w:eastAsia="zh-CN"/>
        </w:rPr>
      </w:pPr>
      <w:r>
        <w:drawing>
          <wp:anchor distT="0" distB="0" distL="114300" distR="114300" simplePos="0" relativeHeight="251660288" behindDoc="0" locked="0" layoutInCell="1" allowOverlap="1">
            <wp:simplePos x="0" y="0"/>
            <wp:positionH relativeFrom="column">
              <wp:posOffset>220980</wp:posOffset>
            </wp:positionH>
            <wp:positionV relativeFrom="paragraph">
              <wp:posOffset>20320</wp:posOffset>
            </wp:positionV>
            <wp:extent cx="4918710" cy="2679065"/>
            <wp:effectExtent l="4445" t="4445" r="14605" b="13970"/>
            <wp:wrapNone/>
            <wp:docPr id="8" name="图表 7" descr="7b0a202020202263686172745265734964223a20223230343736393430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ind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w:t>
      </w:r>
    </w:p>
    <w:p>
      <w:pPr>
        <w:ind w:firstLine="800" w:firstLineChars="250"/>
        <w:rPr>
          <w:rFonts w:hint="eastAsia" w:ascii="Times New Roman" w:hAnsi="Times New Roman" w:eastAsia="仿宋_GB2312" w:cs="仿宋_GB2312"/>
          <w:color w:val="auto"/>
          <w:sz w:val="32"/>
          <w:szCs w:val="32"/>
          <w:highlight w:val="none"/>
          <w:lang w:eastAsia="zh-CN"/>
        </w:rPr>
      </w:pPr>
    </w:p>
    <w:p>
      <w:pPr>
        <w:spacing w:line="600" w:lineRule="exact"/>
        <w:ind w:firstLine="640" w:firstLineChars="200"/>
        <w:outlineLvl w:val="1"/>
        <w:rPr>
          <w:rStyle w:val="30"/>
          <w:rFonts w:ascii="Times New Roman" w:hAnsi="Times New Roman" w:eastAsia="黑体"/>
          <w:b w:val="0"/>
          <w:color w:val="auto"/>
          <w:highlight w:val="none"/>
        </w:rPr>
      </w:pPr>
      <w:bookmarkStart w:id="63" w:name="_Toc15377208"/>
      <w:bookmarkStart w:id="64" w:name="_Toc15396606"/>
      <w:bookmarkStart w:id="65" w:name="_Toc475541609_WPSOffice_Level2"/>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63"/>
      <w:bookmarkEnd w:id="64"/>
      <w:bookmarkEnd w:id="65"/>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方正仿宋_GBK" w:hAnsi="方正仿宋_GBK" w:eastAsia="方正仿宋_GBK" w:cs="方正仿宋_GBK"/>
          <w:color w:val="333333"/>
          <w:spacing w:val="0"/>
          <w:kern w:val="0"/>
          <w:sz w:val="32"/>
          <w:szCs w:val="32"/>
          <w:lang w:val="en-US" w:eastAsia="zh-CN" w:bidi="ar"/>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4472.5</w:t>
      </w:r>
      <w:r>
        <w:rPr>
          <w:rFonts w:hint="eastAsia" w:ascii="仿宋_GB2312" w:hAnsi="仿宋_GB2312" w:eastAsia="仿宋_GB2312" w:cs="仿宋_GB2312"/>
          <w:sz w:val="32"/>
          <w:szCs w:val="32"/>
          <w:lang w:val="en-US" w:eastAsia="zh-CN"/>
        </w:rPr>
        <w:t>0</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sz w:val="32"/>
          <w:szCs w:val="32"/>
          <w:highlight w:val="none"/>
          <w:lang w:val="en-US" w:eastAsia="zh-CN"/>
        </w:rPr>
        <w:t>209.68</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sz w:val="32"/>
          <w:szCs w:val="32"/>
          <w:highlight w:val="none"/>
          <w:lang w:val="en-US" w:eastAsia="zh-CN"/>
        </w:rPr>
        <w:t>4.48</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方正仿宋_GBK" w:hAnsi="方正仿宋_GBK" w:eastAsia="方正仿宋_GBK" w:cs="方正仿宋_GBK"/>
          <w:color w:val="333333"/>
          <w:spacing w:val="0"/>
          <w:kern w:val="0"/>
          <w:sz w:val="32"/>
          <w:szCs w:val="32"/>
          <w:lang w:val="en-US" w:eastAsia="zh-CN" w:bidi="ar"/>
        </w:rPr>
        <w:t>市大数据中心机构划转，人员减少，经费减少。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1312" behindDoc="0" locked="0" layoutInCell="1" allowOverlap="1">
            <wp:simplePos x="0" y="0"/>
            <wp:positionH relativeFrom="column">
              <wp:posOffset>237490</wp:posOffset>
            </wp:positionH>
            <wp:positionV relativeFrom="paragraph">
              <wp:posOffset>107950</wp:posOffset>
            </wp:positionV>
            <wp:extent cx="4927600" cy="2819400"/>
            <wp:effectExtent l="4445" t="4445" r="5715" b="10795"/>
            <wp:wrapNone/>
            <wp:docPr id="1" name="图表 1" descr="7b0a202020202263686172745265734964223a20223530303532393031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p>
    <w:p>
      <w:pPr>
        <w:spacing w:line="600" w:lineRule="exact"/>
        <w:ind w:firstLine="640" w:firstLineChars="200"/>
        <w:outlineLvl w:val="1"/>
        <w:rPr>
          <w:rStyle w:val="30"/>
          <w:rFonts w:ascii="Times New Roman" w:hAnsi="Times New Roman" w:eastAsia="黑体"/>
          <w:b w:val="0"/>
          <w:color w:val="auto"/>
          <w:highlight w:val="none"/>
        </w:rPr>
      </w:pPr>
      <w:bookmarkStart w:id="66" w:name="_Toc15377209"/>
      <w:bookmarkStart w:id="67" w:name="_Toc15396607"/>
      <w:bookmarkStart w:id="68" w:name="_Toc202813729_WPSOffice_Level2"/>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66"/>
      <w:bookmarkEnd w:id="67"/>
      <w:bookmarkEnd w:id="68"/>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69"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69"/>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方正仿宋_GBK" w:hAnsi="方正仿宋_GBK" w:eastAsia="方正仿宋_GBK" w:cs="方正仿宋_GBK"/>
          <w:color w:val="333333"/>
          <w:spacing w:val="0"/>
          <w:kern w:val="0"/>
          <w:sz w:val="32"/>
          <w:szCs w:val="32"/>
          <w:lang w:val="en-US" w:eastAsia="zh-CN" w:bidi="ar"/>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4450.77</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%。与2023年度相比，一般公共预算财政拨款支出减少210.16万元，下降4.51%。主要变动原因是</w:t>
      </w:r>
      <w:r>
        <w:rPr>
          <w:rFonts w:hint="eastAsia" w:ascii="Times New Roman" w:hAnsi="Times New Roman" w:eastAsia="仿宋_GB2312" w:cs="仿宋_GB2312"/>
          <w:color w:val="auto"/>
          <w:kern w:val="2"/>
          <w:sz w:val="32"/>
          <w:szCs w:val="32"/>
          <w:highlight w:val="none"/>
          <w:lang w:val="en-US" w:eastAsia="zh-CN" w:bidi="ar-SA"/>
        </w:rPr>
        <w:t>是</w:t>
      </w:r>
      <w:r>
        <w:rPr>
          <w:rFonts w:hint="eastAsia" w:ascii="方正仿宋_GBK" w:hAnsi="方正仿宋_GBK" w:eastAsia="方正仿宋_GBK" w:cs="方正仿宋_GBK"/>
          <w:color w:val="333333"/>
          <w:spacing w:val="0"/>
          <w:kern w:val="0"/>
          <w:sz w:val="32"/>
          <w:szCs w:val="32"/>
          <w:lang w:val="en-US" w:eastAsia="zh-CN" w:bidi="ar"/>
        </w:rPr>
        <w:t>市大数据中心机构划转，人员减少，经费减少。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2336" behindDoc="0" locked="0" layoutInCell="1" allowOverlap="1">
            <wp:simplePos x="0" y="0"/>
            <wp:positionH relativeFrom="column">
              <wp:posOffset>250190</wp:posOffset>
            </wp:positionH>
            <wp:positionV relativeFrom="paragraph">
              <wp:posOffset>43180</wp:posOffset>
            </wp:positionV>
            <wp:extent cx="4826000" cy="2692400"/>
            <wp:effectExtent l="4445" t="4445" r="15875" b="46355"/>
            <wp:wrapNone/>
            <wp:docPr id="9" name="图表 8" descr="7b0a202020202263686172745265734964223a202232303437323232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70"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70"/>
    </w:p>
    <w:p>
      <w:pPr>
        <w:spacing w:line="600" w:lineRule="exact"/>
        <w:ind w:firstLine="640"/>
        <w:rPr>
          <w:rFonts w:hint="eastAsia" w:eastAsia="仿宋_GB2312" w:cs="仿宋_GB2312"/>
          <w:color w:val="auto"/>
          <w:kern w:val="2"/>
          <w:sz w:val="32"/>
          <w:szCs w:val="32"/>
          <w:highlight w:val="none"/>
          <w:lang w:val="en-US" w:eastAsia="zh-CN" w:bidi="ar-SA"/>
        </w:rPr>
      </w:pPr>
      <w:r>
        <w:drawing>
          <wp:anchor distT="0" distB="0" distL="114300" distR="114300" simplePos="0" relativeHeight="251663360" behindDoc="0" locked="0" layoutInCell="1" allowOverlap="1">
            <wp:simplePos x="0" y="0"/>
            <wp:positionH relativeFrom="column">
              <wp:posOffset>250190</wp:posOffset>
            </wp:positionH>
            <wp:positionV relativeFrom="paragraph">
              <wp:posOffset>1891030</wp:posOffset>
            </wp:positionV>
            <wp:extent cx="4842510" cy="3096260"/>
            <wp:effectExtent l="4445" t="4445" r="14605" b="8255"/>
            <wp:wrapNone/>
            <wp:docPr id="10" name="图表 9" descr="7b0a202020202263686172745265734964223a20223230343736393431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4450.77</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3110.72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69.89</w:t>
      </w:r>
      <w:r>
        <w:rPr>
          <w:rFonts w:hint="eastAsia" w:ascii="Times New Roman" w:hAnsi="Times New Roman" w:eastAsia="仿宋_GB2312" w:cs="仿宋_GB2312"/>
          <w:color w:val="auto"/>
          <w:kern w:val="2"/>
          <w:sz w:val="32"/>
          <w:szCs w:val="32"/>
          <w:highlight w:val="none"/>
          <w:lang w:val="en-US" w:eastAsia="zh-CN" w:bidi="ar-SA"/>
        </w:rPr>
        <w:t>%；社会保障和就业支出926.97万元，占</w:t>
      </w:r>
      <w:r>
        <w:rPr>
          <w:rFonts w:hint="eastAsia" w:eastAsia="仿宋_GB2312" w:cs="仿宋_GB2312"/>
          <w:color w:val="auto"/>
          <w:kern w:val="2"/>
          <w:sz w:val="32"/>
          <w:szCs w:val="32"/>
          <w:highlight w:val="none"/>
          <w:lang w:val="en-US" w:eastAsia="zh-CN" w:bidi="ar-SA"/>
        </w:rPr>
        <w:t>20.83</w:t>
      </w:r>
      <w:r>
        <w:rPr>
          <w:rFonts w:hint="eastAsia" w:ascii="Times New Roman" w:hAnsi="Times New Roman" w:eastAsia="仿宋_GB2312" w:cs="仿宋_GB2312"/>
          <w:color w:val="auto"/>
          <w:kern w:val="2"/>
          <w:sz w:val="32"/>
          <w:szCs w:val="32"/>
          <w:highlight w:val="none"/>
          <w:lang w:val="en-US" w:eastAsia="zh-CN" w:bidi="ar-SA"/>
        </w:rPr>
        <w:t>%；卫生健康支出182.63万元，占</w:t>
      </w:r>
      <w:r>
        <w:rPr>
          <w:rFonts w:hint="eastAsia" w:eastAsia="仿宋_GB2312" w:cs="仿宋_GB2312"/>
          <w:color w:val="auto"/>
          <w:kern w:val="2"/>
          <w:sz w:val="32"/>
          <w:szCs w:val="32"/>
          <w:highlight w:val="none"/>
          <w:lang w:val="en-US" w:eastAsia="zh-CN" w:bidi="ar-SA"/>
        </w:rPr>
        <w:t>4.10</w:t>
      </w:r>
      <w:r>
        <w:rPr>
          <w:rFonts w:hint="eastAsia" w:ascii="Times New Roman" w:hAnsi="Times New Roman" w:eastAsia="仿宋_GB2312" w:cs="仿宋_GB2312"/>
          <w:color w:val="auto"/>
          <w:kern w:val="2"/>
          <w:sz w:val="32"/>
          <w:szCs w:val="32"/>
          <w:highlight w:val="none"/>
          <w:lang w:val="en-US" w:eastAsia="zh-CN" w:bidi="ar-SA"/>
        </w:rPr>
        <w:t>%；住房保障支出230.45万元，占</w:t>
      </w:r>
      <w:r>
        <w:rPr>
          <w:rFonts w:hint="eastAsia" w:eastAsia="仿宋_GB2312" w:cs="仿宋_GB2312"/>
          <w:color w:val="auto"/>
          <w:kern w:val="2"/>
          <w:sz w:val="32"/>
          <w:szCs w:val="32"/>
          <w:highlight w:val="none"/>
          <w:lang w:val="en-US" w:eastAsia="zh-CN" w:bidi="ar-SA"/>
        </w:rPr>
        <w:t>5.18</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71"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71"/>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72" w:name="_Toc15377213"/>
      <w:bookmarkStart w:id="73" w:name="_Toc15377444"/>
      <w:bookmarkStart w:id="74"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4450.77</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99.51</w:t>
      </w:r>
      <w:r>
        <w:rPr>
          <w:rFonts w:hint="eastAsia" w:ascii="Times New Roman" w:hAnsi="Times New Roman" w:eastAsia="仿宋_GB2312" w:cs="仿宋_GB2312"/>
          <w:color w:val="auto"/>
          <w:kern w:val="2"/>
          <w:sz w:val="32"/>
          <w:szCs w:val="32"/>
          <w:highlight w:val="none"/>
          <w:lang w:val="en-US" w:eastAsia="zh-CN" w:bidi="ar-SA"/>
        </w:rPr>
        <w:t>%。其中：</w:t>
      </w:r>
      <w:bookmarkEnd w:id="72"/>
      <w:bookmarkEnd w:id="73"/>
      <w:bookmarkEnd w:id="74"/>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方正仿宋_GBK" w:hAnsi="方正仿宋_GBK" w:eastAsia="方正仿宋_GBK" w:cs="方正仿宋_GBK"/>
          <w:color w:val="333333"/>
          <w:spacing w:val="0"/>
          <w:kern w:val="0"/>
          <w:sz w:val="32"/>
          <w:szCs w:val="32"/>
          <w:lang w:val="en-US" w:eastAsia="zh-CN" w:bidi="ar"/>
        </w:rPr>
      </w:pPr>
      <w:bookmarkStart w:id="75" w:name="_Toc10687"/>
      <w:r>
        <w:rPr>
          <w:rFonts w:hint="default" w:ascii="方正仿宋_GBK" w:hAnsi="方正仿宋_GBK" w:eastAsia="方正仿宋_GBK" w:cs="方正仿宋_GBK"/>
          <w:color w:val="333333"/>
          <w:spacing w:val="0"/>
          <w:kern w:val="0"/>
          <w:sz w:val="32"/>
          <w:szCs w:val="32"/>
          <w:lang w:val="en-US" w:eastAsia="zh-CN" w:bidi="ar"/>
        </w:rPr>
        <w:t>1.一般公共服务支出（类）政府办公厅（室）及相关机构事务（款）行政运行（项）: 支出决算为</w:t>
      </w:r>
      <w:r>
        <w:rPr>
          <w:rFonts w:hint="eastAsia" w:ascii="方正仿宋_GBK" w:hAnsi="方正仿宋_GBK" w:eastAsia="方正仿宋_GBK" w:cs="方正仿宋_GBK"/>
          <w:color w:val="333333"/>
          <w:spacing w:val="0"/>
          <w:kern w:val="0"/>
          <w:sz w:val="32"/>
          <w:szCs w:val="32"/>
          <w:lang w:val="en-US" w:eastAsia="zh-CN" w:bidi="ar"/>
        </w:rPr>
        <w:t>2155.0</w:t>
      </w:r>
      <w:r>
        <w:rPr>
          <w:rFonts w:hint="default" w:ascii="方正仿宋_GBK" w:hAnsi="方正仿宋_GBK" w:eastAsia="方正仿宋_GBK" w:cs="方正仿宋_GBK"/>
          <w:color w:val="333333"/>
          <w:spacing w:val="0"/>
          <w:kern w:val="0"/>
          <w:sz w:val="32"/>
          <w:szCs w:val="32"/>
          <w:lang w:val="en" w:eastAsia="zh-CN" w:bidi="ar"/>
        </w:rPr>
        <w:t>5</w:t>
      </w:r>
      <w:r>
        <w:rPr>
          <w:rFonts w:hint="default" w:ascii="方正仿宋_GBK" w:hAnsi="方正仿宋_GBK" w:eastAsia="方正仿宋_GBK" w:cs="方正仿宋_GBK"/>
          <w:color w:val="333333"/>
          <w:spacing w:val="0"/>
          <w:kern w:val="0"/>
          <w:sz w:val="32"/>
          <w:szCs w:val="32"/>
          <w:lang w:val="en-US" w:eastAsia="zh-CN" w:bidi="ar"/>
        </w:rPr>
        <w:t>万元，完成预算99.</w:t>
      </w:r>
      <w:r>
        <w:rPr>
          <w:rFonts w:hint="eastAsia" w:ascii="方正仿宋_GBK" w:hAnsi="方正仿宋_GBK" w:eastAsia="方正仿宋_GBK" w:cs="方正仿宋_GBK"/>
          <w:color w:val="333333"/>
          <w:spacing w:val="0"/>
          <w:kern w:val="0"/>
          <w:sz w:val="32"/>
          <w:szCs w:val="32"/>
          <w:lang w:val="en-US" w:eastAsia="zh-CN" w:bidi="ar"/>
        </w:rPr>
        <w:t>19</w:t>
      </w:r>
      <w:r>
        <w:rPr>
          <w:rFonts w:hint="default" w:ascii="方正仿宋_GBK" w:hAnsi="方正仿宋_GBK" w:eastAsia="方正仿宋_GBK" w:cs="方正仿宋_GBK"/>
          <w:color w:val="333333"/>
          <w:spacing w:val="0"/>
          <w:kern w:val="0"/>
          <w:sz w:val="32"/>
          <w:szCs w:val="32"/>
          <w:lang w:val="en-US" w:eastAsia="zh-CN" w:bidi="ar"/>
        </w:rPr>
        <w:t>%，决算数小于预算数的主要原因是结转结余形成。</w:t>
      </w:r>
      <w:bookmarkEnd w:id="75"/>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方正仿宋_GBK" w:hAnsi="方正仿宋_GBK" w:eastAsia="方正仿宋_GBK" w:cs="方正仿宋_GBK"/>
          <w:color w:val="333333"/>
          <w:spacing w:val="0"/>
          <w:kern w:val="0"/>
          <w:sz w:val="32"/>
          <w:szCs w:val="32"/>
          <w:lang w:val="en-US" w:eastAsia="zh-CN" w:bidi="ar"/>
        </w:rPr>
      </w:pPr>
      <w:bookmarkStart w:id="76" w:name="_Toc13353"/>
      <w:r>
        <w:rPr>
          <w:rFonts w:hint="default" w:ascii="方正仿宋_GBK" w:hAnsi="方正仿宋_GBK" w:eastAsia="方正仿宋_GBK" w:cs="方正仿宋_GBK"/>
          <w:color w:val="333333"/>
          <w:spacing w:val="0"/>
          <w:kern w:val="0"/>
          <w:sz w:val="32"/>
          <w:szCs w:val="32"/>
          <w:lang w:val="en-US" w:eastAsia="zh-CN" w:bidi="ar"/>
        </w:rPr>
        <w:t>2.一般公共服务支出（类）政府办公厅（室）及相关机构事务（款）一般行政管理事务（项）: 支出决算为720.91万元，完成预算</w:t>
      </w:r>
      <w:r>
        <w:rPr>
          <w:rFonts w:hint="eastAsia" w:ascii="方正仿宋_GBK" w:hAnsi="方正仿宋_GBK" w:eastAsia="方正仿宋_GBK" w:cs="方正仿宋_GBK"/>
          <w:color w:val="333333"/>
          <w:spacing w:val="0"/>
          <w:kern w:val="0"/>
          <w:sz w:val="32"/>
          <w:szCs w:val="32"/>
          <w:lang w:val="en-US" w:eastAsia="zh-CN" w:bidi="ar"/>
        </w:rPr>
        <w:t>99.44</w:t>
      </w:r>
      <w:r>
        <w:rPr>
          <w:rFonts w:hint="default" w:ascii="方正仿宋_GBK" w:hAnsi="方正仿宋_GBK" w:eastAsia="方正仿宋_GBK" w:cs="方正仿宋_GBK"/>
          <w:color w:val="333333"/>
          <w:spacing w:val="0"/>
          <w:kern w:val="0"/>
          <w:sz w:val="32"/>
          <w:szCs w:val="32"/>
          <w:lang w:val="en-US" w:eastAsia="zh-CN" w:bidi="ar"/>
        </w:rPr>
        <w:t>%</w:t>
      </w:r>
      <w:r>
        <w:rPr>
          <w:rFonts w:hint="eastAsia" w:ascii="方正仿宋_GBK" w:hAnsi="方正仿宋_GBK" w:eastAsia="方正仿宋_GBK" w:cs="方正仿宋_GBK"/>
          <w:color w:val="333333"/>
          <w:spacing w:val="0"/>
          <w:kern w:val="0"/>
          <w:sz w:val="32"/>
          <w:szCs w:val="32"/>
          <w:lang w:val="en-US" w:eastAsia="zh-CN" w:bidi="ar"/>
        </w:rPr>
        <w:t>，</w:t>
      </w:r>
      <w:r>
        <w:rPr>
          <w:rFonts w:hint="default" w:ascii="方正仿宋_GBK" w:hAnsi="方正仿宋_GBK" w:eastAsia="方正仿宋_GBK" w:cs="方正仿宋_GBK"/>
          <w:color w:val="333333"/>
          <w:spacing w:val="0"/>
          <w:kern w:val="0"/>
          <w:sz w:val="32"/>
          <w:szCs w:val="32"/>
          <w:lang w:val="en-US" w:eastAsia="zh-CN" w:bidi="ar"/>
        </w:rPr>
        <w:t>决算数小于预算数的主要原因是结转结余形成。。</w:t>
      </w:r>
      <w:bookmarkEnd w:id="76"/>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方正仿宋_GBK" w:hAnsi="方正仿宋_GBK" w:eastAsia="方正仿宋_GBK" w:cs="方正仿宋_GBK"/>
          <w:color w:val="333333"/>
          <w:spacing w:val="0"/>
          <w:kern w:val="0"/>
          <w:sz w:val="32"/>
          <w:szCs w:val="32"/>
          <w:lang w:val="en-US" w:eastAsia="zh-CN" w:bidi="ar"/>
        </w:rPr>
      </w:pPr>
      <w:bookmarkStart w:id="77" w:name="_Toc873"/>
      <w:r>
        <w:rPr>
          <w:rFonts w:hint="default" w:ascii="方正仿宋_GBK" w:hAnsi="方正仿宋_GBK" w:eastAsia="方正仿宋_GBK" w:cs="方正仿宋_GBK"/>
          <w:color w:val="333333"/>
          <w:spacing w:val="0"/>
          <w:kern w:val="0"/>
          <w:sz w:val="32"/>
          <w:szCs w:val="32"/>
          <w:lang w:val="en-US" w:eastAsia="zh-CN" w:bidi="ar"/>
        </w:rPr>
        <w:t>3.一般公共服务支出（类）政府办公厅（室）及相关机构事务（款）事业运行（项）: 支出决算为212.92万元，完成预算100%。</w:t>
      </w:r>
      <w:bookmarkEnd w:id="77"/>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方正仿宋_GBK" w:hAnsi="方正仿宋_GBK" w:eastAsia="方正仿宋_GBK" w:cs="方正仿宋_GBK"/>
          <w:color w:val="333333"/>
          <w:spacing w:val="0"/>
          <w:kern w:val="0"/>
          <w:sz w:val="32"/>
          <w:szCs w:val="32"/>
          <w:lang w:val="en-US" w:eastAsia="zh-CN" w:bidi="ar"/>
        </w:rPr>
      </w:pPr>
      <w:bookmarkStart w:id="78" w:name="_Toc8227"/>
      <w:r>
        <w:rPr>
          <w:rFonts w:hint="default" w:ascii="方正仿宋_GBK" w:hAnsi="方正仿宋_GBK" w:eastAsia="方正仿宋_GBK" w:cs="方正仿宋_GBK"/>
          <w:color w:val="333333"/>
          <w:spacing w:val="0"/>
          <w:kern w:val="0"/>
          <w:sz w:val="32"/>
          <w:szCs w:val="32"/>
          <w:lang w:val="en" w:eastAsia="zh-CN" w:bidi="ar"/>
        </w:rPr>
        <w:t>4</w:t>
      </w:r>
      <w:r>
        <w:rPr>
          <w:rFonts w:hint="default" w:ascii="方正仿宋_GBK" w:hAnsi="方正仿宋_GBK" w:eastAsia="方正仿宋_GBK" w:cs="方正仿宋_GBK"/>
          <w:color w:val="333333"/>
          <w:spacing w:val="0"/>
          <w:kern w:val="0"/>
          <w:sz w:val="32"/>
          <w:szCs w:val="32"/>
          <w:lang w:val="en-US" w:eastAsia="zh-CN" w:bidi="ar"/>
        </w:rPr>
        <w:t>.一般公共服务支出（类）政府办公厅（室）及相关机构事务（款）其他政府办公厅（室）及相关机构事务支出（项）: 支出决算为</w:t>
      </w:r>
      <w:r>
        <w:rPr>
          <w:rFonts w:hint="default" w:ascii="方正仿宋_GBK" w:hAnsi="方正仿宋_GBK" w:eastAsia="方正仿宋_GBK" w:cs="方正仿宋_GBK"/>
          <w:color w:val="333333"/>
          <w:spacing w:val="0"/>
          <w:kern w:val="0"/>
          <w:sz w:val="32"/>
          <w:szCs w:val="32"/>
          <w:lang w:val="en" w:eastAsia="zh-CN" w:bidi="ar"/>
        </w:rPr>
        <w:t>14.48</w:t>
      </w:r>
      <w:r>
        <w:rPr>
          <w:rFonts w:hint="default" w:ascii="方正仿宋_GBK" w:hAnsi="方正仿宋_GBK" w:eastAsia="方正仿宋_GBK" w:cs="方正仿宋_GBK"/>
          <w:color w:val="333333"/>
          <w:spacing w:val="0"/>
          <w:kern w:val="0"/>
          <w:sz w:val="32"/>
          <w:szCs w:val="32"/>
          <w:lang w:val="en-US" w:eastAsia="zh-CN" w:bidi="ar"/>
        </w:rPr>
        <w:t>万元，完成预算100%。</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方正仿宋_GBK" w:hAnsi="方正仿宋_GBK" w:eastAsia="方正仿宋_GBK" w:cs="方正仿宋_GBK"/>
          <w:color w:val="333333"/>
          <w:spacing w:val="0"/>
          <w:kern w:val="0"/>
          <w:sz w:val="32"/>
          <w:szCs w:val="32"/>
          <w:lang w:val="en-US" w:eastAsia="zh-CN" w:bidi="ar"/>
        </w:rPr>
      </w:pPr>
      <w:r>
        <w:rPr>
          <w:rFonts w:hint="default" w:ascii="方正仿宋_GBK" w:hAnsi="方正仿宋_GBK" w:eastAsia="方正仿宋_GBK" w:cs="方正仿宋_GBK"/>
          <w:color w:val="333333"/>
          <w:spacing w:val="0"/>
          <w:kern w:val="0"/>
          <w:sz w:val="32"/>
          <w:szCs w:val="32"/>
          <w:lang w:val="en" w:eastAsia="zh-CN" w:bidi="ar"/>
        </w:rPr>
        <w:t>5</w:t>
      </w:r>
      <w:r>
        <w:rPr>
          <w:rFonts w:hint="default" w:ascii="方正仿宋_GBK" w:hAnsi="方正仿宋_GBK" w:eastAsia="方正仿宋_GBK" w:cs="方正仿宋_GBK"/>
          <w:color w:val="333333"/>
          <w:spacing w:val="0"/>
          <w:kern w:val="0"/>
          <w:sz w:val="32"/>
          <w:szCs w:val="32"/>
          <w:lang w:val="en-US" w:eastAsia="zh-CN" w:bidi="ar"/>
        </w:rPr>
        <w:t>.一般公共服务支出（类）组织事务（款）其他组织事务支出（项）: 支出决算为</w:t>
      </w:r>
      <w:r>
        <w:rPr>
          <w:rFonts w:hint="eastAsia" w:ascii="方正仿宋_GBK" w:hAnsi="方正仿宋_GBK" w:eastAsia="方正仿宋_GBK" w:cs="方正仿宋_GBK"/>
          <w:color w:val="333333"/>
          <w:spacing w:val="0"/>
          <w:kern w:val="0"/>
          <w:sz w:val="32"/>
          <w:szCs w:val="32"/>
          <w:lang w:val="en-US" w:eastAsia="zh-CN" w:bidi="ar"/>
        </w:rPr>
        <w:t>7.36</w:t>
      </w:r>
      <w:r>
        <w:rPr>
          <w:rFonts w:hint="default" w:ascii="方正仿宋_GBK" w:hAnsi="方正仿宋_GBK" w:eastAsia="方正仿宋_GBK" w:cs="方正仿宋_GBK"/>
          <w:color w:val="333333"/>
          <w:spacing w:val="0"/>
          <w:kern w:val="0"/>
          <w:sz w:val="32"/>
          <w:szCs w:val="32"/>
          <w:lang w:val="en-US" w:eastAsia="zh-CN" w:bidi="ar"/>
        </w:rPr>
        <w:t>万元，完成预算100%。</w:t>
      </w:r>
      <w:bookmarkEnd w:id="78"/>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方正仿宋_GBK" w:hAnsi="方正仿宋_GBK" w:eastAsia="方正仿宋_GBK" w:cs="方正仿宋_GBK"/>
          <w:color w:val="333333"/>
          <w:spacing w:val="0"/>
          <w:kern w:val="0"/>
          <w:sz w:val="32"/>
          <w:szCs w:val="32"/>
          <w:lang w:val="en-US" w:eastAsia="zh-CN" w:bidi="ar"/>
        </w:rPr>
      </w:pPr>
      <w:bookmarkStart w:id="79" w:name="_Toc26807"/>
      <w:r>
        <w:rPr>
          <w:rFonts w:hint="default" w:ascii="方正仿宋_GBK" w:hAnsi="方正仿宋_GBK" w:eastAsia="方正仿宋_GBK" w:cs="方正仿宋_GBK"/>
          <w:color w:val="333333"/>
          <w:spacing w:val="0"/>
          <w:kern w:val="0"/>
          <w:sz w:val="32"/>
          <w:szCs w:val="32"/>
          <w:lang w:val="en" w:eastAsia="zh-CN" w:bidi="ar"/>
        </w:rPr>
        <w:t>6</w:t>
      </w:r>
      <w:r>
        <w:rPr>
          <w:rFonts w:hint="default" w:ascii="方正仿宋_GBK" w:hAnsi="方正仿宋_GBK" w:eastAsia="方正仿宋_GBK" w:cs="方正仿宋_GBK"/>
          <w:color w:val="333333"/>
          <w:spacing w:val="0"/>
          <w:kern w:val="0"/>
          <w:sz w:val="32"/>
          <w:szCs w:val="32"/>
          <w:lang w:val="en-US" w:eastAsia="zh-CN" w:bidi="ar"/>
        </w:rPr>
        <w:t>.社会保障和就业支出（类）人力资源和社会保障管理事务（款）其他人力资源和社会保障管理事务支出（项）: 支出决算为</w:t>
      </w:r>
      <w:r>
        <w:rPr>
          <w:rFonts w:hint="eastAsia" w:ascii="方正仿宋_GBK" w:hAnsi="方正仿宋_GBK" w:eastAsia="方正仿宋_GBK" w:cs="方正仿宋_GBK"/>
          <w:color w:val="333333"/>
          <w:spacing w:val="0"/>
          <w:kern w:val="0"/>
          <w:sz w:val="32"/>
          <w:szCs w:val="32"/>
          <w:lang w:val="en-US" w:eastAsia="zh-CN" w:bidi="ar"/>
        </w:rPr>
        <w:t>4</w:t>
      </w:r>
      <w:r>
        <w:rPr>
          <w:rFonts w:hint="default" w:ascii="方正仿宋_GBK" w:hAnsi="方正仿宋_GBK" w:eastAsia="方正仿宋_GBK" w:cs="方正仿宋_GBK"/>
          <w:color w:val="333333"/>
          <w:spacing w:val="0"/>
          <w:kern w:val="0"/>
          <w:sz w:val="32"/>
          <w:szCs w:val="32"/>
          <w:lang w:val="en-US" w:eastAsia="zh-CN" w:bidi="ar"/>
        </w:rPr>
        <w:t>万元，完成预算100%。</w:t>
      </w:r>
      <w:bookmarkEnd w:id="79"/>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方正仿宋_GBK" w:hAnsi="方正仿宋_GBK" w:eastAsia="方正仿宋_GBK" w:cs="方正仿宋_GBK"/>
          <w:color w:val="333333"/>
          <w:spacing w:val="0"/>
          <w:kern w:val="0"/>
          <w:sz w:val="32"/>
          <w:szCs w:val="32"/>
          <w:lang w:val="en-US" w:eastAsia="zh-CN" w:bidi="ar"/>
        </w:rPr>
      </w:pPr>
      <w:bookmarkStart w:id="80" w:name="_Toc14371"/>
      <w:r>
        <w:rPr>
          <w:rFonts w:hint="default" w:ascii="方正仿宋_GBK" w:hAnsi="方正仿宋_GBK" w:eastAsia="方正仿宋_GBK" w:cs="方正仿宋_GBK"/>
          <w:color w:val="333333"/>
          <w:spacing w:val="0"/>
          <w:kern w:val="0"/>
          <w:sz w:val="32"/>
          <w:szCs w:val="32"/>
          <w:lang w:val="en" w:eastAsia="zh-CN" w:bidi="ar"/>
        </w:rPr>
        <w:t>7</w:t>
      </w:r>
      <w:r>
        <w:rPr>
          <w:rFonts w:hint="default" w:ascii="方正仿宋_GBK" w:hAnsi="方正仿宋_GBK" w:eastAsia="方正仿宋_GBK" w:cs="方正仿宋_GBK"/>
          <w:color w:val="333333"/>
          <w:spacing w:val="0"/>
          <w:kern w:val="0"/>
          <w:sz w:val="32"/>
          <w:szCs w:val="32"/>
          <w:lang w:val="en-US" w:eastAsia="zh-CN" w:bidi="ar"/>
        </w:rPr>
        <w:t>．社会保障和就业支出（类）行政事业单位养老支出（款）行政单位离退休（项）: 支出决算为</w:t>
      </w:r>
      <w:r>
        <w:rPr>
          <w:rFonts w:hint="eastAsia" w:ascii="方正仿宋_GBK" w:hAnsi="方正仿宋_GBK" w:eastAsia="方正仿宋_GBK" w:cs="方正仿宋_GBK"/>
          <w:color w:val="333333"/>
          <w:spacing w:val="0"/>
          <w:kern w:val="0"/>
          <w:sz w:val="32"/>
          <w:szCs w:val="32"/>
          <w:lang w:val="en-US" w:eastAsia="zh-CN" w:bidi="ar"/>
        </w:rPr>
        <w:t>476.82</w:t>
      </w:r>
      <w:r>
        <w:rPr>
          <w:rFonts w:hint="default" w:ascii="方正仿宋_GBK" w:hAnsi="方正仿宋_GBK" w:eastAsia="方正仿宋_GBK" w:cs="方正仿宋_GBK"/>
          <w:color w:val="333333"/>
          <w:spacing w:val="0"/>
          <w:kern w:val="0"/>
          <w:sz w:val="32"/>
          <w:szCs w:val="32"/>
          <w:lang w:val="en-US" w:eastAsia="zh-CN" w:bidi="ar"/>
        </w:rPr>
        <w:t>万元，完成预算100%。</w:t>
      </w:r>
      <w:bookmarkEnd w:id="80"/>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方正仿宋_GBK" w:hAnsi="方正仿宋_GBK" w:eastAsia="方正仿宋_GBK" w:cs="方正仿宋_GBK"/>
          <w:color w:val="333333"/>
          <w:spacing w:val="0"/>
          <w:kern w:val="0"/>
          <w:sz w:val="32"/>
          <w:szCs w:val="32"/>
          <w:lang w:val="en-US" w:eastAsia="zh-CN" w:bidi="ar"/>
        </w:rPr>
      </w:pPr>
      <w:bookmarkStart w:id="81" w:name="_Toc32278"/>
      <w:r>
        <w:rPr>
          <w:rFonts w:hint="default" w:ascii="方正仿宋_GBK" w:hAnsi="方正仿宋_GBK" w:eastAsia="方正仿宋_GBK" w:cs="方正仿宋_GBK"/>
          <w:color w:val="333333"/>
          <w:spacing w:val="0"/>
          <w:kern w:val="0"/>
          <w:sz w:val="32"/>
          <w:szCs w:val="32"/>
          <w:lang w:val="en" w:eastAsia="zh-CN" w:bidi="ar"/>
        </w:rPr>
        <w:t>8</w:t>
      </w:r>
      <w:r>
        <w:rPr>
          <w:rFonts w:hint="default" w:ascii="方正仿宋_GBK" w:hAnsi="方正仿宋_GBK" w:eastAsia="方正仿宋_GBK" w:cs="方正仿宋_GBK"/>
          <w:color w:val="333333"/>
          <w:spacing w:val="0"/>
          <w:kern w:val="0"/>
          <w:sz w:val="32"/>
          <w:szCs w:val="32"/>
          <w:lang w:val="en-US" w:eastAsia="zh-CN" w:bidi="ar"/>
        </w:rPr>
        <w:t>．社会保障和就业支出（类）行政事业单位养老支出（款）事业单位离退休（项）: 支出决算为2.</w:t>
      </w:r>
      <w:r>
        <w:rPr>
          <w:rFonts w:hint="eastAsia" w:ascii="方正仿宋_GBK" w:hAnsi="方正仿宋_GBK" w:eastAsia="方正仿宋_GBK" w:cs="方正仿宋_GBK"/>
          <w:color w:val="333333"/>
          <w:spacing w:val="0"/>
          <w:kern w:val="0"/>
          <w:sz w:val="32"/>
          <w:szCs w:val="32"/>
          <w:lang w:val="en-US" w:eastAsia="zh-CN" w:bidi="ar"/>
        </w:rPr>
        <w:t>4</w:t>
      </w:r>
      <w:r>
        <w:rPr>
          <w:rFonts w:hint="default" w:ascii="方正仿宋_GBK" w:hAnsi="方正仿宋_GBK" w:eastAsia="方正仿宋_GBK" w:cs="方正仿宋_GBK"/>
          <w:color w:val="333333"/>
          <w:spacing w:val="0"/>
          <w:kern w:val="0"/>
          <w:sz w:val="32"/>
          <w:szCs w:val="32"/>
          <w:lang w:val="en-US" w:eastAsia="zh-CN" w:bidi="ar"/>
        </w:rPr>
        <w:t>4万元，完成预算100%。</w:t>
      </w:r>
      <w:bookmarkEnd w:id="81"/>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方正仿宋_GBK" w:hAnsi="方正仿宋_GBK" w:eastAsia="方正仿宋_GBK" w:cs="方正仿宋_GBK"/>
          <w:color w:val="333333"/>
          <w:spacing w:val="0"/>
          <w:kern w:val="0"/>
          <w:sz w:val="32"/>
          <w:szCs w:val="32"/>
          <w:lang w:val="en-US" w:eastAsia="zh-CN" w:bidi="ar"/>
        </w:rPr>
      </w:pPr>
      <w:bookmarkStart w:id="82" w:name="_Toc16520"/>
      <w:r>
        <w:rPr>
          <w:rFonts w:hint="default" w:ascii="方正仿宋_GBK" w:hAnsi="方正仿宋_GBK" w:eastAsia="方正仿宋_GBK" w:cs="方正仿宋_GBK"/>
          <w:color w:val="333333"/>
          <w:spacing w:val="0"/>
          <w:kern w:val="0"/>
          <w:sz w:val="32"/>
          <w:szCs w:val="32"/>
          <w:lang w:val="en" w:eastAsia="zh-CN" w:bidi="ar"/>
        </w:rPr>
        <w:t>9</w:t>
      </w:r>
      <w:r>
        <w:rPr>
          <w:rFonts w:hint="default" w:ascii="方正仿宋_GBK" w:hAnsi="方正仿宋_GBK" w:eastAsia="方正仿宋_GBK" w:cs="方正仿宋_GBK"/>
          <w:color w:val="333333"/>
          <w:spacing w:val="0"/>
          <w:kern w:val="0"/>
          <w:sz w:val="32"/>
          <w:szCs w:val="32"/>
          <w:lang w:val="en-US" w:eastAsia="zh-CN" w:bidi="ar"/>
        </w:rPr>
        <w:t>．社会保障和就业支出（类）行政事业单位养老支出（款）机关事业单位基本养老保险缴费支出（项）: 支出决算为</w:t>
      </w:r>
      <w:r>
        <w:rPr>
          <w:rFonts w:hint="eastAsia" w:ascii="方正仿宋_GBK" w:hAnsi="方正仿宋_GBK" w:eastAsia="方正仿宋_GBK" w:cs="方正仿宋_GBK"/>
          <w:color w:val="333333"/>
          <w:spacing w:val="0"/>
          <w:kern w:val="0"/>
          <w:sz w:val="32"/>
          <w:szCs w:val="32"/>
          <w:lang w:val="en-US" w:eastAsia="zh-CN" w:bidi="ar"/>
        </w:rPr>
        <w:t>280.15</w:t>
      </w:r>
      <w:r>
        <w:rPr>
          <w:rFonts w:hint="default" w:ascii="方正仿宋_GBK" w:hAnsi="方正仿宋_GBK" w:eastAsia="方正仿宋_GBK" w:cs="方正仿宋_GBK"/>
          <w:color w:val="333333"/>
          <w:spacing w:val="0"/>
          <w:kern w:val="0"/>
          <w:sz w:val="32"/>
          <w:szCs w:val="32"/>
          <w:lang w:val="en-US" w:eastAsia="zh-CN" w:bidi="ar"/>
        </w:rPr>
        <w:t>万元，完成预算100%。</w:t>
      </w:r>
      <w:bookmarkEnd w:id="82"/>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default" w:ascii="方正仿宋_GBK" w:hAnsi="方正仿宋_GBK" w:eastAsia="方正仿宋_GBK" w:cs="方正仿宋_GBK"/>
          <w:color w:val="333333"/>
          <w:spacing w:val="0"/>
          <w:kern w:val="0"/>
          <w:sz w:val="32"/>
          <w:szCs w:val="32"/>
          <w:lang w:val="en-US" w:eastAsia="zh-CN" w:bidi="ar"/>
        </w:rPr>
      </w:pPr>
      <w:bookmarkStart w:id="83" w:name="_Toc27013"/>
      <w:r>
        <w:rPr>
          <w:rFonts w:hint="default" w:ascii="方正仿宋_GBK" w:hAnsi="方正仿宋_GBK" w:eastAsia="方正仿宋_GBK" w:cs="方正仿宋_GBK"/>
          <w:color w:val="333333"/>
          <w:spacing w:val="0"/>
          <w:kern w:val="0"/>
          <w:sz w:val="32"/>
          <w:szCs w:val="32"/>
          <w:lang w:val="en" w:eastAsia="zh-CN" w:bidi="ar"/>
        </w:rPr>
        <w:t>10</w:t>
      </w:r>
      <w:r>
        <w:rPr>
          <w:rFonts w:hint="default" w:ascii="方正仿宋_GBK" w:hAnsi="方正仿宋_GBK" w:eastAsia="方正仿宋_GBK" w:cs="方正仿宋_GBK"/>
          <w:color w:val="333333"/>
          <w:spacing w:val="0"/>
          <w:kern w:val="0"/>
          <w:sz w:val="32"/>
          <w:szCs w:val="32"/>
          <w:lang w:val="en-US" w:eastAsia="zh-CN" w:bidi="ar"/>
        </w:rPr>
        <w:t>．社会保障和就业支出（类）行政事业单位养老支出（款）机关事业单位职业年金缴费支出（项）: 支出决算为</w:t>
      </w:r>
      <w:bookmarkEnd w:id="83"/>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0" w:firstLineChars="100"/>
        <w:jc w:val="both"/>
        <w:textAlignment w:val="auto"/>
        <w:outlineLvl w:val="1"/>
        <w:rPr>
          <w:rFonts w:hint="default" w:ascii="方正仿宋_GBK" w:hAnsi="方正仿宋_GBK" w:eastAsia="方正仿宋_GBK" w:cs="方正仿宋_GBK"/>
          <w:color w:val="333333"/>
          <w:spacing w:val="0"/>
          <w:kern w:val="0"/>
          <w:sz w:val="32"/>
          <w:szCs w:val="32"/>
          <w:lang w:val="en-US" w:eastAsia="zh-CN" w:bidi="ar"/>
        </w:rPr>
      </w:pPr>
      <w:bookmarkStart w:id="84" w:name="_Toc22018"/>
      <w:r>
        <w:rPr>
          <w:rFonts w:hint="eastAsia" w:ascii="方正仿宋_GBK" w:hAnsi="方正仿宋_GBK" w:eastAsia="方正仿宋_GBK" w:cs="方正仿宋_GBK"/>
          <w:color w:val="333333"/>
          <w:spacing w:val="0"/>
          <w:kern w:val="0"/>
          <w:sz w:val="32"/>
          <w:szCs w:val="32"/>
          <w:lang w:val="en-US" w:eastAsia="zh-CN" w:bidi="ar"/>
        </w:rPr>
        <w:t>17.61</w:t>
      </w:r>
      <w:r>
        <w:rPr>
          <w:rFonts w:hint="default" w:ascii="方正仿宋_GBK" w:hAnsi="方正仿宋_GBK" w:eastAsia="方正仿宋_GBK" w:cs="方正仿宋_GBK"/>
          <w:color w:val="333333"/>
          <w:spacing w:val="0"/>
          <w:kern w:val="0"/>
          <w:sz w:val="32"/>
          <w:szCs w:val="32"/>
          <w:lang w:val="en-US" w:eastAsia="zh-CN" w:bidi="ar"/>
        </w:rPr>
        <w:t>万元，完成预算100%。</w:t>
      </w:r>
      <w:bookmarkEnd w:id="84"/>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方正仿宋_GBK" w:hAnsi="方正仿宋_GBK" w:eastAsia="方正仿宋_GBK" w:cs="方正仿宋_GBK"/>
          <w:color w:val="333333"/>
          <w:spacing w:val="0"/>
          <w:kern w:val="0"/>
          <w:sz w:val="32"/>
          <w:szCs w:val="32"/>
          <w:lang w:val="en-US" w:eastAsia="zh-CN" w:bidi="ar"/>
        </w:rPr>
      </w:pPr>
      <w:bookmarkStart w:id="85" w:name="_Toc28890"/>
      <w:r>
        <w:rPr>
          <w:rFonts w:hint="default" w:ascii="方正仿宋_GBK" w:hAnsi="方正仿宋_GBK" w:eastAsia="方正仿宋_GBK" w:cs="方正仿宋_GBK"/>
          <w:color w:val="333333"/>
          <w:spacing w:val="0"/>
          <w:kern w:val="0"/>
          <w:sz w:val="32"/>
          <w:szCs w:val="32"/>
          <w:lang w:val="en-US" w:eastAsia="zh-CN" w:bidi="ar"/>
        </w:rPr>
        <w:t>1</w:t>
      </w:r>
      <w:r>
        <w:rPr>
          <w:rFonts w:hint="default" w:ascii="方正仿宋_GBK" w:hAnsi="方正仿宋_GBK" w:eastAsia="方正仿宋_GBK" w:cs="方正仿宋_GBK"/>
          <w:color w:val="333333"/>
          <w:spacing w:val="0"/>
          <w:kern w:val="0"/>
          <w:sz w:val="32"/>
          <w:szCs w:val="32"/>
          <w:lang w:val="en" w:eastAsia="zh-CN" w:bidi="ar"/>
        </w:rPr>
        <w:t>1</w:t>
      </w:r>
      <w:r>
        <w:rPr>
          <w:rFonts w:hint="default" w:ascii="方正仿宋_GBK" w:hAnsi="方正仿宋_GBK" w:eastAsia="方正仿宋_GBK" w:cs="方正仿宋_GBK"/>
          <w:color w:val="333333"/>
          <w:spacing w:val="0"/>
          <w:kern w:val="0"/>
          <w:sz w:val="32"/>
          <w:szCs w:val="32"/>
          <w:lang w:val="en-US" w:eastAsia="zh-CN" w:bidi="ar"/>
        </w:rPr>
        <w:t>．社会保障和就业支出（类）抚恤（款）死亡抚恤（项）: 支出决算为</w:t>
      </w:r>
      <w:r>
        <w:rPr>
          <w:rFonts w:hint="eastAsia" w:ascii="方正仿宋_GBK" w:hAnsi="方正仿宋_GBK" w:eastAsia="方正仿宋_GBK" w:cs="方正仿宋_GBK"/>
          <w:color w:val="333333"/>
          <w:spacing w:val="0"/>
          <w:kern w:val="0"/>
          <w:sz w:val="32"/>
          <w:szCs w:val="32"/>
          <w:lang w:val="en-US" w:eastAsia="zh-CN" w:bidi="ar"/>
        </w:rPr>
        <w:t>145.31</w:t>
      </w:r>
      <w:r>
        <w:rPr>
          <w:rFonts w:hint="default" w:ascii="方正仿宋_GBK" w:hAnsi="方正仿宋_GBK" w:eastAsia="方正仿宋_GBK" w:cs="方正仿宋_GBK"/>
          <w:color w:val="333333"/>
          <w:spacing w:val="0"/>
          <w:kern w:val="0"/>
          <w:sz w:val="32"/>
          <w:szCs w:val="32"/>
          <w:lang w:val="en-US" w:eastAsia="zh-CN" w:bidi="ar"/>
        </w:rPr>
        <w:t>万元，完成预算100%。</w:t>
      </w:r>
      <w:bookmarkEnd w:id="85"/>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方正仿宋_GBK" w:hAnsi="方正仿宋_GBK" w:eastAsia="方正仿宋_GBK" w:cs="方正仿宋_GBK"/>
          <w:color w:val="333333"/>
          <w:spacing w:val="0"/>
          <w:kern w:val="0"/>
          <w:sz w:val="32"/>
          <w:szCs w:val="32"/>
          <w:lang w:val="en-US" w:eastAsia="zh-CN" w:bidi="ar"/>
        </w:rPr>
      </w:pPr>
      <w:bookmarkStart w:id="86" w:name="_Toc31576"/>
      <w:r>
        <w:rPr>
          <w:rFonts w:hint="default" w:ascii="方正仿宋_GBK" w:hAnsi="方正仿宋_GBK" w:eastAsia="方正仿宋_GBK" w:cs="方正仿宋_GBK"/>
          <w:color w:val="333333"/>
          <w:spacing w:val="0"/>
          <w:kern w:val="0"/>
          <w:sz w:val="32"/>
          <w:szCs w:val="32"/>
          <w:lang w:val="en-US" w:eastAsia="zh-CN" w:bidi="ar"/>
        </w:rPr>
        <w:t>1</w:t>
      </w:r>
      <w:r>
        <w:rPr>
          <w:rFonts w:hint="default" w:ascii="方正仿宋_GBK" w:hAnsi="方正仿宋_GBK" w:eastAsia="方正仿宋_GBK" w:cs="方正仿宋_GBK"/>
          <w:color w:val="333333"/>
          <w:spacing w:val="0"/>
          <w:kern w:val="0"/>
          <w:sz w:val="32"/>
          <w:szCs w:val="32"/>
          <w:lang w:val="en" w:eastAsia="zh-CN" w:bidi="ar"/>
        </w:rPr>
        <w:t>2</w:t>
      </w:r>
      <w:r>
        <w:rPr>
          <w:rFonts w:hint="default" w:ascii="方正仿宋_GBK" w:hAnsi="方正仿宋_GBK" w:eastAsia="方正仿宋_GBK" w:cs="方正仿宋_GBK"/>
          <w:color w:val="333333"/>
          <w:spacing w:val="0"/>
          <w:kern w:val="0"/>
          <w:sz w:val="32"/>
          <w:szCs w:val="32"/>
          <w:lang w:val="en-US" w:eastAsia="zh-CN" w:bidi="ar"/>
        </w:rPr>
        <w:t>．社会保障和就业支出（类）社会福利（款）儿童福利（项）: 支出决算为0.6</w:t>
      </w:r>
      <w:r>
        <w:rPr>
          <w:rFonts w:hint="eastAsia" w:ascii="方正仿宋_GBK" w:hAnsi="方正仿宋_GBK" w:eastAsia="方正仿宋_GBK" w:cs="方正仿宋_GBK"/>
          <w:color w:val="333333"/>
          <w:spacing w:val="0"/>
          <w:kern w:val="0"/>
          <w:sz w:val="32"/>
          <w:szCs w:val="32"/>
          <w:lang w:val="en-US" w:eastAsia="zh-CN" w:bidi="ar"/>
        </w:rPr>
        <w:t>3</w:t>
      </w:r>
      <w:r>
        <w:rPr>
          <w:rFonts w:hint="default" w:ascii="方正仿宋_GBK" w:hAnsi="方正仿宋_GBK" w:eastAsia="方正仿宋_GBK" w:cs="方正仿宋_GBK"/>
          <w:color w:val="333333"/>
          <w:spacing w:val="0"/>
          <w:kern w:val="0"/>
          <w:sz w:val="32"/>
          <w:szCs w:val="32"/>
          <w:lang w:val="en-US" w:eastAsia="zh-CN" w:bidi="ar"/>
        </w:rPr>
        <w:t>万元，完成预算100%。</w:t>
      </w:r>
      <w:bookmarkEnd w:id="86"/>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方正仿宋_GBK" w:hAnsi="方正仿宋_GBK" w:eastAsia="方正仿宋_GBK" w:cs="方正仿宋_GBK"/>
          <w:color w:val="333333"/>
          <w:spacing w:val="0"/>
          <w:kern w:val="0"/>
          <w:sz w:val="32"/>
          <w:szCs w:val="32"/>
          <w:lang w:val="en-US" w:eastAsia="zh-CN" w:bidi="ar"/>
        </w:rPr>
      </w:pPr>
      <w:bookmarkStart w:id="87" w:name="_Toc5884"/>
      <w:r>
        <w:rPr>
          <w:rFonts w:hint="default" w:ascii="方正仿宋_GBK" w:hAnsi="方正仿宋_GBK" w:eastAsia="方正仿宋_GBK" w:cs="方正仿宋_GBK"/>
          <w:color w:val="333333"/>
          <w:spacing w:val="0"/>
          <w:kern w:val="0"/>
          <w:sz w:val="32"/>
          <w:szCs w:val="32"/>
          <w:lang w:val="en-US" w:eastAsia="zh-CN" w:bidi="ar"/>
        </w:rPr>
        <w:t>1</w:t>
      </w:r>
      <w:r>
        <w:rPr>
          <w:rFonts w:hint="default" w:ascii="方正仿宋_GBK" w:hAnsi="方正仿宋_GBK" w:eastAsia="方正仿宋_GBK" w:cs="方正仿宋_GBK"/>
          <w:color w:val="333333"/>
          <w:spacing w:val="0"/>
          <w:kern w:val="0"/>
          <w:sz w:val="32"/>
          <w:szCs w:val="32"/>
          <w:lang w:val="en" w:eastAsia="zh-CN" w:bidi="ar"/>
        </w:rPr>
        <w:t>3</w:t>
      </w:r>
      <w:r>
        <w:rPr>
          <w:rFonts w:hint="default" w:ascii="方正仿宋_GBK" w:hAnsi="方正仿宋_GBK" w:eastAsia="方正仿宋_GBK" w:cs="方正仿宋_GBK"/>
          <w:color w:val="333333"/>
          <w:spacing w:val="0"/>
          <w:kern w:val="0"/>
          <w:sz w:val="32"/>
          <w:szCs w:val="32"/>
          <w:lang w:val="en-US" w:eastAsia="zh-CN" w:bidi="ar"/>
        </w:rPr>
        <w:t>.卫生健康（类）行政事业单位医疗（款）行政单位医疗（项）:支出决算为134.87万元，完成预算100%。</w:t>
      </w:r>
      <w:bookmarkEnd w:id="87"/>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方正仿宋_GBK" w:hAnsi="方正仿宋_GBK" w:eastAsia="方正仿宋_GBK" w:cs="方正仿宋_GBK"/>
          <w:color w:val="333333"/>
          <w:spacing w:val="0"/>
          <w:kern w:val="0"/>
          <w:sz w:val="32"/>
          <w:szCs w:val="32"/>
          <w:lang w:val="en-US" w:eastAsia="zh-CN" w:bidi="ar"/>
        </w:rPr>
      </w:pPr>
      <w:bookmarkStart w:id="88" w:name="_Toc28192"/>
      <w:r>
        <w:rPr>
          <w:rFonts w:hint="default" w:ascii="方正仿宋_GBK" w:hAnsi="方正仿宋_GBK" w:eastAsia="方正仿宋_GBK" w:cs="方正仿宋_GBK"/>
          <w:color w:val="333333"/>
          <w:spacing w:val="0"/>
          <w:kern w:val="0"/>
          <w:sz w:val="32"/>
          <w:szCs w:val="32"/>
          <w:lang w:val="en-US" w:eastAsia="zh-CN" w:bidi="ar"/>
        </w:rPr>
        <w:t>1</w:t>
      </w:r>
      <w:r>
        <w:rPr>
          <w:rFonts w:hint="default" w:ascii="方正仿宋_GBK" w:hAnsi="方正仿宋_GBK" w:eastAsia="方正仿宋_GBK" w:cs="方正仿宋_GBK"/>
          <w:color w:val="333333"/>
          <w:spacing w:val="0"/>
          <w:kern w:val="0"/>
          <w:sz w:val="32"/>
          <w:szCs w:val="32"/>
          <w:lang w:val="en" w:eastAsia="zh-CN" w:bidi="ar"/>
        </w:rPr>
        <w:t>4</w:t>
      </w:r>
      <w:r>
        <w:rPr>
          <w:rFonts w:hint="default" w:ascii="方正仿宋_GBK" w:hAnsi="方正仿宋_GBK" w:eastAsia="方正仿宋_GBK" w:cs="方正仿宋_GBK"/>
          <w:color w:val="333333"/>
          <w:spacing w:val="0"/>
          <w:kern w:val="0"/>
          <w:sz w:val="32"/>
          <w:szCs w:val="32"/>
          <w:lang w:val="en-US" w:eastAsia="zh-CN" w:bidi="ar"/>
        </w:rPr>
        <w:t>.卫生健康（类）行政事业单位医疗（款）事业单位医疗（项）:支出决算为</w:t>
      </w:r>
      <w:r>
        <w:rPr>
          <w:rFonts w:hint="eastAsia" w:ascii="方正仿宋_GBK" w:hAnsi="方正仿宋_GBK" w:eastAsia="方正仿宋_GBK" w:cs="方正仿宋_GBK"/>
          <w:color w:val="333333"/>
          <w:spacing w:val="0"/>
          <w:kern w:val="0"/>
          <w:sz w:val="32"/>
          <w:szCs w:val="32"/>
          <w:lang w:val="en-US" w:eastAsia="zh-CN" w:bidi="ar"/>
        </w:rPr>
        <w:t>13.71</w:t>
      </w:r>
      <w:r>
        <w:rPr>
          <w:rFonts w:hint="default" w:ascii="方正仿宋_GBK" w:hAnsi="方正仿宋_GBK" w:eastAsia="方正仿宋_GBK" w:cs="方正仿宋_GBK"/>
          <w:color w:val="333333"/>
          <w:spacing w:val="0"/>
          <w:kern w:val="0"/>
          <w:sz w:val="32"/>
          <w:szCs w:val="32"/>
          <w:lang w:val="en-US" w:eastAsia="zh-CN" w:bidi="ar"/>
        </w:rPr>
        <w:t>万元，完成预算100%。</w:t>
      </w:r>
      <w:bookmarkEnd w:id="88"/>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方正仿宋_GBK" w:hAnsi="方正仿宋_GBK" w:eastAsia="方正仿宋_GBK" w:cs="方正仿宋_GBK"/>
          <w:color w:val="333333"/>
          <w:spacing w:val="0"/>
          <w:kern w:val="0"/>
          <w:sz w:val="32"/>
          <w:szCs w:val="32"/>
          <w:lang w:val="en-US" w:eastAsia="zh-CN" w:bidi="ar"/>
        </w:rPr>
      </w:pPr>
      <w:bookmarkStart w:id="89" w:name="_Toc6198"/>
      <w:r>
        <w:rPr>
          <w:rFonts w:hint="default" w:ascii="方正仿宋_GBK" w:hAnsi="方正仿宋_GBK" w:eastAsia="方正仿宋_GBK" w:cs="方正仿宋_GBK"/>
          <w:color w:val="333333"/>
          <w:spacing w:val="0"/>
          <w:kern w:val="0"/>
          <w:sz w:val="32"/>
          <w:szCs w:val="32"/>
          <w:lang w:val="en-US" w:eastAsia="zh-CN" w:bidi="ar"/>
        </w:rPr>
        <w:t>1</w:t>
      </w:r>
      <w:r>
        <w:rPr>
          <w:rFonts w:hint="default" w:ascii="方正仿宋_GBK" w:hAnsi="方正仿宋_GBK" w:eastAsia="方正仿宋_GBK" w:cs="方正仿宋_GBK"/>
          <w:color w:val="333333"/>
          <w:spacing w:val="0"/>
          <w:kern w:val="0"/>
          <w:sz w:val="32"/>
          <w:szCs w:val="32"/>
          <w:lang w:val="en" w:eastAsia="zh-CN" w:bidi="ar"/>
        </w:rPr>
        <w:t>5</w:t>
      </w:r>
      <w:r>
        <w:rPr>
          <w:rFonts w:hint="default" w:ascii="方正仿宋_GBK" w:hAnsi="方正仿宋_GBK" w:eastAsia="方正仿宋_GBK" w:cs="方正仿宋_GBK"/>
          <w:color w:val="333333"/>
          <w:spacing w:val="0"/>
          <w:kern w:val="0"/>
          <w:sz w:val="32"/>
          <w:szCs w:val="32"/>
          <w:lang w:val="en-US" w:eastAsia="zh-CN" w:bidi="ar"/>
        </w:rPr>
        <w:t>.卫生健康（类）行政事业单位医疗（款）公务员医疗补助（项）:支出决算为</w:t>
      </w:r>
      <w:r>
        <w:rPr>
          <w:rFonts w:hint="eastAsia" w:ascii="方正仿宋_GBK" w:hAnsi="方正仿宋_GBK" w:eastAsia="方正仿宋_GBK" w:cs="方正仿宋_GBK"/>
          <w:color w:val="333333"/>
          <w:spacing w:val="0"/>
          <w:kern w:val="0"/>
          <w:sz w:val="32"/>
          <w:szCs w:val="32"/>
          <w:lang w:val="en-US" w:eastAsia="zh-CN" w:bidi="ar"/>
        </w:rPr>
        <w:t>13.73</w:t>
      </w:r>
      <w:r>
        <w:rPr>
          <w:rFonts w:hint="default" w:ascii="方正仿宋_GBK" w:hAnsi="方正仿宋_GBK" w:eastAsia="方正仿宋_GBK" w:cs="方正仿宋_GBK"/>
          <w:color w:val="333333"/>
          <w:spacing w:val="0"/>
          <w:kern w:val="0"/>
          <w:sz w:val="32"/>
          <w:szCs w:val="32"/>
          <w:lang w:val="en-US" w:eastAsia="zh-CN" w:bidi="ar"/>
        </w:rPr>
        <w:t>万元，完成预算100%。</w:t>
      </w:r>
      <w:bookmarkEnd w:id="89"/>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方正仿宋_GBK" w:hAnsi="方正仿宋_GBK" w:eastAsia="方正仿宋_GBK" w:cs="方正仿宋_GBK"/>
          <w:color w:val="333333"/>
          <w:spacing w:val="0"/>
          <w:kern w:val="0"/>
          <w:sz w:val="32"/>
          <w:szCs w:val="32"/>
          <w:lang w:val="en-US" w:eastAsia="zh-CN" w:bidi="ar"/>
        </w:rPr>
      </w:pPr>
      <w:bookmarkStart w:id="90" w:name="_Toc16993"/>
      <w:r>
        <w:rPr>
          <w:rFonts w:hint="default" w:ascii="方正仿宋_GBK" w:hAnsi="方正仿宋_GBK" w:eastAsia="方正仿宋_GBK" w:cs="方正仿宋_GBK"/>
          <w:color w:val="333333"/>
          <w:spacing w:val="0"/>
          <w:kern w:val="0"/>
          <w:sz w:val="32"/>
          <w:szCs w:val="32"/>
          <w:lang w:val="en-US" w:eastAsia="zh-CN" w:bidi="ar"/>
        </w:rPr>
        <w:t>1</w:t>
      </w:r>
      <w:r>
        <w:rPr>
          <w:rFonts w:hint="default" w:ascii="方正仿宋_GBK" w:hAnsi="方正仿宋_GBK" w:eastAsia="方正仿宋_GBK" w:cs="方正仿宋_GBK"/>
          <w:color w:val="333333"/>
          <w:spacing w:val="0"/>
          <w:kern w:val="0"/>
          <w:sz w:val="32"/>
          <w:szCs w:val="32"/>
          <w:lang w:val="en" w:eastAsia="zh-CN" w:bidi="ar"/>
        </w:rPr>
        <w:t>6</w:t>
      </w:r>
      <w:r>
        <w:rPr>
          <w:rFonts w:hint="default" w:ascii="方正仿宋_GBK" w:hAnsi="方正仿宋_GBK" w:eastAsia="方正仿宋_GBK" w:cs="方正仿宋_GBK"/>
          <w:color w:val="333333"/>
          <w:spacing w:val="0"/>
          <w:kern w:val="0"/>
          <w:sz w:val="32"/>
          <w:szCs w:val="32"/>
          <w:lang w:val="en-US" w:eastAsia="zh-CN" w:bidi="ar"/>
        </w:rPr>
        <w:t>.卫生健康（类）行政事业单位医疗（款）其他行政事业单位医疗支出（项）:支出决算为</w:t>
      </w:r>
      <w:r>
        <w:rPr>
          <w:rFonts w:hint="eastAsia" w:ascii="方正仿宋_GBK" w:hAnsi="方正仿宋_GBK" w:eastAsia="方正仿宋_GBK" w:cs="方正仿宋_GBK"/>
          <w:color w:val="333333"/>
          <w:spacing w:val="0"/>
          <w:kern w:val="0"/>
          <w:sz w:val="32"/>
          <w:szCs w:val="32"/>
          <w:lang w:val="en-US" w:eastAsia="zh-CN" w:bidi="ar"/>
        </w:rPr>
        <w:t>19.43</w:t>
      </w:r>
      <w:r>
        <w:rPr>
          <w:rFonts w:hint="default" w:ascii="方正仿宋_GBK" w:hAnsi="方正仿宋_GBK" w:eastAsia="方正仿宋_GBK" w:cs="方正仿宋_GBK"/>
          <w:color w:val="333333"/>
          <w:spacing w:val="0"/>
          <w:kern w:val="0"/>
          <w:sz w:val="32"/>
          <w:szCs w:val="32"/>
          <w:lang w:val="en-US" w:eastAsia="zh-CN" w:bidi="ar"/>
        </w:rPr>
        <w:t>万元，完成预算100%。</w:t>
      </w:r>
      <w:bookmarkEnd w:id="90"/>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方正仿宋_GBK" w:hAnsi="方正仿宋_GBK" w:eastAsia="方正仿宋_GBK" w:cs="方正仿宋_GBK"/>
          <w:color w:val="333333"/>
          <w:spacing w:val="0"/>
          <w:kern w:val="0"/>
          <w:sz w:val="32"/>
          <w:szCs w:val="32"/>
          <w:lang w:val="en-US" w:eastAsia="zh-CN" w:bidi="ar"/>
        </w:rPr>
      </w:pPr>
      <w:bookmarkStart w:id="91" w:name="_Toc26059"/>
      <w:r>
        <w:rPr>
          <w:rFonts w:hint="default" w:ascii="方正仿宋_GBK" w:hAnsi="方正仿宋_GBK" w:eastAsia="方正仿宋_GBK" w:cs="方正仿宋_GBK"/>
          <w:color w:val="333333"/>
          <w:spacing w:val="0"/>
          <w:kern w:val="0"/>
          <w:sz w:val="32"/>
          <w:szCs w:val="32"/>
          <w:lang w:val="en-US" w:eastAsia="zh-CN" w:bidi="ar"/>
        </w:rPr>
        <w:t>1</w:t>
      </w:r>
      <w:r>
        <w:rPr>
          <w:rFonts w:hint="default" w:ascii="方正仿宋_GBK" w:hAnsi="方正仿宋_GBK" w:eastAsia="方正仿宋_GBK" w:cs="方正仿宋_GBK"/>
          <w:color w:val="333333"/>
          <w:spacing w:val="0"/>
          <w:kern w:val="0"/>
          <w:sz w:val="32"/>
          <w:szCs w:val="32"/>
          <w:lang w:val="en" w:eastAsia="zh-CN" w:bidi="ar"/>
        </w:rPr>
        <w:t>7</w:t>
      </w:r>
      <w:r>
        <w:rPr>
          <w:rFonts w:hint="default" w:ascii="方正仿宋_GBK" w:hAnsi="方正仿宋_GBK" w:eastAsia="方正仿宋_GBK" w:cs="方正仿宋_GBK"/>
          <w:color w:val="333333"/>
          <w:spacing w:val="0"/>
          <w:kern w:val="0"/>
          <w:sz w:val="32"/>
          <w:szCs w:val="32"/>
          <w:lang w:val="en-US" w:eastAsia="zh-CN" w:bidi="ar"/>
        </w:rPr>
        <w:t>.卫生健康（类）其他卫生健康支出（款）其他卫生健康支出（项）:支出决算为</w:t>
      </w:r>
      <w:r>
        <w:rPr>
          <w:rFonts w:hint="eastAsia" w:ascii="方正仿宋_GBK" w:hAnsi="方正仿宋_GBK" w:eastAsia="方正仿宋_GBK" w:cs="方正仿宋_GBK"/>
          <w:color w:val="333333"/>
          <w:spacing w:val="0"/>
          <w:kern w:val="0"/>
          <w:sz w:val="32"/>
          <w:szCs w:val="32"/>
          <w:lang w:val="en-US" w:eastAsia="zh-CN" w:bidi="ar"/>
        </w:rPr>
        <w:t>0.90</w:t>
      </w:r>
      <w:r>
        <w:rPr>
          <w:rFonts w:hint="default" w:ascii="方正仿宋_GBK" w:hAnsi="方正仿宋_GBK" w:eastAsia="方正仿宋_GBK" w:cs="方正仿宋_GBK"/>
          <w:color w:val="333333"/>
          <w:spacing w:val="0"/>
          <w:kern w:val="0"/>
          <w:sz w:val="32"/>
          <w:szCs w:val="32"/>
          <w:lang w:val="en-US" w:eastAsia="zh-CN" w:bidi="ar"/>
        </w:rPr>
        <w:t>万元，完成预算100%。</w:t>
      </w:r>
      <w:bookmarkEnd w:id="91"/>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bookmarkStart w:id="92" w:name="_Toc1090"/>
      <w:r>
        <w:rPr>
          <w:rFonts w:hint="default" w:ascii="方正仿宋_GBK" w:hAnsi="方正仿宋_GBK" w:eastAsia="方正仿宋_GBK" w:cs="方正仿宋_GBK"/>
          <w:color w:val="333333"/>
          <w:spacing w:val="0"/>
          <w:kern w:val="0"/>
          <w:sz w:val="32"/>
          <w:szCs w:val="32"/>
          <w:lang w:val="en-US" w:eastAsia="zh-CN" w:bidi="ar"/>
        </w:rPr>
        <w:t>1</w:t>
      </w:r>
      <w:r>
        <w:rPr>
          <w:rFonts w:hint="default" w:ascii="方正仿宋_GBK" w:hAnsi="方正仿宋_GBK" w:eastAsia="方正仿宋_GBK" w:cs="方正仿宋_GBK"/>
          <w:color w:val="333333"/>
          <w:spacing w:val="0"/>
          <w:kern w:val="0"/>
          <w:sz w:val="32"/>
          <w:szCs w:val="32"/>
          <w:lang w:val="en" w:eastAsia="zh-CN" w:bidi="ar"/>
        </w:rPr>
        <w:t>8</w:t>
      </w:r>
      <w:r>
        <w:rPr>
          <w:rFonts w:hint="default" w:ascii="方正仿宋_GBK" w:hAnsi="方正仿宋_GBK" w:eastAsia="方正仿宋_GBK" w:cs="方正仿宋_GBK"/>
          <w:color w:val="333333"/>
          <w:spacing w:val="0"/>
          <w:kern w:val="0"/>
          <w:sz w:val="32"/>
          <w:szCs w:val="32"/>
          <w:lang w:val="en-US" w:eastAsia="zh-CN" w:bidi="ar"/>
        </w:rPr>
        <w:t>．住房保障支出（类）住房改革支出（款）住房公积金（项）:支出决算为</w:t>
      </w:r>
      <w:r>
        <w:rPr>
          <w:rFonts w:hint="eastAsia" w:ascii="方正仿宋_GBK" w:hAnsi="方正仿宋_GBK" w:eastAsia="方正仿宋_GBK" w:cs="方正仿宋_GBK"/>
          <w:color w:val="333333"/>
          <w:spacing w:val="0"/>
          <w:kern w:val="0"/>
          <w:sz w:val="32"/>
          <w:szCs w:val="32"/>
          <w:lang w:val="en-US" w:eastAsia="zh-CN" w:bidi="ar"/>
        </w:rPr>
        <w:t>230.45</w:t>
      </w:r>
      <w:r>
        <w:rPr>
          <w:rFonts w:hint="default" w:ascii="方正仿宋_GBK" w:hAnsi="方正仿宋_GBK" w:eastAsia="方正仿宋_GBK" w:cs="方正仿宋_GBK"/>
          <w:color w:val="333333"/>
          <w:spacing w:val="0"/>
          <w:kern w:val="0"/>
          <w:sz w:val="32"/>
          <w:szCs w:val="32"/>
          <w:lang w:val="en-US" w:eastAsia="zh-CN" w:bidi="ar"/>
        </w:rPr>
        <w:t>万元，完成预算100%。</w:t>
      </w:r>
      <w:bookmarkEnd w:id="92"/>
    </w:p>
    <w:p>
      <w:pPr>
        <w:tabs>
          <w:tab w:val="right" w:pos="8306"/>
        </w:tabs>
        <w:spacing w:line="600" w:lineRule="exact"/>
        <w:ind w:firstLine="640"/>
        <w:outlineLvl w:val="1"/>
        <w:rPr>
          <w:rStyle w:val="30"/>
          <w:rFonts w:ascii="Times New Roman" w:hAnsi="Times New Roman"/>
          <w:color w:val="auto"/>
          <w:highlight w:val="none"/>
        </w:rPr>
      </w:pPr>
      <w:bookmarkStart w:id="93" w:name="_Toc15377214"/>
      <w:bookmarkStart w:id="94" w:name="_Toc15396608"/>
      <w:bookmarkStart w:id="95" w:name="_Toc1276080832_WPSOffice_Level2"/>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93"/>
      <w:bookmarkEnd w:id="94"/>
      <w:bookmarkEnd w:id="95"/>
      <w:r>
        <w:rPr>
          <w:rStyle w:val="30"/>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3706.69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方正仿宋_GBK" w:hAnsi="方正仿宋_GBK" w:eastAsia="方正仿宋_GBK" w:cs="方正仿宋_GBK"/>
          <w:color w:val="333333"/>
          <w:spacing w:val="0"/>
          <w:kern w:val="0"/>
          <w:sz w:val="32"/>
          <w:szCs w:val="32"/>
          <w:lang w:val="en-US" w:eastAsia="zh-CN" w:bidi="ar"/>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3276.8</w:t>
      </w:r>
      <w:r>
        <w:rPr>
          <w:rFonts w:hint="default" w:ascii="仿宋_GB2312" w:hAnsi="仿宋_GB2312" w:eastAsia="仿宋_GB2312" w:cs="仿宋_GB2312"/>
          <w:sz w:val="32"/>
          <w:szCs w:val="32"/>
          <w:lang w:val="en"/>
        </w:rPr>
        <w:t>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w:t>
      </w:r>
      <w:r>
        <w:rPr>
          <w:rFonts w:hint="default" w:ascii="方正仿宋_GBK" w:hAnsi="方正仿宋_GBK" w:eastAsia="方正仿宋_GBK" w:cs="方正仿宋_GBK"/>
          <w:color w:val="333333"/>
          <w:spacing w:val="0"/>
          <w:kern w:val="0"/>
          <w:sz w:val="32"/>
          <w:szCs w:val="32"/>
          <w:lang w:val="en-US" w:eastAsia="zh-CN" w:bidi="ar"/>
        </w:rPr>
        <w:t>基本工资、津贴补贴、奖金、绩效工资、机关事业单位基本养老保险缴费、职业年金缴费、其他社会保障缴费、其他工资福利支出、 奖励金</w:t>
      </w:r>
      <w:r>
        <w:rPr>
          <w:rFonts w:hint="eastAsia" w:ascii="方正仿宋_GBK" w:hAnsi="方正仿宋_GBK" w:eastAsia="方正仿宋_GBK" w:cs="方正仿宋_GBK"/>
          <w:color w:val="333333"/>
          <w:spacing w:val="0"/>
          <w:kern w:val="0"/>
          <w:sz w:val="32"/>
          <w:szCs w:val="32"/>
          <w:lang w:val="en-US" w:eastAsia="zh-CN" w:bidi="ar"/>
        </w:rPr>
        <w:t>、</w:t>
      </w:r>
      <w:r>
        <w:rPr>
          <w:rFonts w:hint="default" w:ascii="方正仿宋_GBK" w:hAnsi="方正仿宋_GBK" w:eastAsia="方正仿宋_GBK" w:cs="方正仿宋_GBK"/>
          <w:color w:val="333333"/>
          <w:spacing w:val="0"/>
          <w:kern w:val="0"/>
          <w:sz w:val="32"/>
          <w:szCs w:val="32"/>
          <w:lang w:val="en-US" w:eastAsia="zh-CN" w:bidi="ar"/>
        </w:rPr>
        <w:t>其他对个人和家庭的补助</w:t>
      </w:r>
      <w:r>
        <w:rPr>
          <w:rFonts w:hint="eastAsia" w:ascii="方正仿宋_GBK" w:hAnsi="方正仿宋_GBK" w:eastAsia="方正仿宋_GBK" w:cs="方正仿宋_GBK"/>
          <w:color w:val="333333"/>
          <w:spacing w:val="0"/>
          <w:kern w:val="0"/>
          <w:sz w:val="32"/>
          <w:szCs w:val="32"/>
          <w:lang w:val="en-US" w:eastAsia="zh-CN" w:bidi="ar"/>
        </w:rPr>
        <w:t>、</w:t>
      </w:r>
      <w:r>
        <w:rPr>
          <w:rFonts w:hint="default" w:ascii="方正仿宋_GBK" w:hAnsi="方正仿宋_GBK" w:eastAsia="方正仿宋_GBK" w:cs="方正仿宋_GBK"/>
          <w:color w:val="333333"/>
          <w:spacing w:val="0"/>
          <w:kern w:val="0"/>
          <w:sz w:val="32"/>
          <w:szCs w:val="32"/>
          <w:lang w:val="en-US" w:eastAsia="zh-CN" w:bidi="ar"/>
        </w:rPr>
        <w:t>抚恤金、生活补助、医疗费补助、住房公积金等。</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公用经费</w:t>
      </w:r>
      <w:r>
        <w:rPr>
          <w:rFonts w:hint="eastAsia" w:ascii="仿宋_GB2312" w:hAnsi="仿宋_GB2312" w:eastAsia="仿宋_GB2312" w:cs="仿宋_GB2312"/>
          <w:sz w:val="32"/>
          <w:szCs w:val="32"/>
        </w:rPr>
        <w:t>429.86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w:t>
      </w:r>
      <w:r>
        <w:rPr>
          <w:rFonts w:hint="default" w:ascii="方正仿宋_GBK" w:hAnsi="方正仿宋_GBK" w:eastAsia="方正仿宋_GBK" w:cs="方正仿宋_GBK"/>
          <w:color w:val="333333"/>
          <w:spacing w:val="0"/>
          <w:kern w:val="0"/>
          <w:sz w:val="32"/>
          <w:szCs w:val="32"/>
          <w:lang w:val="en-US" w:eastAsia="zh-CN" w:bidi="ar"/>
        </w:rPr>
        <w:t>办公费、印刷费、水费、电费、邮电费、差旅费、维修（护）费、会议费、培训费、公务接待费、委托业务费、工会经费、福利费、公务用车运行维护费、其他交通费、其他商品和服务支出</w:t>
      </w:r>
      <w:r>
        <w:rPr>
          <w:rFonts w:hint="eastAsia" w:ascii="方正仿宋_GBK" w:hAnsi="方正仿宋_GBK" w:eastAsia="方正仿宋_GBK" w:cs="方正仿宋_GBK"/>
          <w:color w:val="333333"/>
          <w:spacing w:val="0"/>
          <w:kern w:val="0"/>
          <w:sz w:val="32"/>
          <w:szCs w:val="32"/>
          <w:lang w:val="en-US" w:eastAsia="zh-CN" w:bidi="ar"/>
        </w:rPr>
        <w:t>等</w:t>
      </w:r>
      <w:r>
        <w:rPr>
          <w:rFonts w:hint="default" w:ascii="Times New Roman" w:hAnsi="Times New Roman" w:eastAsia="仿宋_GB2312" w:cs="Times New Roman"/>
          <w:snapToGrid w:val="0"/>
          <w:sz w:val="32"/>
          <w:szCs w:val="32"/>
          <w:highlight w:val="none"/>
        </w:rPr>
        <w:t>。</w:t>
      </w:r>
    </w:p>
    <w:p>
      <w:pPr>
        <w:spacing w:line="600" w:lineRule="exact"/>
        <w:ind w:firstLine="640"/>
        <w:outlineLvl w:val="1"/>
        <w:rPr>
          <w:rStyle w:val="30"/>
          <w:rFonts w:ascii="Times New Roman" w:hAnsi="Times New Roman" w:eastAsia="黑体"/>
          <w:b w:val="0"/>
          <w:color w:val="auto"/>
          <w:highlight w:val="none"/>
        </w:rPr>
      </w:pPr>
      <w:bookmarkStart w:id="96" w:name="_Toc806899259_WPSOffice_Level2"/>
      <w:bookmarkStart w:id="97" w:name="_Toc15377215"/>
      <w:bookmarkStart w:id="98" w:name="_Toc15396609"/>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96"/>
      <w:bookmarkEnd w:id="97"/>
      <w:bookmarkEnd w:id="98"/>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99"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99"/>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53.04</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6.78</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14.66</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方正仿宋_GBK" w:hAnsi="方正仿宋_GBK" w:eastAsia="方正仿宋_GBK" w:cs="方正仿宋_GBK"/>
          <w:color w:val="333333"/>
          <w:spacing w:val="0"/>
          <w:kern w:val="0"/>
          <w:sz w:val="32"/>
          <w:szCs w:val="32"/>
          <w:lang w:val="en-US" w:eastAsia="zh-CN" w:bidi="ar"/>
        </w:rPr>
        <w:t>决算数与预算数持平。</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100"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100"/>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color w:val="auto"/>
          <w:kern w:val="2"/>
          <w:sz w:val="32"/>
          <w:szCs w:val="32"/>
          <w:highlight w:val="none"/>
          <w:lang w:val="en-US" w:eastAsia="zh-CN" w:bidi="ar-SA"/>
        </w:rPr>
        <w:t>万元，占21.87%；公务用车购置及运行维护费支出决算</w:t>
      </w:r>
      <w:r>
        <w:rPr>
          <w:rFonts w:hint="eastAsia" w:ascii="仿宋_GB2312" w:hAnsi="仿宋_GB2312" w:eastAsia="仿宋_GB2312" w:cs="仿宋_GB2312"/>
          <w:sz w:val="32"/>
          <w:szCs w:val="32"/>
        </w:rPr>
        <w:t>39.66</w:t>
      </w:r>
      <w:r>
        <w:rPr>
          <w:rFonts w:hint="eastAsia" w:ascii="仿宋_GB2312" w:hAnsi="仿宋_GB2312" w:eastAsia="仿宋_GB2312" w:cs="仿宋_GB2312"/>
          <w:color w:val="auto"/>
          <w:kern w:val="2"/>
          <w:sz w:val="32"/>
          <w:szCs w:val="32"/>
          <w:highlight w:val="none"/>
          <w:lang w:val="en-US" w:eastAsia="zh-CN" w:bidi="ar-SA"/>
        </w:rPr>
        <w:t>万元，占74.77%；公务接待费支出决算</w:t>
      </w:r>
      <w:r>
        <w:rPr>
          <w:rFonts w:hint="eastAsia" w:ascii="仿宋_GB2312" w:hAnsi="仿宋_GB2312" w:eastAsia="仿宋_GB2312" w:cs="仿宋_GB2312"/>
          <w:sz w:val="32"/>
          <w:szCs w:val="32"/>
        </w:rPr>
        <w:t>1.78</w:t>
      </w:r>
      <w:r>
        <w:rPr>
          <w:rFonts w:hint="eastAsia" w:ascii="仿宋_GB2312" w:hAnsi="仿宋_GB2312" w:eastAsia="仿宋_GB2312" w:cs="仿宋_GB2312"/>
          <w:color w:val="auto"/>
          <w:kern w:val="2"/>
          <w:sz w:val="32"/>
          <w:szCs w:val="32"/>
          <w:highlight w:val="none"/>
          <w:lang w:val="en-US" w:eastAsia="zh-CN" w:bidi="ar-SA"/>
        </w:rPr>
        <w:t>万元，占3.36%。具体情况如下：</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drawing>
          <wp:anchor distT="0" distB="0" distL="114300" distR="114300" simplePos="0" relativeHeight="251664384" behindDoc="0" locked="0" layoutInCell="1" allowOverlap="1">
            <wp:simplePos x="0" y="0"/>
            <wp:positionH relativeFrom="column">
              <wp:posOffset>326390</wp:posOffset>
            </wp:positionH>
            <wp:positionV relativeFrom="paragraph">
              <wp:posOffset>2540</wp:posOffset>
            </wp:positionV>
            <wp:extent cx="4758690" cy="3047365"/>
            <wp:effectExtent l="4445" t="4445" r="6985" b="41910"/>
            <wp:wrapNone/>
            <wp:docPr id="12" name="图表 11" descr="7b0a202020202263686172745265734964223a20223230343736383839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w:t>
      </w:r>
    </w:p>
    <w:p>
      <w:pPr>
        <w:spacing w:line="600" w:lineRule="exact"/>
        <w:ind w:firstLine="640"/>
        <w:rPr>
          <w:rFonts w:hint="default" w:ascii="Times New Roman" w:hAnsi="Times New Roman" w:eastAsia="仿宋_GB2312" w:cs="仿宋_GB2312"/>
          <w:color w:val="auto"/>
          <w:kern w:val="2"/>
          <w:sz w:val="32"/>
          <w:szCs w:val="32"/>
          <w:highlight w:val="none"/>
          <w:lang w:val="en"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11.60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2</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3</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w:t>
      </w:r>
      <w:r>
        <w:rPr>
          <w:rFonts w:hint="default" w:ascii="Times New Roman" w:hAnsi="Times New Roman" w:eastAsia="仿宋_GB2312" w:cs="仿宋_GB2312"/>
          <w:color w:val="auto"/>
          <w:kern w:val="2"/>
          <w:sz w:val="32"/>
          <w:szCs w:val="32"/>
          <w:highlight w:val="none"/>
          <w:lang w:val="en" w:eastAsia="zh-CN" w:bidi="ar-SA"/>
        </w:rPr>
        <w:t>11.</w:t>
      </w:r>
      <w:r>
        <w:rPr>
          <w:rFonts w:hint="eastAsia" w:eastAsia="仿宋_GB2312" w:cs="仿宋_GB2312"/>
          <w:color w:val="auto"/>
          <w:kern w:val="2"/>
          <w:sz w:val="32"/>
          <w:szCs w:val="32"/>
          <w:highlight w:val="none"/>
          <w:lang w:val="en-US" w:eastAsia="zh-CN" w:bidi="ar-SA"/>
        </w:rPr>
        <w:t>60</w:t>
      </w:r>
      <w:r>
        <w:rPr>
          <w:rFonts w:hint="eastAsia" w:ascii="Times New Roman" w:hAnsi="Times New Roman" w:eastAsia="仿宋_GB2312" w:cs="仿宋_GB2312"/>
          <w:color w:val="auto"/>
          <w:kern w:val="2"/>
          <w:sz w:val="32"/>
          <w:szCs w:val="32"/>
          <w:highlight w:val="none"/>
          <w:lang w:val="en-US" w:eastAsia="zh-CN" w:bidi="ar-SA"/>
        </w:rPr>
        <w:t>万元。主要原因是</w:t>
      </w:r>
      <w:r>
        <w:rPr>
          <w:rFonts w:hint="default" w:ascii="Times New Roman" w:hAnsi="Times New Roman" w:eastAsia="仿宋_GB2312" w:cs="仿宋_GB2312"/>
          <w:color w:val="auto"/>
          <w:kern w:val="2"/>
          <w:sz w:val="32"/>
          <w:szCs w:val="32"/>
          <w:highlight w:val="none"/>
          <w:lang w:val="en" w:eastAsia="zh-CN" w:bidi="ar-SA"/>
        </w:rPr>
        <w:t>2023</w:t>
      </w:r>
      <w:r>
        <w:rPr>
          <w:rFonts w:hint="eastAsia" w:ascii="Times New Roman" w:hAnsi="Times New Roman" w:eastAsia="仿宋_GB2312" w:cs="仿宋_GB2312"/>
          <w:color w:val="auto"/>
          <w:kern w:val="2"/>
          <w:sz w:val="32"/>
          <w:szCs w:val="32"/>
          <w:highlight w:val="none"/>
          <w:lang w:val="en" w:eastAsia="zh-CN" w:bidi="ar-SA"/>
        </w:rPr>
        <w:t>年未安排</w:t>
      </w:r>
      <w:r>
        <w:rPr>
          <w:rFonts w:hint="eastAsia" w:ascii="Times New Roman" w:hAnsi="Times New Roman" w:eastAsia="仿宋_GB2312" w:cs="仿宋_GB2312"/>
          <w:color w:val="auto"/>
          <w:kern w:val="2"/>
          <w:sz w:val="32"/>
          <w:szCs w:val="32"/>
          <w:highlight w:val="none"/>
          <w:lang w:val="en-US" w:eastAsia="zh-CN" w:bidi="ar-SA"/>
        </w:rPr>
        <w:t>因公出国（境）。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开支内容包括：因公临时出国2批次3人，分别赴日本、老挝、柬埔寨等国家和地区，就钒液流储能、氢能、能源化工、中老班列（攀枝花）铁路物流运输合作进行重点推介及合作洽谈，与外方企业签订意向协议3个。</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39.66万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方正仿宋_GBK" w:hAnsi="方正仿宋_GBK" w:eastAsia="方正仿宋_GBK" w:cs="方正仿宋_GBK"/>
          <w:color w:val="333333"/>
          <w:spacing w:val="0"/>
          <w:kern w:val="0"/>
          <w:sz w:val="32"/>
          <w:szCs w:val="32"/>
          <w:lang w:val="en-US" w:eastAsia="zh-CN" w:bidi="ar"/>
        </w:rPr>
        <w:t>公务用车购置及运行维护费支出决算比2023年度持平。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。截至2024年12月31日，单位共有公务用车</w:t>
      </w: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pPr>
        <w:spacing w:line="600" w:lineRule="exact"/>
        <w:ind w:firstLine="640"/>
        <w:rPr>
          <w:rFonts w:hint="default" w:ascii="方正仿宋_GBK" w:hAnsi="方正仿宋_GBK" w:eastAsia="方正仿宋_GBK" w:cs="方正仿宋_GBK"/>
          <w:color w:val="333333"/>
          <w:spacing w:val="0"/>
          <w:kern w:val="0"/>
          <w:sz w:val="32"/>
          <w:szCs w:val="32"/>
          <w:lang w:val="en-US" w:eastAsia="zh-CN" w:bidi="ar"/>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39.66</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ascii="方正仿宋_GBK" w:hAnsi="方正仿宋_GBK" w:eastAsia="方正仿宋_GBK" w:cs="方正仿宋_GBK"/>
          <w:color w:val="333333"/>
          <w:spacing w:val="0"/>
          <w:kern w:val="0"/>
          <w:sz w:val="32"/>
          <w:szCs w:val="32"/>
          <w:lang w:val="en-US" w:eastAsia="zh-CN" w:bidi="ar"/>
        </w:rPr>
        <w:t>主要用于</w:t>
      </w:r>
      <w:r>
        <w:rPr>
          <w:rFonts w:hint="default" w:ascii="方正仿宋_GBK" w:hAnsi="方正仿宋_GBK" w:eastAsia="方正仿宋_GBK" w:cs="方正仿宋_GBK"/>
          <w:color w:val="333333"/>
          <w:spacing w:val="0"/>
          <w:kern w:val="0"/>
          <w:sz w:val="32"/>
          <w:szCs w:val="32"/>
          <w:lang w:val="en-US" w:eastAsia="zh-CN" w:bidi="ar"/>
        </w:rPr>
        <w:t>保障机关日常工作运转和专项业务工作等所需的公务用车燃料费、维修费、过路过桥费、保险费等支出。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1.78万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4.82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73.03</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方正仿宋_GBK" w:hAnsi="方正仿宋_GBK" w:eastAsia="方正仿宋_GBK" w:cs="方正仿宋_GBK"/>
          <w:color w:val="333333"/>
          <w:spacing w:val="0"/>
          <w:kern w:val="0"/>
          <w:sz w:val="32"/>
          <w:szCs w:val="32"/>
          <w:lang w:val="en-US" w:eastAsia="zh-CN" w:bidi="ar"/>
        </w:rPr>
        <w:t>主要原因是厉行节约，公务接待减少</w:t>
      </w:r>
      <w:r>
        <w:rPr>
          <w:rFonts w:hint="eastAsia" w:ascii="Times New Roman" w:hAnsi="Times New Roman" w:eastAsia="仿宋_GB2312" w:cs="仿宋_GB2312"/>
          <w:color w:val="auto"/>
          <w:kern w:val="2"/>
          <w:sz w:val="32"/>
          <w:szCs w:val="32"/>
          <w:highlight w:val="none"/>
          <w:lang w:val="en-US" w:eastAsia="zh-CN" w:bidi="ar-SA"/>
        </w:rPr>
        <w:t>。其中：</w:t>
      </w:r>
    </w:p>
    <w:p>
      <w:pPr>
        <w:spacing w:line="600" w:lineRule="exact"/>
        <w:ind w:firstLine="645"/>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1.78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w:t>
      </w:r>
      <w:r>
        <w:rPr>
          <w:rFonts w:hint="eastAsia" w:ascii="方正仿宋_GBK" w:hAnsi="方正仿宋_GBK" w:eastAsia="方正仿宋_GBK" w:cs="方正仿宋_GBK"/>
          <w:color w:val="333333"/>
          <w:spacing w:val="0"/>
          <w:kern w:val="0"/>
          <w:sz w:val="32"/>
          <w:szCs w:val="32"/>
          <w:lang w:val="en-US" w:eastAsia="zh-CN" w:bidi="ar"/>
        </w:rPr>
        <w:t>执行公务、开展业务活动开支的交通费、住宿费、用餐费等</w:t>
      </w:r>
      <w:r>
        <w:rPr>
          <w:rFonts w:hint="eastAsia" w:ascii="Times New Roman" w:hAnsi="Times New Roman" w:eastAsia="仿宋_GB2312" w:cs="仿宋_GB2312"/>
          <w:color w:val="auto"/>
          <w:kern w:val="2"/>
          <w:sz w:val="32"/>
          <w:szCs w:val="32"/>
          <w:highlight w:val="none"/>
          <w:lang w:val="en-US" w:eastAsia="zh-CN" w:bidi="ar-SA"/>
        </w:rPr>
        <w:t>。国内公务接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8</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102</w:t>
      </w:r>
      <w:r>
        <w:rPr>
          <w:rFonts w:hint="eastAsia" w:ascii="Times New Roman" w:hAnsi="Times New Roman" w:eastAsia="仿宋_GB2312" w:cs="仿宋_GB2312"/>
          <w:color w:val="auto"/>
          <w:kern w:val="2"/>
          <w:sz w:val="32"/>
          <w:szCs w:val="32"/>
          <w:highlight w:val="none"/>
          <w:lang w:val="en-US" w:eastAsia="zh-CN" w:bidi="ar-SA"/>
        </w:rPr>
        <w:t>人次，共计支出</w:t>
      </w:r>
      <w:r>
        <w:rPr>
          <w:rFonts w:hint="eastAsia" w:eastAsia="仿宋_GB2312" w:cs="仿宋_GB2312"/>
          <w:color w:val="auto"/>
          <w:kern w:val="2"/>
          <w:sz w:val="32"/>
          <w:szCs w:val="32"/>
          <w:highlight w:val="none"/>
          <w:lang w:val="en-US" w:eastAsia="zh-CN" w:bidi="ar-SA"/>
        </w:rPr>
        <w:t>1.78</w:t>
      </w:r>
      <w:r>
        <w:rPr>
          <w:rFonts w:hint="eastAsia" w:ascii="Times New Roman" w:hAnsi="Times New Roman" w:eastAsia="仿宋_GB2312" w:cs="仿宋_GB2312"/>
          <w:color w:val="auto"/>
          <w:kern w:val="2"/>
          <w:sz w:val="32"/>
          <w:szCs w:val="32"/>
          <w:highlight w:val="none"/>
          <w:lang w:val="en-US" w:eastAsia="zh-CN" w:bidi="ar-SA"/>
        </w:rPr>
        <w:t>万元，具体内容包括</w:t>
      </w:r>
      <w:r>
        <w:rPr>
          <w:rFonts w:hint="default" w:ascii="Times New Roman" w:hAnsi="Times New Roman" w:eastAsia="仿宋_GB2312" w:cs="Times New Roman"/>
          <w:color w:val="auto"/>
          <w:sz w:val="32"/>
          <w:szCs w:val="32"/>
          <w:highlight w:val="none"/>
          <w:lang w:eastAsia="zh-CN"/>
        </w:rPr>
        <w:t>市政府办公室、市决策咨询服务中心、</w:t>
      </w:r>
      <w:r>
        <w:rPr>
          <w:rFonts w:hint="default" w:ascii="Times New Roman" w:hAnsi="Times New Roman" w:eastAsia="仿宋_GB2312" w:cs="Times New Roman"/>
          <w:color w:val="auto"/>
          <w:sz w:val="32"/>
          <w:szCs w:val="32"/>
          <w:highlight w:val="none"/>
          <w:lang w:val="en-US" w:eastAsia="zh-CN"/>
        </w:rPr>
        <w:t>市地方志编纂中心</w:t>
      </w:r>
      <w:r>
        <w:rPr>
          <w:rFonts w:hint="default" w:ascii="Times New Roman" w:hAnsi="Times New Roman" w:eastAsia="仿宋_GB2312" w:cs="Times New Roman"/>
          <w:color w:val="auto"/>
          <w:sz w:val="32"/>
          <w:szCs w:val="32"/>
          <w:highlight w:val="none"/>
          <w:lang w:eastAsia="zh-CN"/>
        </w:rPr>
        <w:t>接待省、其他市州来攀考察、学习、调研、督查等。</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101" w:name="_Toc15377218"/>
      <w:bookmarkStart w:id="102" w:name="_Toc15396610"/>
    </w:p>
    <w:p>
      <w:pPr>
        <w:spacing w:line="600" w:lineRule="exact"/>
        <w:ind w:firstLine="640"/>
        <w:outlineLvl w:val="1"/>
        <w:rPr>
          <w:rStyle w:val="30"/>
          <w:rFonts w:ascii="Times New Roman" w:hAnsi="Times New Roman" w:eastAsia="黑体"/>
          <w:color w:val="auto"/>
          <w:highlight w:val="none"/>
        </w:rPr>
      </w:pPr>
      <w:bookmarkStart w:id="103" w:name="_Toc1037300688_WPSOffice_Level2"/>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101"/>
      <w:bookmarkEnd w:id="102"/>
      <w:bookmarkEnd w:id="103"/>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104" w:name="_Toc15396611"/>
      <w:bookmarkStart w:id="105" w:name="_Toc2054080575_WPSOffice_Level2"/>
      <w:bookmarkStart w:id="106" w:name="_Toc15377219"/>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104"/>
      <w:bookmarkEnd w:id="105"/>
      <w:bookmarkEnd w:id="106"/>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107" w:name="_Toc15377221"/>
      <w:bookmarkStart w:id="108" w:name="_Toc15396612"/>
      <w:bookmarkStart w:id="109" w:name="_Toc1555140386_WPSOffice_Level2"/>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107"/>
      <w:bookmarkEnd w:id="108"/>
      <w:bookmarkEnd w:id="109"/>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110" w:name="_Toc15377222"/>
      <w:r>
        <w:rPr>
          <w:rFonts w:hint="eastAsia" w:ascii="Times New Roman" w:hAnsi="Times New Roman" w:eastAsia="楷体_GB2312" w:cs="楷体_GB2312"/>
          <w:b/>
          <w:color w:val="auto"/>
          <w:sz w:val="32"/>
          <w:szCs w:val="32"/>
          <w:highlight w:val="none"/>
        </w:rPr>
        <w:t>（一）机关运行经费支出情况</w:t>
      </w:r>
      <w:bookmarkEnd w:id="110"/>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攀枝花市人民政府办公室</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429.86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0.34</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0.08</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方正仿宋_GBK" w:hAnsi="方正仿宋_GBK" w:eastAsia="方正仿宋_GBK" w:cs="方正仿宋_GBK"/>
          <w:color w:val="333333"/>
          <w:spacing w:val="0"/>
          <w:kern w:val="0"/>
          <w:sz w:val="32"/>
          <w:szCs w:val="32"/>
          <w:lang w:val="en-US" w:eastAsia="zh-CN" w:bidi="ar"/>
        </w:rPr>
        <w:t>市大数据中心机构划转，人员减少。</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111" w:name="_Toc15377223"/>
      <w:r>
        <w:rPr>
          <w:rFonts w:hint="eastAsia" w:ascii="Times New Roman" w:hAnsi="Times New Roman" w:eastAsia="楷体_GB2312" w:cs="楷体_GB2312"/>
          <w:b/>
          <w:color w:val="auto"/>
          <w:sz w:val="32"/>
          <w:szCs w:val="32"/>
          <w:highlight w:val="none"/>
        </w:rPr>
        <w:t>（二）政府采购支出情况</w:t>
      </w:r>
      <w:bookmarkEnd w:id="111"/>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方正仿宋_GBK" w:hAnsi="方正仿宋_GBK" w:eastAsia="方正仿宋_GBK" w:cs="方正仿宋_GBK"/>
          <w:color w:val="333333"/>
          <w:spacing w:val="0"/>
          <w:kern w:val="0"/>
          <w:sz w:val="32"/>
          <w:szCs w:val="32"/>
          <w:lang w:val="en-US" w:eastAsia="zh-CN" w:bidi="ar"/>
        </w:rPr>
        <w:t>2024年度，攀枝花市人民政府办公室政府采购支出总额60万元，其中：政府采购货物支出0万元、政府采购工程支出0万元、政府采购服务支出60万元。主要用于</w:t>
      </w:r>
      <w:r>
        <w:rPr>
          <w:rFonts w:hint="default" w:ascii="方正仿宋_GBK" w:hAnsi="方正仿宋_GBK" w:eastAsia="方正仿宋_GBK" w:cs="方正仿宋_GBK"/>
          <w:color w:val="333333"/>
          <w:spacing w:val="0"/>
          <w:kern w:val="0"/>
          <w:sz w:val="32"/>
          <w:szCs w:val="32"/>
          <w:lang w:val="en-US" w:eastAsia="zh-CN" w:bidi="ar"/>
        </w:rPr>
        <w:t>全市网站集约化平台运维和安全防护、政府网站和政务新媒体绩效督查评估、政务云平台运维、信息系统安全等级保护测评服务、物业、安保等工作。</w:t>
      </w:r>
      <w:r>
        <w:rPr>
          <w:rFonts w:hint="eastAsia" w:ascii="方正仿宋_GBK" w:hAnsi="方正仿宋_GBK" w:eastAsia="方正仿宋_GBK" w:cs="方正仿宋_GBK"/>
          <w:color w:val="333333"/>
          <w:spacing w:val="0"/>
          <w:kern w:val="0"/>
          <w:sz w:val="32"/>
          <w:szCs w:val="32"/>
          <w:lang w:val="en-US" w:eastAsia="zh-CN" w:bidi="ar"/>
        </w:rPr>
        <w:t>授予中小企业合同金额60万元，占政府采购支出总额的100%，其中：授予小微企业合同金额0万元，占政府采购支出总额的0%。</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112" w:name="_Toc15377224"/>
      <w:r>
        <w:rPr>
          <w:rFonts w:hint="eastAsia" w:ascii="Times New Roman" w:hAnsi="Times New Roman" w:eastAsia="楷体_GB2312" w:cs="楷体_GB2312"/>
          <w:b/>
          <w:color w:val="auto"/>
          <w:sz w:val="32"/>
          <w:szCs w:val="32"/>
          <w:highlight w:val="none"/>
        </w:rPr>
        <w:t>（三）国有资产占有使用情况</w:t>
      </w:r>
      <w:bookmarkEnd w:id="11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方正仿宋_GBK" w:hAnsi="方正仿宋_GBK" w:eastAsia="方正仿宋_GBK" w:cs="方正仿宋_GBK"/>
          <w:color w:val="333333"/>
          <w:spacing w:val="0"/>
          <w:kern w:val="0"/>
          <w:sz w:val="32"/>
          <w:szCs w:val="32"/>
          <w:lang w:val="en-US" w:eastAsia="zh-CN" w:bidi="ar"/>
        </w:rPr>
        <w:t>截至2024年12月31日，攀枝花市人民政府办公室（本级）共有车辆15辆，其中：主要负责人用车1辆、机要通信用车0辆、应急保障用车11辆、其他用车3辆，其他用车主要是用于</w:t>
      </w:r>
      <w:r>
        <w:rPr>
          <w:rFonts w:hint="default" w:ascii="方正仿宋_GBK" w:hAnsi="方正仿宋_GBK" w:eastAsia="方正仿宋_GBK" w:cs="方正仿宋_GBK"/>
          <w:color w:val="333333"/>
          <w:spacing w:val="0"/>
          <w:kern w:val="0"/>
          <w:sz w:val="32"/>
          <w:szCs w:val="32"/>
          <w:lang w:val="en-US" w:eastAsia="zh-CN" w:bidi="ar"/>
        </w:rPr>
        <w:t>下乡调研、督查督办等业务工作</w:t>
      </w:r>
      <w:r>
        <w:rPr>
          <w:rFonts w:hint="eastAsia" w:ascii="方正仿宋_GBK" w:hAnsi="方正仿宋_GBK" w:eastAsia="方正仿宋_GBK" w:cs="方正仿宋_GBK"/>
          <w:color w:val="333333"/>
          <w:spacing w:val="0"/>
          <w:kern w:val="0"/>
          <w:sz w:val="32"/>
          <w:szCs w:val="32"/>
          <w:lang w:val="en-US" w:eastAsia="zh-CN" w:bidi="ar"/>
        </w:rPr>
        <w:t>。单价100万元（含）以上设备（不含车辆）0台（套）。</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eastAsia" w:ascii="方正仿宋_GBK" w:hAnsi="方正仿宋_GBK" w:eastAsia="方正仿宋_GBK" w:cs="方正仿宋_GBK"/>
          <w:color w:val="333333"/>
          <w:spacing w:val="0"/>
          <w:kern w:val="0"/>
          <w:sz w:val="32"/>
          <w:szCs w:val="32"/>
          <w:lang w:val="en-US" w:eastAsia="zh-CN" w:bidi="ar"/>
        </w:rPr>
      </w:pPr>
      <w:r>
        <w:rPr>
          <w:rFonts w:hint="eastAsia" w:ascii="方正仿宋_GBK" w:hAnsi="方正仿宋_GBK" w:eastAsia="方正仿宋_GBK" w:cs="方正仿宋_GBK"/>
          <w:color w:val="333333"/>
          <w:spacing w:val="0"/>
          <w:kern w:val="0"/>
          <w:sz w:val="32"/>
          <w:szCs w:val="32"/>
          <w:lang w:val="en-US" w:eastAsia="zh-CN" w:bidi="ar"/>
        </w:rPr>
        <w:t>根据预算绩效管理要求，攀枝花市人民政府办公室在2024年度预算编制阶段，组织对</w:t>
      </w:r>
      <w:r>
        <w:rPr>
          <w:rFonts w:hint="default" w:ascii="方正仿宋_GBK" w:hAnsi="方正仿宋_GBK" w:eastAsia="方正仿宋_GBK" w:cs="方正仿宋_GBK"/>
          <w:color w:val="333333"/>
          <w:spacing w:val="0"/>
          <w:kern w:val="0"/>
          <w:sz w:val="32"/>
          <w:szCs w:val="32"/>
          <w:lang w:val="en-US" w:eastAsia="zh-CN" w:bidi="ar"/>
        </w:rPr>
        <w:t>全市政府网站集约化平台运维和安全防护项目、信息系统安全等级保护测评服务、综合业务等</w:t>
      </w:r>
      <w:r>
        <w:rPr>
          <w:rFonts w:hint="eastAsia" w:ascii="方正仿宋_GBK" w:hAnsi="方正仿宋_GBK" w:eastAsia="方正仿宋_GBK" w:cs="方正仿宋_GBK"/>
          <w:color w:val="333333"/>
          <w:spacing w:val="0"/>
          <w:kern w:val="0"/>
          <w:sz w:val="32"/>
          <w:szCs w:val="32"/>
          <w:lang w:val="en-US" w:eastAsia="zh-CN" w:bidi="ar"/>
        </w:rPr>
        <w:t>12</w:t>
      </w:r>
      <w:r>
        <w:rPr>
          <w:rFonts w:hint="default" w:ascii="方正仿宋_GBK" w:hAnsi="方正仿宋_GBK" w:eastAsia="方正仿宋_GBK" w:cs="方正仿宋_GBK"/>
          <w:color w:val="333333"/>
          <w:spacing w:val="0"/>
          <w:kern w:val="0"/>
          <w:sz w:val="32"/>
          <w:szCs w:val="32"/>
          <w:lang w:val="en-US" w:eastAsia="zh-CN" w:bidi="ar"/>
        </w:rPr>
        <w:t>个</w:t>
      </w:r>
      <w:r>
        <w:rPr>
          <w:rFonts w:hint="eastAsia" w:ascii="方正仿宋_GBK" w:hAnsi="方正仿宋_GBK" w:eastAsia="方正仿宋_GBK" w:cs="方正仿宋_GBK"/>
          <w:color w:val="333333"/>
          <w:spacing w:val="0"/>
          <w:kern w:val="0"/>
          <w:sz w:val="32"/>
          <w:szCs w:val="32"/>
          <w:lang w:val="en-US" w:eastAsia="zh-CN" w:bidi="ar"/>
        </w:rPr>
        <w:t>项目开展了预算事前绩效评估，对12个项目编制了绩效目标，预算执行过程中，选取12个项目开展绩效监控。</w:t>
      </w:r>
      <w:r>
        <w:rPr>
          <w:rFonts w:hint="default" w:ascii="方正仿宋_GBK" w:hAnsi="方正仿宋_GBK" w:eastAsia="方正仿宋_GBK" w:cs="方正仿宋_GBK"/>
          <w:color w:val="333333"/>
          <w:spacing w:val="0"/>
          <w:kern w:val="0"/>
          <w:sz w:val="32"/>
          <w:szCs w:val="32"/>
          <w:lang w:val="en-US" w:eastAsia="zh-CN" w:bidi="ar"/>
        </w:rPr>
        <w:t>绩效自评表详见第四部分附件</w:t>
      </w:r>
    </w:p>
    <w:p>
      <w:pPr>
        <w:spacing w:line="600" w:lineRule="exact"/>
        <w:ind w:firstLine="645"/>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组织对</w:t>
      </w: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年度一般公共预算、</w:t>
      </w:r>
      <w:r>
        <w:rPr>
          <w:rFonts w:hint="default" w:ascii="Times New Roman" w:hAnsi="Times New Roman" w:eastAsia="仿宋_GB2312" w:cs="Times New Roman"/>
          <w:color w:val="auto"/>
          <w:sz w:val="32"/>
          <w:szCs w:val="32"/>
          <w:highlight w:val="none"/>
          <w:lang w:eastAsia="zh-CN"/>
        </w:rPr>
        <w:t>政府性基金预算、国有资本经营预算、社会保险基金预算以及资本资产、债券资金等</w:t>
      </w:r>
      <w:r>
        <w:rPr>
          <w:rFonts w:hint="default" w:ascii="Times New Roman" w:hAnsi="Times New Roman" w:eastAsia="仿宋_GB2312" w:cs="Times New Roman"/>
          <w:color w:val="auto"/>
          <w:sz w:val="32"/>
          <w:szCs w:val="32"/>
          <w:highlight w:val="none"/>
          <w:lang w:val="en-US" w:eastAsia="zh-CN"/>
        </w:rPr>
        <w:t>全面开展绩效自评，形成</w:t>
      </w:r>
      <w:r>
        <w:rPr>
          <w:rFonts w:hint="default" w:ascii="Times New Roman" w:hAnsi="Times New Roman" w:eastAsia="仿宋_GB2312" w:cs="Times New Roman"/>
          <w:color w:val="auto"/>
          <w:sz w:val="32"/>
          <w:szCs w:val="32"/>
          <w:highlight w:val="none"/>
          <w:lang w:eastAsia="zh-CN"/>
        </w:rPr>
        <w:t>市政府办公室部门整体（含部门预算项目）</w:t>
      </w:r>
      <w:r>
        <w:rPr>
          <w:rFonts w:hint="default" w:ascii="Times New Roman" w:hAnsi="Times New Roman" w:eastAsia="仿宋_GB2312" w:cs="Times New Roman"/>
          <w:color w:val="auto"/>
          <w:sz w:val="32"/>
          <w:szCs w:val="32"/>
          <w:highlight w:val="none"/>
          <w:lang w:val="en-US" w:eastAsia="zh-CN"/>
        </w:rPr>
        <w:t>绩效自评报告，绩效自评得分为</w:t>
      </w:r>
      <w:r>
        <w:rPr>
          <w:rFonts w:hint="eastAsia" w:eastAsia="仿宋_GB2312" w:cs="Times New Roman"/>
          <w:color w:val="auto"/>
          <w:sz w:val="32"/>
          <w:szCs w:val="32"/>
          <w:highlight w:val="none"/>
          <w:lang w:val="en-US" w:eastAsia="zh-CN"/>
        </w:rPr>
        <w:t>92</w:t>
      </w:r>
      <w:r>
        <w:rPr>
          <w:rFonts w:hint="default" w:ascii="Times New Roman" w:hAnsi="Times New Roman" w:eastAsia="仿宋_GB2312" w:cs="Times New Roman"/>
          <w:color w:val="auto"/>
          <w:sz w:val="32"/>
          <w:szCs w:val="32"/>
          <w:highlight w:val="none"/>
          <w:lang w:val="en-US" w:eastAsia="zh-CN"/>
        </w:rPr>
        <w:t>分，绩效自评综述：</w:t>
      </w:r>
      <w:r>
        <w:rPr>
          <w:rFonts w:hint="default" w:ascii="Times New Roman" w:hAnsi="Times New Roman" w:eastAsia="仿宋_GB2312" w:cs="Times New Roman"/>
          <w:color w:val="auto"/>
          <w:sz w:val="32"/>
          <w:szCs w:val="32"/>
          <w:highlight w:val="none"/>
          <w:lang w:eastAsia="zh-CN"/>
        </w:rPr>
        <w:t>市政府办公室预、决算编制合理、支出高效规范，财政支出既确保了机关正常运转，又保证了重点项目实施，财政支出绩效良好</w:t>
      </w:r>
      <w:r>
        <w:rPr>
          <w:rFonts w:hint="default" w:ascii="Times New Roman" w:hAnsi="Times New Roman" w:eastAsia="仿宋_GB2312" w:cs="Times New Roman"/>
          <w:color w:val="auto"/>
          <w:sz w:val="32"/>
          <w:szCs w:val="32"/>
          <w:highlight w:val="none"/>
          <w:lang w:val="en-US" w:eastAsia="zh-CN"/>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113" w:name="_Toc15396613"/>
      <w:bookmarkStart w:id="114" w:name="_Toc15377225"/>
      <w:bookmarkStart w:id="115" w:name="_Toc15454615_WPSOffice_Level1"/>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113"/>
      <w:bookmarkEnd w:id="114"/>
      <w:bookmarkEnd w:id="115"/>
    </w:p>
    <w:p>
      <w:pPr>
        <w:spacing w:line="600" w:lineRule="exact"/>
        <w:jc w:val="left"/>
        <w:rPr>
          <w:rFonts w:ascii="Times New Roman" w:hAnsi="Times New Roman"/>
          <w:b/>
          <w:color w:val="auto"/>
          <w:sz w:val="44"/>
          <w:szCs w:val="44"/>
          <w:highlight w:val="none"/>
        </w:rPr>
      </w:pPr>
    </w:p>
    <w:p>
      <w:pPr>
        <w:pStyle w:val="2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1"/>
        <w:rPr>
          <w:rFonts w:hint="default" w:ascii="Times New Roman" w:hAnsi="Times New Roman" w:eastAsia="仿宋_GB2312" w:cs="Times New Roman"/>
          <w:color w:val="auto"/>
          <w:sz w:val="32"/>
          <w:szCs w:val="32"/>
        </w:rPr>
      </w:pPr>
      <w:bookmarkStart w:id="116" w:name="_Toc26273"/>
      <w:bookmarkStart w:id="117" w:name="_Toc21893"/>
      <w:bookmarkStart w:id="118" w:name="_Toc22864"/>
      <w:bookmarkStart w:id="119" w:name="_Toc24344"/>
      <w:bookmarkStart w:id="120" w:name="_Toc29240"/>
      <w:bookmarkStart w:id="121" w:name="_Toc11348"/>
      <w:bookmarkStart w:id="122" w:name="_Toc15396614"/>
      <w:bookmarkStart w:id="123" w:name="_Toc15377226"/>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财政拨款收入：指单位从同级财政部门取得的财政预算资金。</w:t>
      </w:r>
      <w:bookmarkEnd w:id="116"/>
      <w:bookmarkEnd w:id="117"/>
      <w:bookmarkEnd w:id="118"/>
      <w:bookmarkEnd w:id="119"/>
      <w:bookmarkEnd w:id="120"/>
      <w:bookmarkEnd w:id="121"/>
    </w:p>
    <w:p>
      <w:pPr>
        <w:pStyle w:val="2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2．事业收入：指事业单位开展专业业务活动及辅助活动取得的收入。</w:t>
      </w:r>
    </w:p>
    <w:p>
      <w:pPr>
        <w:pStyle w:val="2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3．经营收入：指事业单位在专业业务活动及其辅助活动之外开展非独立核算经营活动取得的收入。</w:t>
      </w:r>
    </w:p>
    <w:p>
      <w:pPr>
        <w:pStyle w:val="2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1"/>
        <w:rPr>
          <w:rFonts w:hint="default" w:ascii="Times New Roman" w:hAnsi="Times New Roman" w:eastAsia="仿宋_GB2312" w:cs="Times New Roman"/>
          <w:color w:val="auto"/>
          <w:sz w:val="32"/>
          <w:szCs w:val="32"/>
        </w:rPr>
      </w:pPr>
      <w:bookmarkStart w:id="124" w:name="_Toc29700"/>
      <w:bookmarkStart w:id="125" w:name="_Toc8778"/>
      <w:bookmarkStart w:id="126" w:name="_Toc15928"/>
      <w:bookmarkStart w:id="127" w:name="_Toc5947"/>
      <w:bookmarkStart w:id="128" w:name="_Toc1682"/>
      <w:bookmarkStart w:id="129" w:name="_Toc28077"/>
      <w:r>
        <w:rPr>
          <w:rFonts w:hint="default" w:ascii="Times New Roman" w:hAnsi="Times New Roman" w:eastAsia="仿宋_GB2312" w:cs="Times New Roman"/>
          <w:color w:val="auto"/>
          <w:sz w:val="32"/>
          <w:szCs w:val="32"/>
        </w:rPr>
        <w:t>4．其他收入：指单位取得的除上述收入以外的各项收入。</w:t>
      </w:r>
      <w:bookmarkEnd w:id="124"/>
      <w:bookmarkEnd w:id="125"/>
      <w:bookmarkEnd w:id="126"/>
      <w:bookmarkEnd w:id="127"/>
      <w:bookmarkEnd w:id="128"/>
      <w:bookmarkEnd w:id="129"/>
    </w:p>
    <w:p>
      <w:pPr>
        <w:pStyle w:val="2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．年初结转和结余：指以前年度尚未完成、结转到本年按有关规定继续使用的资金。</w:t>
      </w:r>
    </w:p>
    <w:p>
      <w:pPr>
        <w:pStyle w:val="2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．年末结转和结余：指单位按有关规定结转到下年或以后年度继续使用的资金。</w:t>
      </w:r>
    </w:p>
    <w:p>
      <w:pPr>
        <w:pStyle w:val="2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．一般公共服务支出（类）政府办公厅（室）及相关机构事务（款）行政运行（项）：反映行政单位（包括实行公务员管理的事业单位）的基本支出。</w:t>
      </w:r>
    </w:p>
    <w:p>
      <w:pPr>
        <w:pStyle w:val="2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．一般公共服务支出（类）政府办公厅（室）及相关机构事务（款）一般行政管理事务（项）：反映行政单位（包括实行公务员管理的事业单位）未单独设置项级科目的其他项目支出。</w:t>
      </w:r>
    </w:p>
    <w:p>
      <w:pPr>
        <w:pStyle w:val="2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．一般公共服务支出（类）政府办公厅（室）及相关机构事务（款）事业运行（项）：</w:t>
      </w:r>
      <w:r>
        <w:rPr>
          <w:rFonts w:hint="default" w:ascii="Times New Roman" w:hAnsi="Times New Roman" w:eastAsia="仿宋_GB2312" w:cs="Times New Roman"/>
          <w:color w:val="auto"/>
          <w:sz w:val="32"/>
          <w:szCs w:val="32"/>
          <w:lang w:val="en-US" w:eastAsia="zh-CN"/>
        </w:rPr>
        <w:t>反映事业单位的基本支出，不包括行政单位（包括实行公务员管理的事业单位）后勤服务中心、医务室等附属事业单位。</w:t>
      </w:r>
    </w:p>
    <w:p>
      <w:pPr>
        <w:pStyle w:val="2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一般公共服务支出</w:t>
      </w:r>
      <w:r>
        <w:rPr>
          <w:rFonts w:hint="default" w:ascii="Times New Roman" w:hAnsi="Times New Roman" w:eastAsia="仿宋_GB2312" w:cs="Times New Roman"/>
          <w:color w:val="auto"/>
          <w:sz w:val="32"/>
          <w:szCs w:val="32"/>
          <w:lang w:val="en-US" w:eastAsia="zh-CN"/>
        </w:rPr>
        <w:t>（类）组织事务（款）其他组织事务支出（项）：反映其他用于</w:t>
      </w:r>
      <w:r>
        <w:rPr>
          <w:rFonts w:hint="eastAsia" w:ascii="Times New Roman" w:hAnsi="Times New Roman" w:eastAsia="仿宋_GB2312" w:cs="Times New Roman"/>
          <w:color w:val="auto"/>
          <w:sz w:val="32"/>
          <w:szCs w:val="32"/>
          <w:lang w:val="en-US" w:eastAsia="zh-CN"/>
        </w:rPr>
        <w:t>中国共产党组织部门的事务</w:t>
      </w:r>
      <w:r>
        <w:rPr>
          <w:rFonts w:hint="default" w:ascii="Times New Roman" w:hAnsi="Times New Roman" w:eastAsia="仿宋_GB2312" w:cs="Times New Roman"/>
          <w:color w:val="auto"/>
          <w:sz w:val="32"/>
          <w:szCs w:val="32"/>
          <w:lang w:val="en-US" w:eastAsia="zh-CN"/>
        </w:rPr>
        <w:t>支出。</w:t>
      </w:r>
    </w:p>
    <w:p>
      <w:pPr>
        <w:pStyle w:val="2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社会保障和就业支出</w:t>
      </w:r>
      <w:r>
        <w:rPr>
          <w:rFonts w:hint="default" w:ascii="Times New Roman" w:hAnsi="Times New Roman" w:eastAsia="仿宋_GB2312" w:cs="Times New Roman"/>
          <w:color w:val="auto"/>
          <w:sz w:val="32"/>
          <w:szCs w:val="32"/>
        </w:rPr>
        <w:t>（类）人力资源和社会保障管理事务（款）其他人力资源和社会保障管理事务支出（项）</w:t>
      </w:r>
      <w:r>
        <w:rPr>
          <w:rFonts w:hint="default" w:ascii="Times New Roman" w:hAnsi="Times New Roman" w:eastAsia="仿宋_GB2312" w:cs="Times New Roman"/>
          <w:color w:val="auto"/>
          <w:sz w:val="32"/>
          <w:szCs w:val="32"/>
          <w:lang w:eastAsia="zh-CN"/>
        </w:rPr>
        <w:t>：反映其他用于人力资源和社会保障管理事务方面的支出。。</w:t>
      </w:r>
    </w:p>
    <w:p>
      <w:pPr>
        <w:pStyle w:val="2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社会保障和就业支出</w:t>
      </w:r>
      <w:r>
        <w:rPr>
          <w:rFonts w:hint="default" w:ascii="Times New Roman" w:hAnsi="Times New Roman" w:eastAsia="仿宋_GB2312" w:cs="Times New Roman"/>
          <w:color w:val="auto"/>
          <w:sz w:val="32"/>
          <w:szCs w:val="32"/>
        </w:rPr>
        <w:t>（类）行政事业单位养老支出（款）行政单位离退休（项）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反映行政单位（包括实行公务员管理的事业单位）开支的离退休经费。</w:t>
      </w:r>
    </w:p>
    <w:p>
      <w:pPr>
        <w:pStyle w:val="2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13．社会保障和就业支出（类）行政事业单位养老支出（款）事业单位离退休（项）：反应事业单位开支的离退休经费。</w:t>
      </w:r>
    </w:p>
    <w:p>
      <w:pPr>
        <w:pStyle w:val="2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社会保障和就业支出</w:t>
      </w:r>
      <w:r>
        <w:rPr>
          <w:rFonts w:hint="default" w:ascii="Times New Roman" w:hAnsi="Times New Roman" w:eastAsia="仿宋_GB2312" w:cs="Times New Roman"/>
          <w:color w:val="auto"/>
          <w:sz w:val="32"/>
          <w:szCs w:val="32"/>
        </w:rPr>
        <w:t>（类）行政事业单位养老支出（款）机关事业单位基本养老保险缴费支出（项）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反映机关事业单位实施养老保险制度由单位缴纳的基本养老保险费支出。</w:t>
      </w:r>
    </w:p>
    <w:p>
      <w:pPr>
        <w:pStyle w:val="2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社会保障和就业支出</w:t>
      </w:r>
      <w:r>
        <w:rPr>
          <w:rFonts w:hint="default" w:ascii="Times New Roman" w:hAnsi="Times New Roman" w:eastAsia="仿宋_GB2312" w:cs="Times New Roman"/>
          <w:color w:val="auto"/>
          <w:sz w:val="32"/>
          <w:szCs w:val="32"/>
        </w:rPr>
        <w:t>（类）行政事业单位养老支出（款）机关事业单位</w:t>
      </w:r>
      <w:r>
        <w:rPr>
          <w:rFonts w:hint="default" w:ascii="Times New Roman" w:hAnsi="Times New Roman" w:eastAsia="仿宋_GB2312" w:cs="Times New Roman"/>
          <w:color w:val="auto"/>
          <w:sz w:val="32"/>
          <w:szCs w:val="32"/>
          <w:lang w:val="en-US" w:eastAsia="zh-CN"/>
        </w:rPr>
        <w:t>职业年金缴费</w:t>
      </w:r>
      <w:r>
        <w:rPr>
          <w:rFonts w:hint="default" w:ascii="Times New Roman" w:hAnsi="Times New Roman" w:eastAsia="仿宋_GB2312" w:cs="Times New Roman"/>
          <w:color w:val="auto"/>
          <w:sz w:val="32"/>
          <w:szCs w:val="32"/>
        </w:rPr>
        <w:t>支出（项）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反映机关事业单位实施养老保险制度由单位实际缴纳的职业年金支出。</w:t>
      </w:r>
    </w:p>
    <w:p>
      <w:pPr>
        <w:pStyle w:val="2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rPr>
        <w:t>．社会保障和就业支出（类）抚恤（款）死亡抚恤（项）：反映按规定用于烈士和牺牲、病故人员家属的一次性和定期抚恤金以及丧葬补助费。</w:t>
      </w:r>
    </w:p>
    <w:p>
      <w:pPr>
        <w:pStyle w:val="2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17</w:t>
      </w:r>
      <w:r>
        <w:rPr>
          <w:rFonts w:hint="default" w:ascii="Times New Roman" w:hAnsi="Times New Roman" w:eastAsia="仿宋_GB2312" w:cs="Times New Roman"/>
          <w:color w:val="auto"/>
          <w:sz w:val="32"/>
          <w:szCs w:val="32"/>
        </w:rPr>
        <w:t>．社会保障和就业支出（类）社会福利（款）儿童福利（项）：反映对儿童提供福利服务方面的支出。</w:t>
      </w:r>
    </w:p>
    <w:p>
      <w:pPr>
        <w:pStyle w:val="2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卫生健康</w:t>
      </w:r>
      <w:r>
        <w:rPr>
          <w:rFonts w:hint="default" w:ascii="Times New Roman" w:hAnsi="Times New Roman" w:eastAsia="仿宋_GB2312" w:cs="Times New Roman"/>
          <w:color w:val="auto"/>
          <w:sz w:val="32"/>
          <w:szCs w:val="32"/>
        </w:rPr>
        <w:t>（类）行政事业单位医疗（款）行政单位医疗（项）：反映财政部门安排的行政单位(包括实行公务员管理的事业单位)基本医疗保险缴费经费，未参加医疗保险的行政单位的公费医疗经费，按国家规定享受离休人员、红军老战士待遇人员的医疗经费。</w:t>
      </w:r>
    </w:p>
    <w:p>
      <w:pPr>
        <w:pStyle w:val="2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19</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卫生健康</w:t>
      </w:r>
      <w:r>
        <w:rPr>
          <w:rFonts w:hint="default" w:ascii="Times New Roman" w:hAnsi="Times New Roman" w:eastAsia="仿宋_GB2312" w:cs="Times New Roman"/>
          <w:color w:val="auto"/>
          <w:sz w:val="32"/>
          <w:szCs w:val="32"/>
        </w:rPr>
        <w:t>（类）行政事业单位医疗（款）</w:t>
      </w:r>
      <w:r>
        <w:rPr>
          <w:rFonts w:hint="default" w:ascii="Times New Roman" w:hAnsi="Times New Roman" w:eastAsia="仿宋_GB2312" w:cs="Times New Roman"/>
          <w:color w:val="auto"/>
          <w:sz w:val="32"/>
          <w:szCs w:val="32"/>
          <w:lang w:val="en-US" w:eastAsia="zh-CN"/>
        </w:rPr>
        <w:t>事业</w:t>
      </w:r>
      <w:r>
        <w:rPr>
          <w:rFonts w:hint="default" w:ascii="Times New Roman" w:hAnsi="Times New Roman" w:eastAsia="仿宋_GB2312" w:cs="Times New Roman"/>
          <w:color w:val="auto"/>
          <w:sz w:val="32"/>
          <w:szCs w:val="32"/>
        </w:rPr>
        <w:t>单位医疗（项）：反映财政部门安排的事业单位基本医疗保险缴费经费，未参加医疗保险的事业单位的公费医疗经费，按国家规定享受离休人员待遇的医疗经费。</w:t>
      </w:r>
    </w:p>
    <w:p>
      <w:pPr>
        <w:pStyle w:val="2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卫生健康</w:t>
      </w:r>
      <w:r>
        <w:rPr>
          <w:rFonts w:hint="default" w:ascii="Times New Roman" w:hAnsi="Times New Roman" w:eastAsia="仿宋_GB2312" w:cs="Times New Roman"/>
          <w:color w:val="auto"/>
          <w:sz w:val="32"/>
          <w:szCs w:val="32"/>
        </w:rPr>
        <w:t>（类）行政事业单位医疗（款）</w:t>
      </w:r>
      <w:r>
        <w:rPr>
          <w:rFonts w:hint="default" w:ascii="Times New Roman" w:hAnsi="Times New Roman" w:eastAsia="仿宋_GB2312" w:cs="Times New Roman"/>
          <w:color w:val="auto"/>
          <w:sz w:val="32"/>
          <w:szCs w:val="32"/>
          <w:lang w:val="en-US" w:eastAsia="zh-CN"/>
        </w:rPr>
        <w:t>公务员医疗补助</w:t>
      </w:r>
      <w:r>
        <w:rPr>
          <w:rFonts w:hint="default" w:ascii="Times New Roman" w:hAnsi="Times New Roman" w:eastAsia="仿宋_GB2312" w:cs="Times New Roman"/>
          <w:color w:val="auto"/>
          <w:sz w:val="32"/>
          <w:szCs w:val="32"/>
        </w:rPr>
        <w:t>（项）：反映财政部门安排的公务员医疗补助经费。</w:t>
      </w:r>
    </w:p>
    <w:p>
      <w:pPr>
        <w:pStyle w:val="2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卫生健康</w:t>
      </w:r>
      <w:r>
        <w:rPr>
          <w:rFonts w:hint="default" w:ascii="Times New Roman" w:hAnsi="Times New Roman" w:eastAsia="仿宋_GB2312" w:cs="Times New Roman"/>
          <w:color w:val="auto"/>
          <w:sz w:val="32"/>
          <w:szCs w:val="32"/>
        </w:rPr>
        <w:t>（类）行政事业单位医疗（款）</w:t>
      </w:r>
      <w:r>
        <w:rPr>
          <w:rFonts w:hint="default" w:ascii="Times New Roman" w:hAnsi="Times New Roman" w:eastAsia="仿宋_GB2312" w:cs="Times New Roman"/>
          <w:color w:val="auto"/>
          <w:sz w:val="32"/>
          <w:szCs w:val="32"/>
          <w:lang w:val="en-US" w:eastAsia="zh-CN"/>
        </w:rPr>
        <w:t>其他行政事业单位医疗支出</w:t>
      </w:r>
      <w:r>
        <w:rPr>
          <w:rFonts w:hint="default" w:ascii="Times New Roman" w:hAnsi="Times New Roman" w:eastAsia="仿宋_GB2312" w:cs="Times New Roman"/>
          <w:color w:val="auto"/>
          <w:sz w:val="32"/>
          <w:szCs w:val="32"/>
        </w:rPr>
        <w:t>（项）：反映其他用于行政事业单位医疗方面的支出。</w:t>
      </w:r>
    </w:p>
    <w:p>
      <w:pPr>
        <w:pStyle w:val="2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卫生健康</w:t>
      </w:r>
      <w:r>
        <w:rPr>
          <w:rFonts w:hint="default" w:ascii="Times New Roman" w:hAnsi="Times New Roman" w:eastAsia="仿宋_GB2312" w:cs="Times New Roman"/>
          <w:color w:val="auto"/>
          <w:sz w:val="32"/>
          <w:szCs w:val="32"/>
        </w:rPr>
        <w:t>（类）其他卫生健康支出（款）</w:t>
      </w:r>
      <w:r>
        <w:rPr>
          <w:rFonts w:hint="default" w:ascii="Times New Roman" w:hAnsi="Times New Roman" w:eastAsia="仿宋_GB2312" w:cs="Times New Roman"/>
          <w:color w:val="auto"/>
          <w:sz w:val="32"/>
          <w:szCs w:val="32"/>
          <w:lang w:val="en-US" w:eastAsia="zh-CN"/>
        </w:rPr>
        <w:t>其他卫生健康支出</w:t>
      </w:r>
      <w:r>
        <w:rPr>
          <w:rFonts w:hint="default" w:ascii="Times New Roman" w:hAnsi="Times New Roman" w:eastAsia="仿宋_GB2312" w:cs="Times New Roman"/>
          <w:color w:val="auto"/>
          <w:sz w:val="32"/>
          <w:szCs w:val="32"/>
        </w:rPr>
        <w:t>（项）：反映其他用于卫生健康方面的支出。</w:t>
      </w:r>
    </w:p>
    <w:p>
      <w:pPr>
        <w:pStyle w:val="2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住房保障支出（类）住房改革支出（款）住房公积金（项）：反映行政事业单位按人力资源和社会保障部、财政部规定的基本工资和津贴补贴以及规定比例为职工缴纳的住房公积金。</w:t>
      </w:r>
    </w:p>
    <w:p>
      <w:pPr>
        <w:pStyle w:val="2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基本支出：指为保障机构正常运转、完成日常工作任务而发生的人员支出和公用支出。</w:t>
      </w:r>
    </w:p>
    <w:p>
      <w:pPr>
        <w:pStyle w:val="2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项目支出：指在基本支出之外为完成特定行政任务和事业发展目标所发生的支出。</w:t>
      </w:r>
    </w:p>
    <w:p>
      <w:pPr>
        <w:pStyle w:val="2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经营支出：指事业单位在专业业务活动及其辅助活动之外开展非独立核算经营活动发生的支出。</w:t>
      </w:r>
    </w:p>
    <w:p>
      <w:pPr>
        <w:pStyle w:val="2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“三公”经费：指单位用财政拨款安排的因公出国（境）费、公务用车购置及运行费和公务接待费。其中，因公出国（境）</w:t>
      </w:r>
      <w:bookmarkStart w:id="130" w:name="hmjd_error_2_0_费_黑马提示无建议_11309"/>
      <w:r>
        <w:rPr>
          <w:rFonts w:hint="default" w:ascii="Times New Roman" w:hAnsi="Times New Roman" w:eastAsia="仿宋_GB2312" w:cs="Times New Roman"/>
          <w:color w:val="auto"/>
          <w:sz w:val="32"/>
          <w:szCs w:val="32"/>
          <w:lang w:val="en-US" w:eastAsia="zh-CN"/>
        </w:rPr>
        <w:t>费</w:t>
      </w:r>
      <w:bookmarkEnd w:id="130"/>
      <w:r>
        <w:rPr>
          <w:rFonts w:hint="default" w:ascii="Times New Roman" w:hAnsi="Times New Roman" w:eastAsia="仿宋_GB2312" w:cs="Times New Roman"/>
          <w:color w:val="auto"/>
          <w:sz w:val="32"/>
          <w:szCs w:val="32"/>
          <w:lang w:val="en-US" w:eastAsia="zh-CN"/>
        </w:rPr>
        <w:t>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28</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Style w:val="29"/>
          <w:rFonts w:hint="eastAsia" w:ascii="Times New Roman" w:hAnsi="Times New Roman" w:eastAsia="黑体"/>
          <w:b w:val="0"/>
          <w:color w:val="auto"/>
          <w:highlight w:val="none"/>
          <w:lang w:eastAsia="zh-CN"/>
        </w:rPr>
      </w:pPr>
      <w:bookmarkStart w:id="131" w:name="_Toc1837271617_WPSOffice_Level1"/>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122"/>
      <w:bookmarkEnd w:id="131"/>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bookmarkStart w:id="132" w:name="_Toc1788065494_WPSOffice_Level2"/>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bookmarkEnd w:id="132"/>
    </w:p>
    <w:p>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298" w:lineRule="auto"/>
        <w:ind w:firstLine="0" w:firstLineChars="0"/>
        <w:textAlignment w:val="auto"/>
        <w:rPr>
          <w:rFonts w:hint="eastAsia" w:ascii="方正黑体_GBK" w:hAnsi="方正黑体_GBK" w:eastAsia="方正黑体_GBK" w:cs="方正黑体_GBK"/>
          <w:kern w:val="0"/>
          <w:sz w:val="32"/>
          <w:szCs w:val="20"/>
        </w:rPr>
      </w:pPr>
      <w:r>
        <w:rPr>
          <w:rFonts w:hint="eastAsia" w:ascii="方正黑体_GBK" w:hAnsi="方正黑体_GBK" w:eastAsia="方正黑体_GBK" w:cs="方正黑体_GBK"/>
          <w:kern w:val="0"/>
          <w:sz w:val="32"/>
          <w:szCs w:val="20"/>
          <w:lang w:val="zh-CN"/>
        </w:rPr>
        <w:t>　</w:t>
      </w:r>
      <w:bookmarkStart w:id="133" w:name="_Toc1046005325_WPSOffice_Level2"/>
      <w:r>
        <w:rPr>
          <w:rFonts w:hint="eastAsia" w:ascii="方正黑体_GBK" w:hAnsi="方正黑体_GBK" w:eastAsia="方正黑体_GBK" w:cs="方正黑体_GBK"/>
          <w:kern w:val="0"/>
          <w:sz w:val="32"/>
          <w:szCs w:val="20"/>
          <w:lang w:val="zh-CN"/>
        </w:rPr>
        <w:t>一、部门（单位）基本情况</w:t>
      </w:r>
      <w:bookmarkEnd w:id="133"/>
    </w:p>
    <w:p>
      <w:pPr>
        <w:spacing w:line="600" w:lineRule="exact"/>
        <w:ind w:firstLine="645"/>
        <w:rPr>
          <w:rFonts w:hint="eastAsia" w:ascii="方正楷体_GBK" w:hAnsi="方正楷体_GBK" w:eastAsia="方正楷体_GBK" w:cs="方正楷体_GBK"/>
          <w:b/>
          <w:bCs/>
          <w:kern w:val="0"/>
          <w:sz w:val="32"/>
          <w:szCs w:val="20"/>
          <w:lang w:val="zh-CN"/>
        </w:rPr>
      </w:pPr>
      <w:r>
        <w:rPr>
          <w:rFonts w:hint="eastAsia" w:ascii="方正楷体_GBK" w:hAnsi="方正楷体_GBK" w:eastAsia="方正楷体_GBK" w:cs="方正楷体_GBK"/>
          <w:b/>
          <w:bCs/>
          <w:kern w:val="0"/>
          <w:sz w:val="32"/>
          <w:szCs w:val="20"/>
          <w:lang w:val="zh-CN"/>
        </w:rPr>
        <w:t>　　（一）机构组成。</w:t>
      </w:r>
    </w:p>
    <w:p>
      <w:pPr>
        <w:spacing w:line="600" w:lineRule="exact"/>
        <w:ind w:firstLine="645"/>
        <w:rPr>
          <w:rFonts w:hint="default" w:ascii="Times New Roman" w:hAnsi="Times New Roman" w:eastAsia="方正仿宋_GBK" w:cs="Times New Roman"/>
          <w:kern w:val="0"/>
          <w:sz w:val="32"/>
          <w:szCs w:val="20"/>
          <w:lang w:val="zh-CN"/>
        </w:rPr>
      </w:pPr>
      <w:r>
        <w:rPr>
          <w:rFonts w:hint="default" w:ascii="Times New Roman" w:hAnsi="Times New Roman" w:eastAsia="仿宋_GB2312" w:cs="Times New Roman"/>
          <w:color w:val="auto"/>
          <w:sz w:val="32"/>
          <w:szCs w:val="32"/>
          <w:highlight w:val="none"/>
          <w:lang w:val="en-US" w:eastAsia="zh-CN"/>
        </w:rPr>
        <w:t>市政府办公室</w:t>
      </w:r>
      <w:r>
        <w:rPr>
          <w:rFonts w:hint="default" w:ascii="Times New Roman" w:hAnsi="Times New Roman" w:eastAsia="仿宋_GB2312" w:cs="Times New Roman"/>
          <w:color w:val="auto"/>
          <w:sz w:val="32"/>
          <w:szCs w:val="32"/>
          <w:highlight w:val="none"/>
          <w:lang w:val="zh-CN" w:eastAsia="zh-CN"/>
        </w:rPr>
        <w:t>下属</w:t>
      </w:r>
      <w:r>
        <w:rPr>
          <w:rFonts w:hint="default" w:ascii="Times New Roman" w:hAnsi="Times New Roman" w:eastAsia="仿宋_GB2312" w:cs="Times New Roman"/>
          <w:color w:val="auto"/>
          <w:sz w:val="32"/>
          <w:szCs w:val="32"/>
          <w:highlight w:val="none"/>
          <w:lang w:eastAsia="zh-CN"/>
        </w:rPr>
        <w:t>二级预算单位1个，其中行政单位0个，参照公务员法管理的事业单位1个，其他事业单位0个。</w:t>
      </w:r>
    </w:p>
    <w:p>
      <w:pPr>
        <w:keepNext w:val="0"/>
        <w:keepLines w:val="0"/>
        <w:pageBreakBefore w:val="0"/>
        <w:widowControl w:val="0"/>
        <w:kinsoku/>
        <w:wordWrap/>
        <w:overflowPunct/>
        <w:topLinePunct w:val="0"/>
        <w:autoSpaceDE/>
        <w:autoSpaceDN/>
        <w:bidi w:val="0"/>
        <w:adjustRightInd w:val="0"/>
        <w:snapToGrid w:val="0"/>
        <w:spacing w:line="298" w:lineRule="auto"/>
        <w:ind w:firstLine="0" w:firstLineChars="0"/>
        <w:textAlignment w:val="auto"/>
        <w:rPr>
          <w:rFonts w:hint="eastAsia" w:ascii="方正楷体_GBK" w:hAnsi="方正楷体_GBK" w:eastAsia="方正楷体_GBK" w:cs="方正楷体_GBK"/>
          <w:b/>
          <w:bCs/>
          <w:kern w:val="0"/>
          <w:sz w:val="32"/>
          <w:szCs w:val="20"/>
          <w:lang w:val="zh-CN"/>
        </w:rPr>
      </w:pPr>
      <w:r>
        <w:rPr>
          <w:rFonts w:hint="eastAsia" w:ascii="方正楷体_GBK" w:hAnsi="方正楷体_GBK" w:eastAsia="方正楷体_GBK" w:cs="方正楷体_GBK"/>
          <w:b/>
          <w:bCs/>
          <w:kern w:val="0"/>
          <w:sz w:val="32"/>
          <w:szCs w:val="20"/>
          <w:lang w:val="zh-CN"/>
        </w:rPr>
        <w:t>　　（二）机构职能。</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楷体_GB2312" w:cs="Times New Roman"/>
          <w:b/>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楷体_GB2312" w:cs="Times New Roman"/>
          <w:b/>
          <w:color w:val="auto"/>
          <w:kern w:val="2"/>
          <w:sz w:val="32"/>
          <w:szCs w:val="32"/>
          <w:highlight w:val="none"/>
          <w:lang w:val="en-US" w:eastAsia="zh-CN" w:bidi="ar-SA"/>
        </w:rPr>
        <w:t>市政府办公室职能简介。</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b w:val="0"/>
          <w:bCs w:val="0"/>
          <w:color w:val="333333"/>
          <w:spacing w:val="0"/>
          <w:sz w:val="32"/>
          <w:szCs w:val="32"/>
        </w:rPr>
      </w:pPr>
      <w:r>
        <w:rPr>
          <w:rFonts w:hint="default" w:ascii="Times New Roman" w:hAnsi="Times New Roman" w:eastAsia="仿宋_GB2312" w:cs="Times New Roman"/>
          <w:color w:val="auto"/>
          <w:sz w:val="32"/>
          <w:szCs w:val="32"/>
          <w:highlight w:val="none"/>
          <w:lang w:val="en-US" w:eastAsia="zh-CN"/>
        </w:rPr>
        <w:t>（1）</w:t>
      </w:r>
      <w:r>
        <w:rPr>
          <w:rFonts w:hint="eastAsia" w:ascii="方正仿宋_GBK" w:hAnsi="方正仿宋_GBK" w:eastAsia="方正仿宋_GBK" w:cs="方正仿宋_GBK"/>
          <w:b w:val="0"/>
          <w:bCs w:val="0"/>
          <w:color w:val="333333"/>
          <w:spacing w:val="0"/>
          <w:sz w:val="32"/>
          <w:szCs w:val="32"/>
        </w:rPr>
        <w:t>协助市政府领导同志组织起草或审核以市政府、市政府办公室名义发布的公文。办理省政府、省政府办公厅及省直部门发送市政府的文电。指导全市行政机关公文处理工作。</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b w:val="0"/>
          <w:bCs w:val="0"/>
          <w:color w:val="333333"/>
          <w:spacing w:val="0"/>
          <w:sz w:val="32"/>
          <w:szCs w:val="32"/>
        </w:rPr>
      </w:pP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w:t>
      </w:r>
      <w:r>
        <w:rPr>
          <w:rFonts w:hint="eastAsia" w:ascii="方正仿宋_GBK" w:hAnsi="方正仿宋_GBK" w:eastAsia="方正仿宋_GBK" w:cs="方正仿宋_GBK"/>
          <w:b w:val="0"/>
          <w:bCs w:val="0"/>
          <w:color w:val="333333"/>
          <w:spacing w:val="0"/>
          <w:sz w:val="32"/>
          <w:szCs w:val="32"/>
        </w:rPr>
        <w:t>研究市政府部门和县（区）人民政府</w:t>
      </w:r>
      <w:r>
        <w:rPr>
          <w:rFonts w:hint="eastAsia" w:ascii="方正仿宋_GBK" w:hAnsi="方正仿宋_GBK" w:eastAsia="方正仿宋_GBK" w:cs="方正仿宋_GBK"/>
          <w:b w:val="0"/>
          <w:bCs w:val="0"/>
          <w:color w:val="333333"/>
          <w:spacing w:val="0"/>
          <w:sz w:val="32"/>
          <w:szCs w:val="32"/>
          <w:lang w:eastAsia="zh-CN"/>
        </w:rPr>
        <w:t>、市政府派出机构</w:t>
      </w:r>
      <w:r>
        <w:rPr>
          <w:rFonts w:hint="eastAsia" w:ascii="方正仿宋_GBK" w:hAnsi="方正仿宋_GBK" w:eastAsia="方正仿宋_GBK" w:cs="方正仿宋_GBK"/>
          <w:b w:val="0"/>
          <w:bCs w:val="0"/>
          <w:color w:val="333333"/>
          <w:spacing w:val="0"/>
          <w:sz w:val="32"/>
          <w:szCs w:val="32"/>
        </w:rPr>
        <w:t>请示市政府的事项，提出审核意见，报市政府领导同志审批。</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b w:val="0"/>
          <w:bCs w:val="0"/>
          <w:color w:val="333333"/>
          <w:spacing w:val="0"/>
          <w:sz w:val="32"/>
          <w:szCs w:val="32"/>
        </w:rPr>
      </w:pP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w:t>
      </w:r>
      <w:r>
        <w:rPr>
          <w:rFonts w:hint="eastAsia" w:ascii="方正仿宋_GBK" w:hAnsi="方正仿宋_GBK" w:eastAsia="方正仿宋_GBK" w:cs="方正仿宋_GBK"/>
          <w:b w:val="0"/>
          <w:bCs w:val="0"/>
          <w:color w:val="333333"/>
          <w:spacing w:val="0"/>
          <w:sz w:val="32"/>
          <w:szCs w:val="32"/>
        </w:rPr>
        <w:t>负责市政府会议的准备工作，协助市政府领导同志组织实施会议决定事项。</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b w:val="0"/>
          <w:bCs w:val="0"/>
          <w:color w:val="333333"/>
          <w:spacing w:val="0"/>
          <w:sz w:val="32"/>
          <w:szCs w:val="32"/>
        </w:rPr>
      </w:pP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w:t>
      </w:r>
      <w:r>
        <w:rPr>
          <w:rFonts w:hint="eastAsia" w:ascii="方正仿宋_GBK" w:hAnsi="方正仿宋_GBK" w:eastAsia="方正仿宋_GBK" w:cs="方正仿宋_GBK"/>
          <w:b w:val="0"/>
          <w:bCs w:val="0"/>
          <w:color w:val="333333"/>
          <w:spacing w:val="0"/>
          <w:sz w:val="32"/>
          <w:szCs w:val="32"/>
        </w:rPr>
        <w:t>督促检查市政府部门和县（区）人民政府</w:t>
      </w:r>
      <w:r>
        <w:rPr>
          <w:rFonts w:hint="eastAsia" w:ascii="方正仿宋_GBK" w:hAnsi="方正仿宋_GBK" w:eastAsia="方正仿宋_GBK" w:cs="方正仿宋_GBK"/>
          <w:b w:val="0"/>
          <w:bCs w:val="0"/>
          <w:color w:val="333333"/>
          <w:spacing w:val="0"/>
          <w:sz w:val="32"/>
          <w:szCs w:val="32"/>
          <w:lang w:eastAsia="zh-CN"/>
        </w:rPr>
        <w:t>、市政府派出机构</w:t>
      </w:r>
      <w:r>
        <w:rPr>
          <w:rFonts w:hint="eastAsia" w:ascii="方正仿宋_GBK" w:hAnsi="方正仿宋_GBK" w:eastAsia="方正仿宋_GBK" w:cs="方正仿宋_GBK"/>
          <w:b w:val="0"/>
          <w:bCs w:val="0"/>
          <w:color w:val="333333"/>
          <w:spacing w:val="0"/>
          <w:sz w:val="32"/>
          <w:szCs w:val="32"/>
        </w:rPr>
        <w:t>对市政府决定事项及市政府领导同志指示的贯彻落实情况，及时向市政府领导同志报告。</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b w:val="0"/>
          <w:bCs w:val="0"/>
          <w:color w:val="333333"/>
          <w:spacing w:val="0"/>
          <w:sz w:val="32"/>
          <w:szCs w:val="32"/>
        </w:rPr>
      </w:pP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w:t>
      </w:r>
      <w:r>
        <w:rPr>
          <w:rFonts w:hint="eastAsia" w:ascii="方正仿宋_GBK" w:hAnsi="方正仿宋_GBK" w:eastAsia="方正仿宋_GBK" w:cs="方正仿宋_GBK"/>
          <w:b w:val="0"/>
          <w:bCs w:val="0"/>
          <w:color w:val="333333"/>
          <w:spacing w:val="0"/>
          <w:sz w:val="32"/>
          <w:szCs w:val="32"/>
        </w:rPr>
        <w:t>根据市政府领导同志的指示，对市政府部门间争议问题提出处理意见和建议，报市政府领导同志决定。</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b w:val="0"/>
          <w:bCs w:val="0"/>
          <w:color w:val="333333"/>
          <w:spacing w:val="0"/>
          <w:sz w:val="32"/>
          <w:szCs w:val="32"/>
        </w:rPr>
      </w:pP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w:t>
      </w:r>
      <w:r>
        <w:rPr>
          <w:rFonts w:hint="eastAsia" w:ascii="方正仿宋_GBK" w:hAnsi="方正仿宋_GBK" w:eastAsia="方正仿宋_GBK" w:cs="方正仿宋_GBK"/>
          <w:b w:val="0"/>
          <w:bCs w:val="0"/>
          <w:color w:val="333333"/>
          <w:spacing w:val="0"/>
          <w:sz w:val="32"/>
          <w:szCs w:val="32"/>
        </w:rPr>
        <w:t>负责市政府值班工作，指导市政府部门和县（区）人民政府</w:t>
      </w:r>
      <w:r>
        <w:rPr>
          <w:rFonts w:hint="eastAsia" w:ascii="方正仿宋_GBK" w:hAnsi="方正仿宋_GBK" w:eastAsia="方正仿宋_GBK" w:cs="方正仿宋_GBK"/>
          <w:b w:val="0"/>
          <w:bCs w:val="0"/>
          <w:color w:val="333333"/>
          <w:spacing w:val="0"/>
          <w:sz w:val="32"/>
          <w:szCs w:val="32"/>
          <w:lang w:eastAsia="zh-CN"/>
        </w:rPr>
        <w:t>、市政府派出机构</w:t>
      </w:r>
      <w:r>
        <w:rPr>
          <w:rFonts w:hint="eastAsia" w:ascii="方正仿宋_GBK" w:hAnsi="方正仿宋_GBK" w:eastAsia="方正仿宋_GBK" w:cs="方正仿宋_GBK"/>
          <w:b w:val="0"/>
          <w:bCs w:val="0"/>
          <w:color w:val="333333"/>
          <w:spacing w:val="0"/>
          <w:sz w:val="32"/>
          <w:szCs w:val="32"/>
        </w:rPr>
        <w:t>值班工作，及时报告重要情况。</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b w:val="0"/>
          <w:bCs w:val="0"/>
          <w:color w:val="333333"/>
          <w:spacing w:val="0"/>
          <w:sz w:val="32"/>
          <w:szCs w:val="32"/>
        </w:rPr>
      </w:pP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val="en-US" w:eastAsia="zh-CN"/>
        </w:rPr>
        <w:t>）</w:t>
      </w:r>
      <w:r>
        <w:rPr>
          <w:rFonts w:hint="eastAsia" w:ascii="方正仿宋_GBK" w:hAnsi="方正仿宋_GBK" w:eastAsia="方正仿宋_GBK" w:cs="方正仿宋_GBK"/>
          <w:b w:val="0"/>
          <w:bCs w:val="0"/>
          <w:color w:val="333333"/>
          <w:spacing w:val="0"/>
          <w:sz w:val="32"/>
          <w:szCs w:val="32"/>
        </w:rPr>
        <w:t>指导、监督全市政府信息公开工作，指导、监督全市政府系统电子政务工作和政府网站建设。</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b w:val="0"/>
          <w:bCs w:val="0"/>
          <w:color w:val="333333"/>
          <w:spacing w:val="0"/>
          <w:sz w:val="32"/>
          <w:szCs w:val="32"/>
        </w:rPr>
      </w:pP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val="en-US" w:eastAsia="zh-CN"/>
        </w:rPr>
        <w:t>）</w:t>
      </w:r>
      <w:r>
        <w:rPr>
          <w:rFonts w:hint="eastAsia" w:ascii="方正仿宋_GBK" w:hAnsi="方正仿宋_GBK" w:eastAsia="方正仿宋_GBK" w:cs="方正仿宋_GBK"/>
          <w:b w:val="0"/>
          <w:bCs w:val="0"/>
          <w:color w:val="333333"/>
          <w:spacing w:val="0"/>
          <w:sz w:val="32"/>
          <w:szCs w:val="32"/>
        </w:rPr>
        <w:t>围绕市政府中心工作和市政府领导同志的指示，组织专题调查研究，及时反映情况，提出政策性建议。</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b w:val="0"/>
          <w:bCs w:val="0"/>
          <w:color w:val="333333"/>
          <w:spacing w:val="0"/>
          <w:sz w:val="32"/>
          <w:szCs w:val="32"/>
        </w:rPr>
      </w:pP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w:t>
      </w:r>
      <w:r>
        <w:rPr>
          <w:rFonts w:hint="eastAsia" w:ascii="方正仿宋_GBK" w:hAnsi="方正仿宋_GBK" w:eastAsia="方正仿宋_GBK" w:cs="方正仿宋_GBK"/>
          <w:b w:val="0"/>
          <w:bCs w:val="0"/>
          <w:color w:val="333333"/>
          <w:spacing w:val="0"/>
          <w:sz w:val="32"/>
          <w:szCs w:val="32"/>
          <w:lang w:val="en-US" w:eastAsia="zh-CN"/>
        </w:rPr>
        <w:t>统筹管理全市外事工作，归口管理全市因公出国（境）工作，负责全市涉外管理、相关礼宾接待、国际友好城市缔结和对外友协工作，办理其他相关涉外事务。</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b w:val="0"/>
          <w:bCs w:val="0"/>
          <w:color w:val="333333"/>
          <w:spacing w:val="0"/>
          <w:sz w:val="32"/>
          <w:szCs w:val="32"/>
          <w:lang w:eastAsia="zh-CN"/>
        </w:rPr>
      </w:pPr>
      <w:r>
        <w:rPr>
          <w:rFonts w:hint="default"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lang w:val="en-US" w:eastAsia="zh-CN"/>
        </w:rPr>
        <w:t>）</w:t>
      </w:r>
      <w:r>
        <w:rPr>
          <w:rFonts w:hint="eastAsia" w:ascii="方正仿宋_GBK" w:hAnsi="方正仿宋_GBK" w:eastAsia="方正仿宋_GBK" w:cs="方正仿宋_GBK"/>
          <w:b w:val="0"/>
          <w:bCs w:val="0"/>
          <w:color w:val="333333"/>
          <w:spacing w:val="0"/>
          <w:sz w:val="32"/>
          <w:szCs w:val="32"/>
          <w:lang w:eastAsia="zh-CN"/>
        </w:rPr>
        <w:t>负责市政府驻外机构的管理工作。</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b w:val="0"/>
          <w:bCs w:val="0"/>
          <w:color w:val="333333"/>
          <w:spacing w:val="0"/>
          <w:sz w:val="32"/>
          <w:szCs w:val="32"/>
        </w:rPr>
      </w:pPr>
      <w:r>
        <w:rPr>
          <w:rFonts w:hint="default"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w:t>
      </w:r>
      <w:r>
        <w:rPr>
          <w:rFonts w:hint="eastAsia" w:ascii="方正仿宋_GBK" w:hAnsi="方正仿宋_GBK" w:eastAsia="方正仿宋_GBK" w:cs="方正仿宋_GBK"/>
          <w:b w:val="0"/>
          <w:bCs w:val="0"/>
          <w:color w:val="333333"/>
          <w:spacing w:val="0"/>
          <w:sz w:val="32"/>
          <w:szCs w:val="32"/>
          <w:lang w:eastAsia="zh-CN"/>
        </w:rPr>
        <w:t>承担市政府公布的有关行政审批事项</w:t>
      </w:r>
      <w:r>
        <w:rPr>
          <w:rFonts w:hint="eastAsia" w:ascii="方正仿宋_GBK" w:hAnsi="方正仿宋_GBK" w:eastAsia="方正仿宋_GBK" w:cs="方正仿宋_GBK"/>
          <w:b w:val="0"/>
          <w:bCs w:val="0"/>
          <w:color w:val="333333"/>
          <w:spacing w:val="0"/>
          <w:sz w:val="32"/>
          <w:szCs w:val="32"/>
        </w:rPr>
        <w:t>。</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仿宋" w:cs="Times New Roman"/>
          <w:color w:val="333333"/>
          <w:spacing w:val="0"/>
          <w:sz w:val="32"/>
          <w:szCs w:val="32"/>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楷体_GB2312" w:cs="Times New Roman"/>
          <w:b/>
          <w:color w:val="auto"/>
          <w:kern w:val="2"/>
          <w:sz w:val="32"/>
          <w:szCs w:val="32"/>
          <w:highlight w:val="none"/>
          <w:lang w:val="en-US" w:eastAsia="zh-CN" w:bidi="ar-SA"/>
        </w:rPr>
        <w:t>市</w:t>
      </w:r>
      <w:r>
        <w:rPr>
          <w:rFonts w:hint="eastAsia" w:ascii="Times New Roman" w:hAnsi="Times New Roman" w:eastAsia="楷体_GB2312" w:cs="Times New Roman"/>
          <w:b/>
          <w:color w:val="auto"/>
          <w:kern w:val="2"/>
          <w:sz w:val="32"/>
          <w:szCs w:val="32"/>
          <w:highlight w:val="none"/>
          <w:lang w:val="en-US" w:eastAsia="zh-CN" w:bidi="ar-SA"/>
        </w:rPr>
        <w:t>网站事务</w:t>
      </w:r>
      <w:r>
        <w:rPr>
          <w:rFonts w:hint="default" w:ascii="Times New Roman" w:hAnsi="Times New Roman" w:eastAsia="楷体_GB2312" w:cs="Times New Roman"/>
          <w:b/>
          <w:color w:val="auto"/>
          <w:kern w:val="2"/>
          <w:sz w:val="32"/>
          <w:szCs w:val="32"/>
          <w:highlight w:val="none"/>
          <w:lang w:val="en-US" w:eastAsia="zh-CN" w:bidi="ar-SA"/>
        </w:rPr>
        <w:t>中心职能简介。</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color w:val="333333"/>
          <w:spacing w:val="0"/>
          <w:sz w:val="32"/>
          <w:szCs w:val="32"/>
        </w:rPr>
      </w:pPr>
      <w:r>
        <w:rPr>
          <w:rFonts w:hint="default" w:ascii="Times New Roman" w:hAnsi="Times New Roman" w:eastAsia="仿宋_GB2312" w:cs="Times New Roman"/>
          <w:color w:val="auto"/>
          <w:sz w:val="32"/>
          <w:szCs w:val="32"/>
          <w:highlight w:val="none"/>
          <w:lang w:val="en-US" w:eastAsia="zh-CN"/>
        </w:rPr>
        <w:t>（1）</w:t>
      </w:r>
      <w:r>
        <w:rPr>
          <w:rFonts w:hint="eastAsia" w:ascii="方正仿宋_GBK" w:hAnsi="方正仿宋_GBK" w:eastAsia="方正仿宋_GBK" w:cs="方正仿宋_GBK"/>
          <w:color w:val="333333"/>
          <w:spacing w:val="0"/>
          <w:sz w:val="32"/>
          <w:szCs w:val="32"/>
          <w:lang w:eastAsia="zh-CN"/>
        </w:rPr>
        <w:t>负责攀枝花市政府网站集约化平台建设和运维管理，为政务公开、信息发布、政策解读等相关工作提供支撑服务，参与全市政府网站和政务新媒体绩效评估工作</w:t>
      </w:r>
      <w:r>
        <w:rPr>
          <w:rFonts w:hint="eastAsia" w:ascii="方正仿宋_GBK" w:hAnsi="方正仿宋_GBK" w:eastAsia="方正仿宋_GBK" w:cs="方正仿宋_GBK"/>
          <w:color w:val="333333"/>
          <w:spacing w:val="0"/>
          <w:sz w:val="32"/>
          <w:szCs w:val="32"/>
        </w:rPr>
        <w:t>。</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color w:val="333333"/>
          <w:spacing w:val="0"/>
          <w:sz w:val="32"/>
          <w:szCs w:val="32"/>
        </w:rPr>
      </w:pP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w:t>
      </w:r>
      <w:r>
        <w:rPr>
          <w:rFonts w:hint="eastAsia" w:ascii="方正仿宋_GBK" w:hAnsi="方正仿宋_GBK" w:eastAsia="方正仿宋_GBK" w:cs="方正仿宋_GBK"/>
          <w:color w:val="333333"/>
          <w:spacing w:val="0"/>
          <w:sz w:val="32"/>
          <w:szCs w:val="32"/>
          <w:lang w:eastAsia="zh-CN"/>
        </w:rPr>
        <w:t>负责对“走好网上群众路线”等群众诉求网络渠道办理情况进行统计分析，并提出建议</w:t>
      </w:r>
      <w:r>
        <w:rPr>
          <w:rFonts w:hint="eastAsia" w:ascii="方正仿宋_GBK" w:hAnsi="方正仿宋_GBK" w:eastAsia="方正仿宋_GBK" w:cs="方正仿宋_GBK"/>
          <w:color w:val="333333"/>
          <w:spacing w:val="0"/>
          <w:sz w:val="32"/>
          <w:szCs w:val="32"/>
        </w:rPr>
        <w:t>。</w:t>
      </w:r>
    </w:p>
    <w:p>
      <w:pPr>
        <w:pStyle w:val="5"/>
        <w:pageBreakBefore w:val="0"/>
        <w:widowControl w:val="0"/>
        <w:kinsoku/>
        <w:wordWrap/>
        <w:overflowPunct/>
        <w:topLinePunct w:val="0"/>
        <w:autoSpaceDE/>
        <w:autoSpaceDN/>
        <w:bidi w:val="0"/>
        <w:adjustRightInd w:val="0"/>
        <w:spacing w:beforeLines="0" w:line="240" w:lineRule="auto"/>
        <w:ind w:left="0" w:firstLine="640" w:firstLineChars="200"/>
        <w:textAlignment w:val="auto"/>
        <w:rPr>
          <w:rFonts w:hint="default" w:ascii="Times New Roman" w:hAnsi="Times New Roman" w:eastAsia="楷体_GB2312" w:cs="Times New Roman"/>
          <w:b/>
          <w:color w:val="auto"/>
          <w:sz w:val="32"/>
          <w:highlight w:val="none"/>
        </w:rPr>
      </w:pPr>
      <w:r>
        <w:rPr>
          <w:rFonts w:hint="eastAsia"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楷体_GB2312" w:cs="Times New Roman"/>
          <w:b/>
          <w:color w:val="auto"/>
          <w:sz w:val="32"/>
          <w:highlight w:val="none"/>
        </w:rPr>
        <w:t>市决策咨询服务中心职能简介。</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color w:val="333333"/>
          <w:spacing w:val="0"/>
          <w:sz w:val="32"/>
          <w:szCs w:val="32"/>
          <w:lang w:val="en-US" w:eastAsia="zh-CN"/>
        </w:rPr>
      </w:pP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w:t>
      </w:r>
      <w:r>
        <w:rPr>
          <w:rFonts w:hint="eastAsia" w:ascii="方正仿宋_GBK" w:hAnsi="方正仿宋_GBK" w:eastAsia="方正仿宋_GBK" w:cs="方正仿宋_GBK"/>
          <w:color w:val="333333"/>
          <w:spacing w:val="0"/>
          <w:sz w:val="32"/>
          <w:szCs w:val="32"/>
        </w:rPr>
        <w:t>根据市委、市政府和市决咨委安排，组织委员开展全市发展战略、中长期规划、重大决策部署、重大问题、重点项目等咨询论证活动。</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color w:val="333333"/>
          <w:spacing w:val="0"/>
          <w:sz w:val="32"/>
          <w:szCs w:val="32"/>
          <w:lang w:val="en-US" w:eastAsia="zh-CN"/>
        </w:rPr>
      </w:pP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w:t>
      </w:r>
      <w:r>
        <w:rPr>
          <w:rFonts w:hint="eastAsia" w:ascii="方正仿宋_GBK" w:hAnsi="方正仿宋_GBK" w:eastAsia="方正仿宋_GBK" w:cs="方正仿宋_GBK"/>
          <w:color w:val="333333"/>
          <w:spacing w:val="0"/>
          <w:sz w:val="32"/>
          <w:szCs w:val="32"/>
          <w:lang w:val="en-US" w:eastAsia="zh-CN"/>
        </w:rPr>
        <w:t>负责全市经济社会发展重大决策咨询研究课题的组织实施。</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color w:val="333333"/>
          <w:spacing w:val="0"/>
          <w:sz w:val="32"/>
          <w:szCs w:val="32"/>
          <w:lang w:val="en-US" w:eastAsia="zh-CN"/>
        </w:rPr>
      </w:pP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w:t>
      </w:r>
      <w:r>
        <w:rPr>
          <w:rFonts w:hint="eastAsia" w:ascii="方正仿宋_GBK" w:hAnsi="方正仿宋_GBK" w:eastAsia="方正仿宋_GBK" w:cs="方正仿宋_GBK"/>
          <w:color w:val="333333"/>
          <w:spacing w:val="0"/>
          <w:sz w:val="32"/>
          <w:szCs w:val="32"/>
          <w:lang w:val="en-US" w:eastAsia="zh-CN"/>
        </w:rPr>
        <w:t>负责市决咨委各专业组决策咨询调研、考察及与相关部门的组织协调工作。</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color w:val="333333"/>
          <w:spacing w:val="0"/>
          <w:sz w:val="32"/>
          <w:szCs w:val="32"/>
          <w:lang w:val="en-US" w:eastAsia="zh-CN"/>
        </w:rPr>
      </w:pP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w:t>
      </w:r>
      <w:r>
        <w:rPr>
          <w:rFonts w:hint="eastAsia" w:ascii="方正仿宋_GBK" w:hAnsi="方正仿宋_GBK" w:eastAsia="方正仿宋_GBK" w:cs="方正仿宋_GBK"/>
          <w:color w:val="333333"/>
          <w:spacing w:val="0"/>
          <w:sz w:val="32"/>
          <w:szCs w:val="32"/>
          <w:lang w:val="en-US" w:eastAsia="zh-CN"/>
        </w:rPr>
        <w:t>及时整理市决咨委委员和各专业组提出的咨询意见、建议和课题研究成果，报送市委、市政府及有关部门，并进行成果应用的跟踪。</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color w:val="333333"/>
          <w:spacing w:val="0"/>
          <w:sz w:val="32"/>
          <w:szCs w:val="32"/>
          <w:lang w:val="en-US" w:eastAsia="zh-CN"/>
        </w:rPr>
      </w:pP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w:t>
      </w:r>
      <w:r>
        <w:rPr>
          <w:rFonts w:hint="eastAsia" w:ascii="方正仿宋_GBK" w:hAnsi="方正仿宋_GBK" w:eastAsia="方正仿宋_GBK" w:cs="方正仿宋_GBK"/>
          <w:color w:val="333333"/>
          <w:spacing w:val="0"/>
          <w:sz w:val="32"/>
          <w:szCs w:val="32"/>
          <w:lang w:val="en-US" w:eastAsia="zh-CN"/>
        </w:rPr>
        <w:t>组织委员召开决策咨询研讨会议和决策咨询交流活动。</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color w:val="333333"/>
          <w:spacing w:val="0"/>
          <w:sz w:val="32"/>
          <w:szCs w:val="32"/>
          <w:lang w:val="en-US" w:eastAsia="zh-CN"/>
        </w:rPr>
      </w:pP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w:t>
      </w:r>
      <w:r>
        <w:rPr>
          <w:rFonts w:hint="eastAsia" w:ascii="方正仿宋_GBK" w:hAnsi="方正仿宋_GBK" w:eastAsia="方正仿宋_GBK" w:cs="方正仿宋_GBK"/>
          <w:color w:val="333333"/>
          <w:spacing w:val="0"/>
          <w:sz w:val="32"/>
          <w:szCs w:val="32"/>
          <w:lang w:val="en-US" w:eastAsia="zh-CN"/>
        </w:rPr>
        <w:t>为委员提供相关信息和资料，组织委员列席市委、市政府重要会议，为委员开展咨询工作提供服务。</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color w:val="333333"/>
          <w:spacing w:val="0"/>
          <w:sz w:val="32"/>
          <w:szCs w:val="32"/>
          <w:lang w:val="en-US" w:eastAsia="zh-CN"/>
        </w:rPr>
      </w:pP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val="en-US" w:eastAsia="zh-CN"/>
        </w:rPr>
        <w:t>）</w:t>
      </w:r>
      <w:r>
        <w:rPr>
          <w:rFonts w:hint="eastAsia" w:ascii="方正仿宋_GBK" w:hAnsi="方正仿宋_GBK" w:eastAsia="方正仿宋_GBK" w:cs="方正仿宋_GBK"/>
          <w:color w:val="333333"/>
          <w:spacing w:val="0"/>
          <w:sz w:val="32"/>
          <w:szCs w:val="32"/>
          <w:lang w:val="en-US" w:eastAsia="zh-CN"/>
        </w:rPr>
        <w:t>负责起草市决咨委的各种工作制度和文件草案，定期向市决咨委办公室领导汇报工作。</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color w:val="333333"/>
          <w:spacing w:val="0"/>
          <w:sz w:val="32"/>
          <w:szCs w:val="32"/>
          <w:lang w:val="en-US" w:eastAsia="zh-CN"/>
        </w:rPr>
      </w:pP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val="en-US" w:eastAsia="zh-CN"/>
        </w:rPr>
        <w:t>）</w:t>
      </w:r>
      <w:r>
        <w:rPr>
          <w:rFonts w:hint="eastAsia" w:ascii="方正仿宋_GBK" w:hAnsi="方正仿宋_GBK" w:eastAsia="方正仿宋_GBK" w:cs="方正仿宋_GBK"/>
          <w:color w:val="333333"/>
          <w:spacing w:val="0"/>
          <w:sz w:val="32"/>
          <w:szCs w:val="32"/>
          <w:lang w:val="en-US" w:eastAsia="zh-CN"/>
        </w:rPr>
        <w:t xml:space="preserve">负责市决咨委办公室日常事务工作。 </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color w:val="333333"/>
          <w:spacing w:val="0"/>
          <w:sz w:val="32"/>
          <w:szCs w:val="32"/>
          <w:lang w:val="en-US" w:eastAsia="zh-CN"/>
        </w:rPr>
      </w:pP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w:t>
      </w:r>
      <w:r>
        <w:rPr>
          <w:rFonts w:hint="eastAsia" w:ascii="方正仿宋_GBK" w:hAnsi="方正仿宋_GBK" w:eastAsia="方正仿宋_GBK" w:cs="方正仿宋_GBK"/>
          <w:color w:val="333333"/>
          <w:spacing w:val="0"/>
          <w:sz w:val="32"/>
          <w:szCs w:val="32"/>
          <w:lang w:val="en-US" w:eastAsia="zh-CN"/>
        </w:rPr>
        <w:t>完成市委、市政府交办的工作和主任委员会确定的其他工作。</w:t>
      </w:r>
    </w:p>
    <w:p>
      <w:pPr>
        <w:pStyle w:val="5"/>
        <w:pageBreakBefore w:val="0"/>
        <w:widowControl w:val="0"/>
        <w:kinsoku/>
        <w:wordWrap/>
        <w:overflowPunct/>
        <w:topLinePunct w:val="0"/>
        <w:autoSpaceDE/>
        <w:autoSpaceDN/>
        <w:bidi w:val="0"/>
        <w:adjustRightInd w:val="0"/>
        <w:spacing w:beforeLines="0" w:line="240" w:lineRule="auto"/>
        <w:ind w:left="0" w:firstLine="642" w:firstLineChars="200"/>
        <w:textAlignment w:val="auto"/>
        <w:rPr>
          <w:rFonts w:hint="eastAsia" w:ascii="Times New Roman" w:hAnsi="Times New Roman" w:eastAsia="楷体_GB2312" w:cs="Times New Roman"/>
          <w:b/>
          <w:color w:val="auto"/>
          <w:sz w:val="32"/>
          <w:highlight w:val="none"/>
          <w:lang w:val="en-US" w:eastAsia="zh-CN"/>
        </w:rPr>
      </w:pPr>
      <w:r>
        <w:rPr>
          <w:rFonts w:hint="eastAsia" w:ascii="Times New Roman" w:hAnsi="Times New Roman" w:eastAsia="楷体_GB2312" w:cs="Times New Roman"/>
          <w:b/>
          <w:color w:val="auto"/>
          <w:sz w:val="32"/>
          <w:highlight w:val="none"/>
          <w:lang w:val="en-US" w:eastAsia="zh-CN"/>
        </w:rPr>
        <w:t>（四）市地方志编纂中心职能简介。</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方正仿宋_GBK" w:cs="Times New Roman"/>
          <w:kern w:val="0"/>
          <w:sz w:val="32"/>
          <w:szCs w:val="20"/>
          <w:lang w:val="zh-CN"/>
        </w:rPr>
      </w:pPr>
      <w:r>
        <w:rPr>
          <w:rFonts w:hint="default" w:ascii="方正仿宋_GBK" w:hAnsi="方正仿宋_GBK" w:eastAsia="方正仿宋_GBK" w:cs="方正仿宋_GBK"/>
          <w:color w:val="333333"/>
          <w:spacing w:val="0"/>
          <w:sz w:val="32"/>
          <w:szCs w:val="32"/>
          <w:lang w:val="en-US" w:eastAsia="zh-CN"/>
        </w:rPr>
        <w:t>主要负责编修地方志、年鉴。负责组织编辑、出版、发行《攀枝花市志》、《攀枝花年鉴》；负责指导、督促县区志、部门志、专业志的编修，并审查验收；负责组织编辑、出版、发行《攀枝花史志》杂志。</w:t>
      </w:r>
    </w:p>
    <w:p>
      <w:pPr>
        <w:keepNext w:val="0"/>
        <w:keepLines w:val="0"/>
        <w:pageBreakBefore w:val="0"/>
        <w:widowControl w:val="0"/>
        <w:kinsoku/>
        <w:wordWrap/>
        <w:overflowPunct/>
        <w:topLinePunct w:val="0"/>
        <w:autoSpaceDE/>
        <w:autoSpaceDN/>
        <w:bidi w:val="0"/>
        <w:adjustRightInd w:val="0"/>
        <w:snapToGrid w:val="0"/>
        <w:spacing w:line="298" w:lineRule="auto"/>
        <w:ind w:firstLine="0" w:firstLineChars="0"/>
        <w:textAlignment w:val="auto"/>
        <w:rPr>
          <w:rFonts w:hint="default" w:ascii="Times New Roman" w:hAnsi="Times New Roman" w:eastAsia="方正仿宋_GBK" w:cs="Times New Roman"/>
          <w:kern w:val="0"/>
          <w:sz w:val="32"/>
          <w:szCs w:val="20"/>
          <w:lang w:val="zh-CN"/>
        </w:rPr>
      </w:pPr>
      <w:r>
        <w:rPr>
          <w:rFonts w:hint="eastAsia" w:ascii="方正楷体_GBK" w:hAnsi="方正楷体_GBK" w:eastAsia="方正楷体_GBK" w:cs="方正楷体_GBK"/>
          <w:b/>
          <w:bCs/>
          <w:kern w:val="0"/>
          <w:sz w:val="32"/>
          <w:szCs w:val="20"/>
          <w:lang w:val="zh-CN"/>
        </w:rPr>
        <w:t>　　（三）人员概况。</w:t>
      </w:r>
      <w:r>
        <w:rPr>
          <w:rFonts w:hint="default" w:ascii="Times New Roman" w:hAnsi="Times New Roman" w:eastAsia="方正仿宋_GBK" w:cs="Times New Roman"/>
          <w:kern w:val="0"/>
          <w:sz w:val="32"/>
          <w:szCs w:val="20"/>
        </w:rPr>
        <w:t>市政府办公室202</w:t>
      </w:r>
      <w:r>
        <w:rPr>
          <w:rFonts w:hint="default" w:ascii="Times New Roman" w:hAnsi="Times New Roman" w:eastAsia="方正仿宋_GBK" w:cs="Times New Roman"/>
          <w:kern w:val="0"/>
          <w:sz w:val="32"/>
          <w:szCs w:val="20"/>
          <w:lang w:val="en-US" w:eastAsia="zh-CN"/>
        </w:rPr>
        <w:t>4</w:t>
      </w:r>
      <w:r>
        <w:rPr>
          <w:rFonts w:hint="default" w:ascii="Times New Roman" w:hAnsi="Times New Roman" w:eastAsia="方正仿宋_GBK" w:cs="Times New Roman"/>
          <w:kern w:val="0"/>
          <w:sz w:val="32"/>
          <w:szCs w:val="20"/>
        </w:rPr>
        <w:t>年度部门预算包括市政府办公室本级、市大数据中心</w:t>
      </w:r>
      <w:r>
        <w:rPr>
          <w:rFonts w:hint="default" w:ascii="Times New Roman" w:hAnsi="Times New Roman" w:eastAsia="方正仿宋_GBK" w:cs="Times New Roman"/>
          <w:kern w:val="0"/>
          <w:sz w:val="32"/>
          <w:szCs w:val="20"/>
          <w:lang w:eastAsia="zh-CN"/>
        </w:rPr>
        <w:t>（</w:t>
      </w:r>
      <w:r>
        <w:rPr>
          <w:rFonts w:hint="default" w:ascii="Times New Roman" w:hAnsi="Times New Roman" w:eastAsia="方正仿宋_GBK" w:cs="Times New Roman"/>
          <w:kern w:val="0"/>
          <w:sz w:val="32"/>
          <w:szCs w:val="20"/>
          <w:lang w:val="en-US" w:eastAsia="zh-CN"/>
        </w:rPr>
        <w:t>2024年8月转出</w:t>
      </w:r>
      <w:r>
        <w:rPr>
          <w:rFonts w:hint="default" w:ascii="Times New Roman" w:hAnsi="Times New Roman" w:eastAsia="方正仿宋_GBK" w:cs="Times New Roman"/>
          <w:kern w:val="0"/>
          <w:sz w:val="32"/>
          <w:szCs w:val="20"/>
          <w:lang w:eastAsia="zh-CN"/>
        </w:rPr>
        <w:t>）</w:t>
      </w:r>
      <w:r>
        <w:rPr>
          <w:rFonts w:hint="default" w:ascii="Times New Roman" w:hAnsi="Times New Roman" w:eastAsia="方正仿宋_GBK" w:cs="Times New Roman"/>
          <w:kern w:val="0"/>
          <w:sz w:val="32"/>
          <w:szCs w:val="20"/>
        </w:rPr>
        <w:t>、</w:t>
      </w:r>
      <w:r>
        <w:rPr>
          <w:rFonts w:hint="default" w:ascii="Times New Roman" w:hAnsi="Times New Roman" w:eastAsia="方正仿宋_GBK" w:cs="Times New Roman"/>
          <w:kern w:val="0"/>
          <w:sz w:val="32"/>
          <w:szCs w:val="20"/>
          <w:lang w:eastAsia="zh-CN"/>
        </w:rPr>
        <w:t>市网站事务中心、</w:t>
      </w:r>
      <w:r>
        <w:rPr>
          <w:rFonts w:hint="default" w:ascii="Times New Roman" w:hAnsi="Times New Roman" w:eastAsia="方正仿宋_GBK" w:cs="Times New Roman"/>
          <w:kern w:val="0"/>
          <w:sz w:val="32"/>
          <w:szCs w:val="20"/>
        </w:rPr>
        <w:t>市决策咨询服务中心、原市政府驻昆明办事处等单位和机构的预算。202</w:t>
      </w:r>
      <w:r>
        <w:rPr>
          <w:rFonts w:hint="default" w:ascii="Times New Roman" w:hAnsi="Times New Roman" w:eastAsia="方正仿宋_GBK" w:cs="Times New Roman"/>
          <w:kern w:val="0"/>
          <w:sz w:val="32"/>
          <w:szCs w:val="20"/>
          <w:lang w:val="en-US" w:eastAsia="zh-CN"/>
        </w:rPr>
        <w:t>4</w:t>
      </w:r>
      <w:r>
        <w:rPr>
          <w:rFonts w:hint="default" w:ascii="Times New Roman" w:hAnsi="Times New Roman" w:eastAsia="方正仿宋_GBK" w:cs="Times New Roman"/>
          <w:kern w:val="0"/>
          <w:sz w:val="32"/>
          <w:szCs w:val="20"/>
        </w:rPr>
        <w:t>年末在职人数1</w:t>
      </w:r>
      <w:r>
        <w:rPr>
          <w:rFonts w:hint="default" w:ascii="Times New Roman" w:hAnsi="Times New Roman" w:eastAsia="方正仿宋_GBK" w:cs="Times New Roman"/>
          <w:kern w:val="0"/>
          <w:sz w:val="32"/>
          <w:szCs w:val="20"/>
          <w:lang w:val="en-US" w:eastAsia="zh-CN"/>
        </w:rPr>
        <w:t>10</w:t>
      </w:r>
      <w:r>
        <w:rPr>
          <w:rFonts w:hint="default" w:ascii="Times New Roman" w:hAnsi="Times New Roman" w:eastAsia="方正仿宋_GBK" w:cs="Times New Roman"/>
          <w:kern w:val="0"/>
          <w:sz w:val="32"/>
          <w:szCs w:val="20"/>
        </w:rPr>
        <w:t>人，离休人员</w:t>
      </w:r>
      <w:r>
        <w:rPr>
          <w:rFonts w:hint="default" w:ascii="Times New Roman" w:hAnsi="Times New Roman" w:eastAsia="方正仿宋_GBK" w:cs="Times New Roman"/>
          <w:kern w:val="0"/>
          <w:sz w:val="32"/>
          <w:szCs w:val="20"/>
          <w:lang w:val="en-US" w:eastAsia="zh-CN"/>
        </w:rPr>
        <w:t>0</w:t>
      </w:r>
      <w:r>
        <w:rPr>
          <w:rFonts w:hint="default" w:ascii="Times New Roman" w:hAnsi="Times New Roman" w:eastAsia="方正仿宋_GBK" w:cs="Times New Roman"/>
          <w:kern w:val="0"/>
          <w:sz w:val="32"/>
          <w:szCs w:val="20"/>
        </w:rPr>
        <w:t>人，退休人员14</w:t>
      </w:r>
      <w:r>
        <w:rPr>
          <w:rFonts w:hint="default" w:ascii="Times New Roman" w:hAnsi="Times New Roman" w:eastAsia="方正仿宋_GBK" w:cs="Times New Roman"/>
          <w:kern w:val="0"/>
          <w:sz w:val="32"/>
          <w:szCs w:val="20"/>
          <w:lang w:val="en-US" w:eastAsia="zh-CN"/>
        </w:rPr>
        <w:t>5</w:t>
      </w:r>
      <w:r>
        <w:rPr>
          <w:rFonts w:hint="default" w:ascii="Times New Roman" w:hAnsi="Times New Roman" w:eastAsia="方正仿宋_GBK" w:cs="Times New Roman"/>
          <w:kern w:val="0"/>
          <w:sz w:val="32"/>
          <w:szCs w:val="20"/>
        </w:rPr>
        <w:t>人。</w:t>
      </w:r>
    </w:p>
    <w:p>
      <w:pPr>
        <w:keepNext w:val="0"/>
        <w:keepLines w:val="0"/>
        <w:pageBreakBefore w:val="0"/>
        <w:widowControl w:val="0"/>
        <w:kinsoku/>
        <w:wordWrap/>
        <w:overflowPunct/>
        <w:topLinePunct w:val="0"/>
        <w:autoSpaceDE/>
        <w:autoSpaceDN/>
        <w:bidi w:val="0"/>
        <w:adjustRightInd w:val="0"/>
        <w:snapToGrid w:val="0"/>
        <w:spacing w:line="298" w:lineRule="auto"/>
        <w:ind w:firstLine="0" w:firstLineChars="0"/>
        <w:textAlignment w:val="auto"/>
        <w:rPr>
          <w:rFonts w:hint="eastAsia" w:ascii="方正黑体_GBK" w:hAnsi="方正黑体_GBK" w:eastAsia="方正黑体_GBK" w:cs="方正黑体_GBK"/>
          <w:kern w:val="0"/>
          <w:sz w:val="32"/>
          <w:szCs w:val="20"/>
        </w:rPr>
      </w:pPr>
      <w:r>
        <w:rPr>
          <w:rFonts w:hint="eastAsia" w:ascii="方正黑体_GBK" w:hAnsi="方正黑体_GBK" w:eastAsia="方正黑体_GBK" w:cs="方正黑体_GBK"/>
          <w:kern w:val="0"/>
          <w:sz w:val="32"/>
          <w:szCs w:val="20"/>
          <w:lang w:eastAsia="zh-CN"/>
        </w:rPr>
        <w:t>　　</w:t>
      </w:r>
      <w:bookmarkStart w:id="134" w:name="_Toc584797662_WPSOffice_Level2"/>
      <w:r>
        <w:rPr>
          <w:rFonts w:hint="eastAsia" w:ascii="方正黑体_GBK" w:hAnsi="方正黑体_GBK" w:eastAsia="方正黑体_GBK" w:cs="方正黑体_GBK"/>
          <w:kern w:val="0"/>
          <w:sz w:val="32"/>
          <w:szCs w:val="20"/>
        </w:rPr>
        <w:t>二、部门资金收支情况</w:t>
      </w:r>
      <w:bookmarkEnd w:id="134"/>
    </w:p>
    <w:p>
      <w:pPr>
        <w:keepNext w:val="0"/>
        <w:keepLines w:val="0"/>
        <w:pageBreakBefore w:val="0"/>
        <w:widowControl w:val="0"/>
        <w:kinsoku/>
        <w:wordWrap/>
        <w:overflowPunct/>
        <w:topLinePunct w:val="0"/>
        <w:autoSpaceDE/>
        <w:autoSpaceDN/>
        <w:bidi w:val="0"/>
        <w:adjustRightInd w:val="0"/>
        <w:snapToGrid w:val="0"/>
        <w:spacing w:line="298" w:lineRule="auto"/>
        <w:ind w:firstLine="0" w:firstLineChars="0"/>
        <w:textAlignment w:val="auto"/>
        <w:rPr>
          <w:rFonts w:hint="default" w:ascii="Times New Roman" w:hAnsi="Times New Roman" w:eastAsia="方正仿宋_GBK" w:cs="Times New Roman"/>
          <w:kern w:val="0"/>
          <w:sz w:val="32"/>
          <w:szCs w:val="20"/>
          <w:lang w:val="zh-CN"/>
        </w:rPr>
      </w:pPr>
      <w:r>
        <w:rPr>
          <w:rFonts w:hint="eastAsia" w:ascii="方正楷体_GBK" w:hAnsi="方正楷体_GBK" w:eastAsia="方正楷体_GBK" w:cs="方正楷体_GBK"/>
          <w:b/>
          <w:bCs/>
          <w:kern w:val="0"/>
          <w:sz w:val="32"/>
          <w:szCs w:val="20"/>
          <w:lang w:val="zh-CN"/>
        </w:rPr>
        <w:t>　　（一）收入情况。</w:t>
      </w:r>
      <w:r>
        <w:rPr>
          <w:rFonts w:hint="default" w:ascii="Times New Roman" w:hAnsi="Times New Roman" w:eastAsia="方正仿宋_GBK" w:cs="Times New Roman"/>
          <w:kern w:val="0"/>
          <w:sz w:val="32"/>
          <w:szCs w:val="20"/>
        </w:rPr>
        <w:t>市政府办公室202</w:t>
      </w:r>
      <w:r>
        <w:rPr>
          <w:rFonts w:hint="default" w:ascii="Times New Roman" w:hAnsi="Times New Roman" w:eastAsia="方正仿宋_GBK" w:cs="Times New Roman"/>
          <w:kern w:val="0"/>
          <w:sz w:val="32"/>
          <w:szCs w:val="20"/>
          <w:lang w:val="en-US" w:eastAsia="zh-CN"/>
        </w:rPr>
        <w:t>4</w:t>
      </w:r>
      <w:r>
        <w:rPr>
          <w:rFonts w:hint="default" w:ascii="Times New Roman" w:hAnsi="Times New Roman" w:eastAsia="方正仿宋_GBK" w:cs="Times New Roman"/>
          <w:kern w:val="0"/>
          <w:sz w:val="32"/>
          <w:szCs w:val="20"/>
        </w:rPr>
        <w:t>年</w:t>
      </w:r>
      <w:r>
        <w:rPr>
          <w:rFonts w:hint="default" w:ascii="Times New Roman" w:hAnsi="Times New Roman" w:eastAsia="方正仿宋_GBK" w:cs="Times New Roman"/>
          <w:kern w:val="0"/>
          <w:sz w:val="32"/>
          <w:szCs w:val="20"/>
          <w:lang w:eastAsia="zh-CN"/>
        </w:rPr>
        <w:t>全年</w:t>
      </w:r>
      <w:r>
        <w:rPr>
          <w:rFonts w:hint="default" w:ascii="Times New Roman" w:hAnsi="Times New Roman" w:eastAsia="方正仿宋_GBK" w:cs="Times New Roman"/>
          <w:kern w:val="0"/>
          <w:sz w:val="32"/>
          <w:szCs w:val="20"/>
        </w:rPr>
        <w:t>收入预算</w:t>
      </w:r>
      <w:r>
        <w:rPr>
          <w:rFonts w:hint="default" w:ascii="Times New Roman" w:hAnsi="Times New Roman" w:eastAsia="方正仿宋_GBK" w:cs="Times New Roman"/>
          <w:kern w:val="0"/>
          <w:sz w:val="32"/>
          <w:szCs w:val="20"/>
          <w:lang w:val="en-US" w:eastAsia="zh-CN"/>
        </w:rPr>
        <w:t>4451.26</w:t>
      </w:r>
      <w:r>
        <w:rPr>
          <w:rFonts w:hint="default" w:ascii="Times New Roman" w:hAnsi="Times New Roman" w:eastAsia="方正仿宋_GBK" w:cs="Times New Roman"/>
          <w:kern w:val="0"/>
          <w:sz w:val="32"/>
          <w:szCs w:val="20"/>
        </w:rPr>
        <w:t>万元，其中：基本支出</w:t>
      </w:r>
      <w:r>
        <w:rPr>
          <w:rFonts w:hint="default" w:ascii="Times New Roman" w:hAnsi="Times New Roman" w:eastAsia="方正仿宋_GBK" w:cs="Times New Roman"/>
          <w:kern w:val="0"/>
          <w:sz w:val="32"/>
          <w:szCs w:val="20"/>
          <w:lang w:val="en-US" w:eastAsia="zh-CN"/>
        </w:rPr>
        <w:t>3</w:t>
      </w:r>
      <w:r>
        <w:rPr>
          <w:rFonts w:hint="eastAsia" w:ascii="Times New Roman" w:hAnsi="Times New Roman" w:eastAsia="方正仿宋_GBK" w:cs="Times New Roman"/>
          <w:kern w:val="0"/>
          <w:sz w:val="32"/>
          <w:szCs w:val="20"/>
          <w:lang w:val="en-US" w:eastAsia="zh-CN"/>
        </w:rPr>
        <w:t>707.18</w:t>
      </w:r>
      <w:r>
        <w:rPr>
          <w:rFonts w:hint="default" w:ascii="Times New Roman" w:hAnsi="Times New Roman" w:eastAsia="方正仿宋_GBK" w:cs="Times New Roman"/>
          <w:kern w:val="0"/>
          <w:sz w:val="32"/>
          <w:szCs w:val="20"/>
        </w:rPr>
        <w:t>万元，占总收入的</w:t>
      </w:r>
      <w:r>
        <w:rPr>
          <w:rFonts w:hint="default" w:ascii="Times New Roman" w:hAnsi="Times New Roman" w:eastAsia="方正仿宋_GBK" w:cs="Times New Roman"/>
          <w:kern w:val="0"/>
          <w:sz w:val="32"/>
          <w:szCs w:val="20"/>
          <w:lang w:val="en"/>
        </w:rPr>
        <w:t>8</w:t>
      </w:r>
      <w:r>
        <w:rPr>
          <w:rFonts w:hint="eastAsia" w:ascii="Times New Roman" w:hAnsi="Times New Roman" w:eastAsia="方正仿宋_GBK" w:cs="Times New Roman"/>
          <w:kern w:val="0"/>
          <w:sz w:val="32"/>
          <w:szCs w:val="20"/>
          <w:lang w:val="en-US" w:eastAsia="zh-CN"/>
        </w:rPr>
        <w:t>3.28</w:t>
      </w:r>
      <w:r>
        <w:rPr>
          <w:rFonts w:hint="default" w:ascii="Times New Roman" w:hAnsi="Times New Roman" w:eastAsia="方正仿宋_GBK" w:cs="Times New Roman"/>
          <w:kern w:val="0"/>
          <w:sz w:val="32"/>
          <w:szCs w:val="20"/>
        </w:rPr>
        <w:t>%</w:t>
      </w:r>
      <w:r>
        <w:rPr>
          <w:rFonts w:hint="default" w:ascii="Times New Roman" w:hAnsi="Times New Roman" w:eastAsia="方正仿宋_GBK" w:cs="Times New Roman"/>
          <w:kern w:val="0"/>
          <w:sz w:val="32"/>
          <w:szCs w:val="20"/>
          <w:lang w:val="en"/>
        </w:rPr>
        <w:t>;</w:t>
      </w:r>
      <w:r>
        <w:rPr>
          <w:rFonts w:hint="default" w:ascii="Times New Roman" w:hAnsi="Times New Roman" w:eastAsia="方正仿宋_GBK" w:cs="Times New Roman"/>
          <w:kern w:val="0"/>
          <w:sz w:val="32"/>
          <w:szCs w:val="20"/>
          <w:lang w:val="en" w:eastAsia="zh-CN"/>
        </w:rPr>
        <w:t>项目支出</w:t>
      </w:r>
      <w:r>
        <w:rPr>
          <w:rFonts w:hint="eastAsia" w:ascii="Times New Roman" w:hAnsi="Times New Roman" w:eastAsia="方正仿宋_GBK" w:cs="Times New Roman"/>
          <w:kern w:val="0"/>
          <w:sz w:val="32"/>
          <w:szCs w:val="20"/>
          <w:lang w:val="en-US" w:eastAsia="zh-CN"/>
        </w:rPr>
        <w:t>744.08</w:t>
      </w:r>
      <w:r>
        <w:rPr>
          <w:rFonts w:hint="default" w:ascii="Times New Roman" w:hAnsi="Times New Roman" w:eastAsia="方正仿宋_GBK" w:cs="Times New Roman"/>
          <w:kern w:val="0"/>
          <w:sz w:val="32"/>
          <w:szCs w:val="20"/>
          <w:lang w:val="en-US" w:eastAsia="zh-CN"/>
        </w:rPr>
        <w:t>万元，</w:t>
      </w:r>
      <w:r>
        <w:rPr>
          <w:rFonts w:hint="default" w:ascii="Times New Roman" w:hAnsi="Times New Roman" w:eastAsia="方正仿宋_GBK" w:cs="Times New Roman"/>
          <w:kern w:val="0"/>
          <w:sz w:val="32"/>
          <w:szCs w:val="20"/>
        </w:rPr>
        <w:t>占总收入的</w:t>
      </w:r>
      <w:r>
        <w:rPr>
          <w:rFonts w:hint="eastAsia" w:ascii="Times New Roman" w:hAnsi="Times New Roman" w:eastAsia="方正仿宋_GBK" w:cs="Times New Roman"/>
          <w:kern w:val="0"/>
          <w:sz w:val="32"/>
          <w:szCs w:val="20"/>
          <w:lang w:val="en-US" w:eastAsia="zh-CN"/>
        </w:rPr>
        <w:t>16.72</w:t>
      </w:r>
      <w:r>
        <w:rPr>
          <w:rFonts w:hint="default" w:ascii="Times New Roman" w:hAnsi="Times New Roman" w:eastAsia="方正仿宋_GBK" w:cs="Times New Roman"/>
          <w:kern w:val="0"/>
          <w:sz w:val="32"/>
          <w:szCs w:val="20"/>
        </w:rPr>
        <w:t>%。</w:t>
      </w:r>
    </w:p>
    <w:p>
      <w:pPr>
        <w:keepNext w:val="0"/>
        <w:keepLines w:val="0"/>
        <w:pageBreakBefore w:val="0"/>
        <w:widowControl w:val="0"/>
        <w:kinsoku/>
        <w:wordWrap/>
        <w:overflowPunct/>
        <w:topLinePunct w:val="0"/>
        <w:autoSpaceDE/>
        <w:autoSpaceDN/>
        <w:bidi w:val="0"/>
        <w:adjustRightInd w:val="0"/>
        <w:snapToGrid w:val="0"/>
        <w:spacing w:line="298" w:lineRule="auto"/>
        <w:ind w:firstLine="0" w:firstLineChars="0"/>
        <w:textAlignment w:val="auto"/>
        <w:rPr>
          <w:rFonts w:hint="default" w:ascii="Times New Roman" w:hAnsi="Times New Roman" w:eastAsia="方正仿宋_GBK" w:cs="Times New Roman"/>
          <w:kern w:val="0"/>
          <w:sz w:val="32"/>
          <w:szCs w:val="20"/>
          <w:lang w:val="en-US" w:eastAsia="zh-CN"/>
        </w:rPr>
      </w:pPr>
      <w:r>
        <w:rPr>
          <w:rFonts w:hint="eastAsia" w:ascii="方正楷体_GBK" w:hAnsi="方正楷体_GBK" w:eastAsia="方正楷体_GBK" w:cs="方正楷体_GBK"/>
          <w:b/>
          <w:bCs/>
          <w:kern w:val="0"/>
          <w:sz w:val="32"/>
          <w:szCs w:val="20"/>
          <w:lang w:val="zh-CN"/>
        </w:rPr>
        <w:t>　</w:t>
      </w:r>
      <w:r>
        <w:rPr>
          <w:rFonts w:hint="eastAsia" w:ascii="方正楷体_GBK" w:hAnsi="方正楷体_GBK" w:eastAsia="方正楷体_GBK" w:cs="方正楷体_GBK"/>
          <w:b/>
          <w:bCs/>
          <w:kern w:val="0"/>
          <w:sz w:val="32"/>
          <w:szCs w:val="20"/>
          <w:lang w:val="en-US" w:eastAsia="zh-CN"/>
        </w:rPr>
        <w:t xml:space="preserve"> </w:t>
      </w:r>
      <w:r>
        <w:rPr>
          <w:rFonts w:hint="eastAsia" w:ascii="方正楷体_GBK" w:hAnsi="方正楷体_GBK" w:eastAsia="方正楷体_GBK" w:cs="方正楷体_GBK"/>
          <w:b/>
          <w:bCs/>
          <w:kern w:val="0"/>
          <w:sz w:val="32"/>
          <w:szCs w:val="20"/>
          <w:lang w:val="zh-CN"/>
        </w:rPr>
        <w:t>（二）支出情况。</w:t>
      </w:r>
      <w:r>
        <w:rPr>
          <w:rFonts w:hint="default" w:ascii="Times New Roman" w:hAnsi="Times New Roman" w:eastAsia="方正仿宋_GBK" w:cs="Times New Roman"/>
          <w:kern w:val="0"/>
          <w:sz w:val="32"/>
          <w:szCs w:val="20"/>
          <w:lang w:val="en-US" w:eastAsia="zh-CN"/>
        </w:rPr>
        <w:t>基本支出</w:t>
      </w:r>
      <w:r>
        <w:rPr>
          <w:rFonts w:hint="eastAsia" w:ascii="Times New Roman" w:hAnsi="Times New Roman" w:eastAsia="方正仿宋_GBK" w:cs="Times New Roman"/>
          <w:kern w:val="0"/>
          <w:sz w:val="32"/>
          <w:szCs w:val="20"/>
          <w:lang w:val="en-US" w:eastAsia="zh-CN"/>
        </w:rPr>
        <w:t>3706.69</w:t>
      </w:r>
      <w:r>
        <w:rPr>
          <w:rFonts w:hint="default" w:ascii="Times New Roman" w:hAnsi="Times New Roman" w:eastAsia="方正仿宋_GBK" w:cs="Times New Roman"/>
          <w:kern w:val="0"/>
          <w:sz w:val="32"/>
          <w:szCs w:val="20"/>
          <w:lang w:val="en-US" w:eastAsia="zh-CN"/>
        </w:rPr>
        <w:t>万元,其中，人员经费支出30</w:t>
      </w:r>
      <w:r>
        <w:rPr>
          <w:rFonts w:hint="eastAsia" w:ascii="Times New Roman" w:hAnsi="Times New Roman" w:eastAsia="方正仿宋_GBK" w:cs="Times New Roman"/>
          <w:kern w:val="0"/>
          <w:sz w:val="32"/>
          <w:szCs w:val="20"/>
          <w:lang w:val="en-US" w:eastAsia="zh-CN"/>
        </w:rPr>
        <w:t>76.8</w:t>
      </w:r>
      <w:r>
        <w:rPr>
          <w:rFonts w:hint="default" w:eastAsia="方正仿宋_GBK" w:cs="Times New Roman"/>
          <w:kern w:val="0"/>
          <w:sz w:val="32"/>
          <w:szCs w:val="20"/>
          <w:lang w:val="en" w:eastAsia="zh-CN"/>
        </w:rPr>
        <w:t>3</w:t>
      </w:r>
      <w:r>
        <w:rPr>
          <w:rFonts w:hint="default" w:ascii="Times New Roman" w:hAnsi="Times New Roman" w:eastAsia="方正仿宋_GBK" w:cs="Times New Roman"/>
          <w:kern w:val="0"/>
          <w:sz w:val="32"/>
          <w:szCs w:val="20"/>
          <w:lang w:val="en-US" w:eastAsia="zh-CN"/>
        </w:rPr>
        <w:t>万元，公用经费支出</w:t>
      </w:r>
      <w:r>
        <w:rPr>
          <w:rFonts w:hint="eastAsia" w:ascii="Times New Roman" w:hAnsi="Times New Roman" w:eastAsia="方正仿宋_GBK" w:cs="Times New Roman"/>
          <w:kern w:val="0"/>
          <w:sz w:val="32"/>
          <w:szCs w:val="20"/>
          <w:lang w:val="en-US" w:eastAsia="zh-CN"/>
        </w:rPr>
        <w:t>429.86</w:t>
      </w:r>
      <w:r>
        <w:rPr>
          <w:rFonts w:hint="default" w:ascii="Times New Roman" w:hAnsi="Times New Roman" w:eastAsia="方正仿宋_GBK" w:cs="Times New Roman"/>
          <w:kern w:val="0"/>
          <w:sz w:val="32"/>
          <w:szCs w:val="20"/>
          <w:lang w:val="en-US" w:eastAsia="zh-CN"/>
        </w:rPr>
        <w:t>万元。</w:t>
      </w:r>
    </w:p>
    <w:p>
      <w:pPr>
        <w:keepNext w:val="0"/>
        <w:keepLines w:val="0"/>
        <w:pageBreakBefore w:val="0"/>
        <w:widowControl w:val="0"/>
        <w:kinsoku/>
        <w:wordWrap/>
        <w:overflowPunct/>
        <w:topLinePunct w:val="0"/>
        <w:autoSpaceDE/>
        <w:autoSpaceDN/>
        <w:bidi w:val="0"/>
        <w:adjustRightInd w:val="0"/>
        <w:snapToGrid w:val="0"/>
        <w:spacing w:line="298" w:lineRule="auto"/>
        <w:ind w:firstLine="0" w:firstLineChars="0"/>
        <w:textAlignment w:val="auto"/>
        <w:rPr>
          <w:rFonts w:hint="default" w:ascii="Times New Roman" w:hAnsi="Times New Roman" w:eastAsia="方正仿宋_GBK" w:cs="Times New Roman"/>
          <w:kern w:val="0"/>
          <w:sz w:val="32"/>
          <w:szCs w:val="20"/>
          <w:lang w:val="en-US" w:eastAsia="zh-CN"/>
        </w:rPr>
      </w:pPr>
      <w:r>
        <w:rPr>
          <w:rFonts w:hint="eastAsia" w:ascii="Times New Roman" w:hAnsi="Times New Roman" w:eastAsia="方正仿宋_GBK" w:cs="Times New Roman"/>
          <w:kern w:val="0"/>
          <w:sz w:val="32"/>
          <w:szCs w:val="20"/>
          <w:lang w:eastAsia="zh-CN"/>
        </w:rPr>
        <w:t>　　</w:t>
      </w:r>
      <w:r>
        <w:rPr>
          <w:rFonts w:hint="default" w:ascii="Times New Roman" w:hAnsi="Times New Roman" w:eastAsia="方正仿宋_GBK" w:cs="Times New Roman"/>
          <w:kern w:val="0"/>
          <w:sz w:val="32"/>
          <w:szCs w:val="20"/>
        </w:rPr>
        <w:t>项目支出</w:t>
      </w:r>
      <w:r>
        <w:rPr>
          <w:rFonts w:hint="eastAsia" w:ascii="Times New Roman" w:hAnsi="Times New Roman" w:eastAsia="方正仿宋_GBK" w:cs="Times New Roman"/>
          <w:kern w:val="0"/>
          <w:sz w:val="32"/>
          <w:szCs w:val="20"/>
          <w:lang w:val="en-US" w:eastAsia="zh-CN"/>
        </w:rPr>
        <w:t>744.08</w:t>
      </w:r>
      <w:r>
        <w:rPr>
          <w:rFonts w:hint="default" w:ascii="Times New Roman" w:hAnsi="Times New Roman" w:eastAsia="方正仿宋_GBK" w:cs="Times New Roman"/>
          <w:kern w:val="0"/>
          <w:sz w:val="32"/>
          <w:szCs w:val="20"/>
        </w:rPr>
        <w:t>万元，其中：一般行政管理事务</w:t>
      </w:r>
      <w:r>
        <w:rPr>
          <w:rFonts w:hint="default" w:ascii="Times New Roman" w:hAnsi="Times New Roman" w:eastAsia="方正仿宋_GBK" w:cs="Times New Roman"/>
          <w:kern w:val="0"/>
          <w:sz w:val="32"/>
          <w:szCs w:val="20"/>
          <w:lang w:val="en-US" w:eastAsia="zh-CN"/>
        </w:rPr>
        <w:t>72</w:t>
      </w:r>
      <w:r>
        <w:rPr>
          <w:rFonts w:hint="eastAsia" w:ascii="Times New Roman" w:hAnsi="Times New Roman" w:eastAsia="方正仿宋_GBK" w:cs="Times New Roman"/>
          <w:kern w:val="0"/>
          <w:sz w:val="32"/>
          <w:szCs w:val="20"/>
          <w:lang w:val="en-US" w:eastAsia="zh-CN"/>
        </w:rPr>
        <w:t>0.91</w:t>
      </w:r>
      <w:r>
        <w:rPr>
          <w:rFonts w:hint="default" w:ascii="Times New Roman" w:hAnsi="Times New Roman" w:eastAsia="方正仿宋_GBK" w:cs="Times New Roman"/>
          <w:kern w:val="0"/>
          <w:sz w:val="32"/>
          <w:szCs w:val="20"/>
        </w:rPr>
        <w:t>万元；其他政府办公厅（室）及相关机构事务支出</w:t>
      </w:r>
      <w:r>
        <w:rPr>
          <w:rFonts w:hint="eastAsia" w:eastAsia="方正仿宋_GBK" w:cs="Times New Roman"/>
          <w:kern w:val="0"/>
          <w:sz w:val="32"/>
          <w:szCs w:val="20"/>
          <w:lang w:val="en-US" w:eastAsia="zh-CN"/>
        </w:rPr>
        <w:t>14.48</w:t>
      </w:r>
      <w:r>
        <w:rPr>
          <w:rFonts w:hint="default" w:ascii="Times New Roman" w:hAnsi="Times New Roman" w:eastAsia="方正仿宋_GBK" w:cs="Times New Roman"/>
          <w:kern w:val="0"/>
          <w:sz w:val="32"/>
          <w:szCs w:val="20"/>
        </w:rPr>
        <w:t>万元</w:t>
      </w:r>
      <w:r>
        <w:rPr>
          <w:rFonts w:hint="eastAsia" w:ascii="Times New Roman" w:hAnsi="Times New Roman" w:eastAsia="方正仿宋_GBK" w:cs="Times New Roman"/>
          <w:kern w:val="0"/>
          <w:sz w:val="32"/>
          <w:szCs w:val="20"/>
          <w:lang w:eastAsia="zh-CN"/>
        </w:rPr>
        <w:t>；</w:t>
      </w:r>
      <w:r>
        <w:rPr>
          <w:rFonts w:hint="default" w:ascii="Times New Roman" w:hAnsi="Times New Roman" w:eastAsia="方正仿宋_GBK" w:cs="Times New Roman"/>
          <w:kern w:val="0"/>
          <w:sz w:val="32"/>
          <w:szCs w:val="20"/>
        </w:rPr>
        <w:t>社会福利</w:t>
      </w:r>
      <w:r>
        <w:rPr>
          <w:rFonts w:hint="eastAsia" w:ascii="Times New Roman" w:hAnsi="Times New Roman" w:eastAsia="方正仿宋_GBK" w:cs="Times New Roman"/>
          <w:kern w:val="0"/>
          <w:sz w:val="32"/>
          <w:szCs w:val="20"/>
          <w:lang w:eastAsia="zh-CN"/>
        </w:rPr>
        <w:t>—</w:t>
      </w:r>
      <w:r>
        <w:rPr>
          <w:rFonts w:hint="default" w:ascii="Times New Roman" w:hAnsi="Times New Roman" w:eastAsia="方正仿宋_GBK" w:cs="Times New Roman"/>
          <w:kern w:val="0"/>
          <w:sz w:val="32"/>
          <w:szCs w:val="20"/>
        </w:rPr>
        <w:t>儿童福利支出0.6</w:t>
      </w:r>
      <w:r>
        <w:rPr>
          <w:rFonts w:hint="default" w:ascii="Times New Roman" w:hAnsi="Times New Roman" w:eastAsia="方正仿宋_GBK" w:cs="Times New Roman"/>
          <w:kern w:val="0"/>
          <w:sz w:val="32"/>
          <w:szCs w:val="20"/>
          <w:lang w:val="en-US" w:eastAsia="zh-CN"/>
        </w:rPr>
        <w:t>2</w:t>
      </w:r>
      <w:r>
        <w:rPr>
          <w:rFonts w:hint="default" w:ascii="Times New Roman" w:hAnsi="Times New Roman" w:eastAsia="方正仿宋_GBK" w:cs="Times New Roman"/>
          <w:kern w:val="0"/>
          <w:sz w:val="32"/>
          <w:szCs w:val="20"/>
        </w:rPr>
        <w:t>万元</w:t>
      </w:r>
      <w:r>
        <w:rPr>
          <w:rFonts w:hint="default" w:ascii="Times New Roman" w:hAnsi="Times New Roman" w:eastAsia="方正仿宋_GBK" w:cs="Times New Roman"/>
          <w:kern w:val="0"/>
          <w:sz w:val="32"/>
          <w:szCs w:val="20"/>
          <w:lang w:eastAsia="zh-CN"/>
        </w:rPr>
        <w:t>；其他卫生健康支出</w:t>
      </w:r>
      <w:r>
        <w:rPr>
          <w:rFonts w:hint="default" w:ascii="Times New Roman" w:hAnsi="Times New Roman" w:eastAsia="方正仿宋_GBK" w:cs="Times New Roman"/>
          <w:kern w:val="0"/>
          <w:sz w:val="32"/>
          <w:szCs w:val="20"/>
          <w:lang w:val="en-US" w:eastAsia="zh-CN"/>
        </w:rPr>
        <w:t>0.71万元；其他组织事务支出7.36万元</w:t>
      </w:r>
      <w:r>
        <w:rPr>
          <w:rFonts w:hint="default" w:ascii="Times New Roman" w:hAnsi="Times New Roman" w:eastAsia="方正仿宋_GBK" w:cs="Times New Roman"/>
          <w:kern w:val="0"/>
          <w:sz w:val="32"/>
          <w:szCs w:val="20"/>
        </w:rPr>
        <w:t>。主要用于：</w:t>
      </w:r>
      <w:r>
        <w:rPr>
          <w:rFonts w:hint="default" w:ascii="Times New Roman" w:hAnsi="Times New Roman" w:eastAsia="方正仿宋_GBK" w:cs="Times New Roman"/>
          <w:kern w:val="0"/>
          <w:sz w:val="32"/>
          <w:szCs w:val="20"/>
          <w:lang w:eastAsia="zh-CN"/>
        </w:rPr>
        <w:t>保障</w:t>
      </w:r>
      <w:r>
        <w:rPr>
          <w:rFonts w:hint="default" w:ascii="Times New Roman" w:hAnsi="Times New Roman" w:eastAsia="方正仿宋_GBK" w:cs="Times New Roman"/>
          <w:kern w:val="0"/>
          <w:sz w:val="32"/>
          <w:szCs w:val="20"/>
        </w:rPr>
        <w:t>市政府办公室及下属单位</w:t>
      </w:r>
      <w:r>
        <w:rPr>
          <w:rFonts w:hint="default" w:ascii="Times New Roman" w:hAnsi="Times New Roman" w:eastAsia="方正仿宋_GBK" w:cs="Times New Roman"/>
          <w:kern w:val="0"/>
          <w:sz w:val="32"/>
          <w:szCs w:val="20"/>
          <w:lang w:eastAsia="zh-CN"/>
        </w:rPr>
        <w:t>完成全年各项目标任务、保障市政府办公大楼物业正常运转；保障全市政府网站集约化平台平稳安全运行；确保全市政务云及共享交换平台正常运行等</w:t>
      </w:r>
      <w:r>
        <w:rPr>
          <w:rFonts w:hint="default" w:ascii="Times New Roman" w:hAnsi="Times New Roman" w:eastAsia="方正仿宋_GBK" w:cs="Times New Roman"/>
          <w:kern w:val="0"/>
          <w:sz w:val="32"/>
          <w:szCs w:val="20"/>
        </w:rPr>
        <w:t>。</w:t>
      </w:r>
    </w:p>
    <w:p>
      <w:pPr>
        <w:keepNext w:val="0"/>
        <w:keepLines w:val="0"/>
        <w:pageBreakBefore w:val="0"/>
        <w:widowControl w:val="0"/>
        <w:kinsoku/>
        <w:wordWrap/>
        <w:overflowPunct/>
        <w:topLinePunct w:val="0"/>
        <w:autoSpaceDE/>
        <w:autoSpaceDN/>
        <w:bidi w:val="0"/>
        <w:adjustRightInd w:val="0"/>
        <w:snapToGrid w:val="0"/>
        <w:spacing w:line="298" w:lineRule="auto"/>
        <w:ind w:firstLine="0" w:firstLineChars="0"/>
        <w:textAlignment w:val="auto"/>
        <w:rPr>
          <w:rFonts w:hint="eastAsia" w:ascii="方正黑体_GBK" w:hAnsi="方正黑体_GBK" w:eastAsia="方正黑体_GBK" w:cs="方正黑体_GBK"/>
          <w:kern w:val="0"/>
          <w:sz w:val="32"/>
          <w:szCs w:val="20"/>
        </w:rPr>
      </w:pPr>
      <w:r>
        <w:rPr>
          <w:rFonts w:hint="eastAsia" w:ascii="方正黑体_GBK" w:hAnsi="方正黑体_GBK" w:eastAsia="方正黑体_GBK" w:cs="方正黑体_GBK"/>
          <w:kern w:val="0"/>
          <w:sz w:val="32"/>
          <w:szCs w:val="20"/>
          <w:lang w:eastAsia="zh-CN"/>
        </w:rPr>
        <w:t>　　</w:t>
      </w:r>
      <w:bookmarkStart w:id="135" w:name="_Toc593803342_WPSOffice_Level2"/>
      <w:r>
        <w:rPr>
          <w:rFonts w:hint="eastAsia" w:ascii="方正黑体_GBK" w:hAnsi="方正黑体_GBK" w:eastAsia="方正黑体_GBK" w:cs="方正黑体_GBK"/>
          <w:kern w:val="0"/>
          <w:sz w:val="32"/>
          <w:szCs w:val="20"/>
        </w:rPr>
        <w:t>三、部门预算绩效分析</w:t>
      </w:r>
      <w:bookmarkEnd w:id="135"/>
    </w:p>
    <w:p>
      <w:pPr>
        <w:keepNext w:val="0"/>
        <w:keepLines w:val="0"/>
        <w:pageBreakBefore w:val="0"/>
        <w:widowControl w:val="0"/>
        <w:kinsoku/>
        <w:wordWrap/>
        <w:overflowPunct/>
        <w:topLinePunct w:val="0"/>
        <w:autoSpaceDE/>
        <w:autoSpaceDN/>
        <w:bidi w:val="0"/>
        <w:adjustRightInd w:val="0"/>
        <w:snapToGrid w:val="0"/>
        <w:spacing w:line="298" w:lineRule="auto"/>
        <w:ind w:firstLine="0" w:firstLineChars="0"/>
        <w:textAlignment w:val="auto"/>
        <w:rPr>
          <w:rFonts w:hint="default" w:ascii="Times New Roman" w:hAnsi="Times New Roman" w:eastAsia="方正仿宋_GBK" w:cs="Times New Roman"/>
          <w:kern w:val="0"/>
          <w:sz w:val="32"/>
          <w:szCs w:val="20"/>
          <w:lang w:val="en-US" w:eastAsia="zh-CN"/>
        </w:rPr>
      </w:pPr>
      <w:r>
        <w:rPr>
          <w:rFonts w:hint="eastAsia" w:ascii="方正楷体_GBK" w:hAnsi="方正楷体_GBK" w:eastAsia="方正楷体_GBK" w:cs="方正楷体_GBK"/>
          <w:b/>
          <w:bCs/>
          <w:kern w:val="0"/>
          <w:sz w:val="32"/>
          <w:szCs w:val="20"/>
          <w:lang w:val="zh-CN"/>
        </w:rPr>
        <w:t>　　（一）部门预算总体绩效分析。</w:t>
      </w:r>
      <w:r>
        <w:rPr>
          <w:rFonts w:hint="default" w:ascii="Times New Roman" w:hAnsi="Times New Roman" w:eastAsia="方正仿宋_GBK" w:cs="Times New Roman"/>
          <w:kern w:val="0"/>
          <w:sz w:val="32"/>
          <w:szCs w:val="20"/>
          <w:lang w:val="en-US" w:eastAsia="zh-CN"/>
        </w:rPr>
        <w:t>2024年单位整体支出绩效目标基本实现,项目绩效目标全部完成,完成情况良好。主要项目有政府办综合业务费、办公楼搬迁经费、信息系统维护费、原市政府驻昆明办事处医疗保险费、政务商务服务采购项目、市决策咨询经费（含委员报刊费和专家经费）等。项目的支出按规定专款专用，支出符合部门预算批复的用途。认真编制项目绩效目标，加强项目评估评价，强化绩效引领。落实全过程绩效结果应用，将绩效结果与完善政策、调整预算有机衔接，进一步压实预算绩效管理主体责任，强化预算绩效管理监督问责，提升绩效管理工作质量。</w:t>
      </w:r>
    </w:p>
    <w:p>
      <w:pPr>
        <w:keepNext w:val="0"/>
        <w:keepLines w:val="0"/>
        <w:pageBreakBefore w:val="0"/>
        <w:widowControl w:val="0"/>
        <w:kinsoku/>
        <w:wordWrap/>
        <w:overflowPunct/>
        <w:topLinePunct w:val="0"/>
        <w:autoSpaceDE/>
        <w:autoSpaceDN/>
        <w:bidi w:val="0"/>
        <w:adjustRightInd w:val="0"/>
        <w:snapToGrid w:val="0"/>
        <w:spacing w:line="298" w:lineRule="auto"/>
        <w:ind w:firstLine="0" w:firstLineChars="0"/>
        <w:textAlignment w:val="auto"/>
        <w:rPr>
          <w:rFonts w:hint="default" w:ascii="Times New Roman" w:hAnsi="Times New Roman" w:eastAsia="方正仿宋_GBK" w:cs="Times New Roman"/>
          <w:kern w:val="0"/>
          <w:sz w:val="32"/>
          <w:szCs w:val="20"/>
          <w:lang w:val="zh-CN" w:eastAsia="zh-CN"/>
        </w:rPr>
      </w:pPr>
      <w:r>
        <w:rPr>
          <w:rFonts w:hint="eastAsia" w:ascii="方正楷体_GBK" w:hAnsi="方正楷体_GBK" w:eastAsia="方正楷体_GBK" w:cs="方正楷体_GBK"/>
          <w:b/>
          <w:bCs/>
          <w:kern w:val="0"/>
          <w:sz w:val="32"/>
          <w:szCs w:val="20"/>
          <w:lang w:val="zh-CN"/>
        </w:rPr>
        <w:t>　　（二）部门预算项目绩效分析。</w:t>
      </w:r>
      <w:r>
        <w:rPr>
          <w:rFonts w:hint="default" w:ascii="Times New Roman" w:hAnsi="Times New Roman" w:eastAsia="方正仿宋_GBK" w:cs="Times New Roman"/>
          <w:kern w:val="0"/>
          <w:sz w:val="32"/>
          <w:szCs w:val="20"/>
          <w:lang w:val="en-US" w:eastAsia="zh-CN"/>
        </w:rPr>
        <w:t>常年项目绩效分析。</w:t>
      </w:r>
      <w:r>
        <w:rPr>
          <w:rFonts w:hint="default" w:ascii="Times New Roman" w:hAnsi="Times New Roman" w:eastAsia="方正仿宋_GBK" w:cs="Times New Roman"/>
          <w:kern w:val="0"/>
          <w:sz w:val="32"/>
          <w:szCs w:val="20"/>
          <w:lang w:val="zh-CN" w:eastAsia="zh-CN"/>
        </w:rPr>
        <w:t>该类项目总数</w:t>
      </w:r>
      <w:r>
        <w:rPr>
          <w:rFonts w:hint="default" w:ascii="Times New Roman" w:hAnsi="Times New Roman" w:eastAsia="方正仿宋_GBK" w:cs="Times New Roman"/>
          <w:kern w:val="0"/>
          <w:sz w:val="32"/>
          <w:szCs w:val="20"/>
          <w:lang w:val="en-US" w:eastAsia="zh-CN"/>
        </w:rPr>
        <w:t>1</w:t>
      </w:r>
      <w:r>
        <w:rPr>
          <w:rFonts w:hint="eastAsia" w:ascii="Times New Roman" w:hAnsi="Times New Roman" w:eastAsia="方正仿宋_GBK" w:cs="Times New Roman"/>
          <w:kern w:val="0"/>
          <w:sz w:val="32"/>
          <w:szCs w:val="20"/>
          <w:lang w:val="en-US" w:eastAsia="zh-CN"/>
        </w:rPr>
        <w:t>2</w:t>
      </w:r>
      <w:r>
        <w:rPr>
          <w:rFonts w:hint="default" w:ascii="Times New Roman" w:hAnsi="Times New Roman" w:eastAsia="方正仿宋_GBK" w:cs="Times New Roman"/>
          <w:kern w:val="0"/>
          <w:sz w:val="32"/>
          <w:szCs w:val="20"/>
          <w:lang w:val="zh-CN" w:eastAsia="zh-CN"/>
        </w:rPr>
        <w:t>个，涉及预算总金额</w:t>
      </w:r>
      <w:r>
        <w:rPr>
          <w:rFonts w:hint="eastAsia" w:ascii="Times New Roman" w:hAnsi="Times New Roman" w:eastAsia="方正仿宋_GBK" w:cs="Times New Roman"/>
          <w:kern w:val="0"/>
          <w:sz w:val="32"/>
          <w:szCs w:val="20"/>
          <w:lang w:val="en-US" w:eastAsia="zh-CN"/>
        </w:rPr>
        <w:t>744.08</w:t>
      </w:r>
      <w:r>
        <w:rPr>
          <w:rFonts w:hint="default" w:ascii="Times New Roman" w:hAnsi="Times New Roman" w:eastAsia="方正仿宋_GBK" w:cs="Times New Roman"/>
          <w:kern w:val="0"/>
          <w:sz w:val="32"/>
          <w:szCs w:val="20"/>
          <w:lang w:val="zh-CN" w:eastAsia="zh-CN"/>
        </w:rPr>
        <w:t>万元，1</w:t>
      </w:r>
      <w:r>
        <w:rPr>
          <w:rFonts w:hint="eastAsia" w:ascii="仿宋" w:hAnsi="仿宋" w:eastAsia="仿宋" w:cs="仿宋"/>
          <w:kern w:val="0"/>
          <w:sz w:val="32"/>
          <w:szCs w:val="20"/>
          <w:lang w:val="zh-CN" w:eastAsia="zh-CN"/>
        </w:rPr>
        <w:t>—</w:t>
      </w:r>
      <w:r>
        <w:rPr>
          <w:rFonts w:hint="default" w:ascii="Times New Roman" w:hAnsi="Times New Roman" w:eastAsia="方正仿宋_GBK" w:cs="Times New Roman"/>
          <w:kern w:val="0"/>
          <w:sz w:val="32"/>
          <w:szCs w:val="20"/>
          <w:lang w:val="zh-CN" w:eastAsia="zh-CN"/>
        </w:rPr>
        <w:t>1</w:t>
      </w:r>
      <w:r>
        <w:rPr>
          <w:rFonts w:hint="default" w:ascii="Times New Roman" w:hAnsi="Times New Roman" w:eastAsia="方正仿宋_GBK" w:cs="Times New Roman"/>
          <w:kern w:val="0"/>
          <w:sz w:val="32"/>
          <w:szCs w:val="20"/>
          <w:lang w:val="en-US" w:eastAsia="zh-CN"/>
        </w:rPr>
        <w:t>2</w:t>
      </w:r>
      <w:r>
        <w:rPr>
          <w:rFonts w:hint="default" w:ascii="Times New Roman" w:hAnsi="Times New Roman" w:eastAsia="方正仿宋_GBK" w:cs="Times New Roman"/>
          <w:kern w:val="0"/>
          <w:sz w:val="32"/>
          <w:szCs w:val="20"/>
          <w:lang w:val="zh-CN" w:eastAsia="zh-CN"/>
        </w:rPr>
        <w:t>月预算执行总体进度为</w:t>
      </w:r>
      <w:r>
        <w:rPr>
          <w:rFonts w:hint="default" w:ascii="Times New Roman" w:hAnsi="Times New Roman" w:eastAsia="方正仿宋_GBK" w:cs="Times New Roman"/>
          <w:kern w:val="0"/>
          <w:sz w:val="32"/>
          <w:szCs w:val="20"/>
          <w:lang w:val="en-US" w:eastAsia="zh-CN"/>
        </w:rPr>
        <w:t>100</w:t>
      </w:r>
      <w:r>
        <w:rPr>
          <w:rFonts w:hint="default" w:ascii="Times New Roman" w:hAnsi="Times New Roman" w:eastAsia="方正仿宋_GBK" w:cs="Times New Roman"/>
          <w:kern w:val="0"/>
          <w:sz w:val="32"/>
          <w:szCs w:val="20"/>
          <w:lang w:val="zh-CN" w:eastAsia="zh-CN"/>
        </w:rPr>
        <w:t>%，其中：预算结余率大于</w:t>
      </w:r>
      <w:r>
        <w:rPr>
          <w:rFonts w:hint="default" w:ascii="Times New Roman" w:hAnsi="Times New Roman" w:eastAsia="方正仿宋_GBK" w:cs="Times New Roman"/>
          <w:kern w:val="0"/>
          <w:sz w:val="32"/>
          <w:szCs w:val="20"/>
          <w:lang w:val="en-US" w:eastAsia="zh-CN"/>
        </w:rPr>
        <w:t>10%</w:t>
      </w:r>
      <w:r>
        <w:rPr>
          <w:rFonts w:hint="default" w:ascii="Times New Roman" w:hAnsi="Times New Roman" w:eastAsia="方正仿宋_GBK" w:cs="Times New Roman"/>
          <w:kern w:val="0"/>
          <w:sz w:val="32"/>
          <w:szCs w:val="20"/>
          <w:lang w:val="zh-CN" w:eastAsia="zh-CN"/>
        </w:rPr>
        <w:t>的项目共计</w:t>
      </w:r>
      <w:r>
        <w:rPr>
          <w:rFonts w:hint="default" w:ascii="Times New Roman" w:hAnsi="Times New Roman" w:eastAsia="方正仿宋_GBK" w:cs="Times New Roman"/>
          <w:kern w:val="0"/>
          <w:sz w:val="32"/>
          <w:szCs w:val="20"/>
          <w:lang w:val="en-US" w:eastAsia="zh-CN"/>
        </w:rPr>
        <w:t>0</w:t>
      </w:r>
      <w:r>
        <w:rPr>
          <w:rFonts w:hint="default" w:ascii="Times New Roman" w:hAnsi="Times New Roman" w:eastAsia="方正仿宋_GBK" w:cs="Times New Roman"/>
          <w:kern w:val="0"/>
          <w:sz w:val="32"/>
          <w:szCs w:val="20"/>
          <w:lang w:val="zh-CN" w:eastAsia="zh-CN"/>
        </w:rPr>
        <w:t>个。</w:t>
      </w:r>
    </w:p>
    <w:p>
      <w:pPr>
        <w:keepNext w:val="0"/>
        <w:keepLines w:val="0"/>
        <w:pageBreakBefore w:val="0"/>
        <w:widowControl w:val="0"/>
        <w:kinsoku/>
        <w:wordWrap/>
        <w:overflowPunct/>
        <w:topLinePunct w:val="0"/>
        <w:autoSpaceDE/>
        <w:autoSpaceDN/>
        <w:bidi w:val="0"/>
        <w:adjustRightInd w:val="0"/>
        <w:snapToGrid w:val="0"/>
        <w:spacing w:line="298" w:lineRule="auto"/>
        <w:ind w:firstLine="0" w:firstLineChars="0"/>
        <w:textAlignment w:val="auto"/>
        <w:rPr>
          <w:rFonts w:hint="default" w:ascii="Times New Roman" w:hAnsi="Times New Roman" w:eastAsia="方正仿宋_GBK" w:cs="Times New Roman"/>
          <w:kern w:val="0"/>
          <w:sz w:val="32"/>
          <w:szCs w:val="20"/>
          <w:lang w:val="zh-CN" w:eastAsia="zh-CN"/>
        </w:rPr>
      </w:pPr>
      <w:r>
        <w:rPr>
          <w:rFonts w:hint="eastAsia" w:ascii="Times New Roman" w:hAnsi="Times New Roman" w:eastAsia="方正仿宋_GBK" w:cs="Times New Roman"/>
          <w:kern w:val="0"/>
          <w:sz w:val="32"/>
          <w:szCs w:val="20"/>
          <w:lang w:val="en-US" w:eastAsia="zh-CN"/>
        </w:rPr>
        <w:t>　　</w:t>
      </w:r>
      <w:r>
        <w:rPr>
          <w:rFonts w:hint="default" w:ascii="Times New Roman" w:hAnsi="Times New Roman" w:eastAsia="方正仿宋_GBK" w:cs="Times New Roman"/>
          <w:kern w:val="0"/>
          <w:sz w:val="32"/>
          <w:szCs w:val="20"/>
          <w:lang w:val="en-US" w:eastAsia="zh-CN"/>
        </w:rPr>
        <w:t>阶段（含一次性）项目绩效分析。</w:t>
      </w:r>
      <w:r>
        <w:rPr>
          <w:rFonts w:hint="default" w:ascii="Times New Roman" w:hAnsi="Times New Roman" w:eastAsia="方正仿宋_GBK" w:cs="Times New Roman"/>
          <w:kern w:val="0"/>
          <w:sz w:val="32"/>
          <w:szCs w:val="20"/>
          <w:lang w:val="zh-CN" w:eastAsia="zh-CN"/>
        </w:rPr>
        <w:t>该类项目总数</w:t>
      </w:r>
      <w:r>
        <w:rPr>
          <w:rFonts w:hint="default" w:ascii="Times New Roman" w:hAnsi="Times New Roman" w:eastAsia="方正仿宋_GBK" w:cs="Times New Roman"/>
          <w:kern w:val="0"/>
          <w:sz w:val="32"/>
          <w:szCs w:val="20"/>
          <w:lang w:val="en-US" w:eastAsia="zh-CN"/>
        </w:rPr>
        <w:t>2</w:t>
      </w:r>
      <w:r>
        <w:rPr>
          <w:rFonts w:hint="default" w:ascii="Times New Roman" w:hAnsi="Times New Roman" w:eastAsia="方正仿宋_GBK" w:cs="Times New Roman"/>
          <w:kern w:val="0"/>
          <w:sz w:val="32"/>
          <w:szCs w:val="20"/>
          <w:lang w:val="zh-CN" w:eastAsia="zh-CN"/>
        </w:rPr>
        <w:t>个，涉及预算总金额</w:t>
      </w:r>
      <w:r>
        <w:rPr>
          <w:rFonts w:hint="default" w:ascii="Times New Roman" w:hAnsi="Times New Roman" w:eastAsia="方正仿宋_GBK" w:cs="Times New Roman"/>
          <w:kern w:val="0"/>
          <w:sz w:val="32"/>
          <w:szCs w:val="20"/>
          <w:lang w:val="en-US" w:eastAsia="zh-CN"/>
        </w:rPr>
        <w:t>189.6</w:t>
      </w:r>
      <w:r>
        <w:rPr>
          <w:rFonts w:hint="default" w:ascii="Times New Roman" w:hAnsi="Times New Roman" w:eastAsia="方正仿宋_GBK" w:cs="Times New Roman"/>
          <w:kern w:val="0"/>
          <w:sz w:val="32"/>
          <w:szCs w:val="20"/>
          <w:lang w:val="zh-CN" w:eastAsia="zh-CN"/>
        </w:rPr>
        <w:t>万元，1</w:t>
      </w:r>
      <w:r>
        <w:rPr>
          <w:rFonts w:hint="eastAsia" w:ascii="仿宋" w:hAnsi="仿宋" w:eastAsia="仿宋" w:cs="仿宋"/>
          <w:kern w:val="0"/>
          <w:sz w:val="32"/>
          <w:szCs w:val="20"/>
          <w:lang w:val="zh-CN" w:eastAsia="zh-CN"/>
        </w:rPr>
        <w:t>—</w:t>
      </w:r>
      <w:r>
        <w:rPr>
          <w:rFonts w:hint="default" w:ascii="Times New Roman" w:hAnsi="Times New Roman" w:eastAsia="方正仿宋_GBK" w:cs="Times New Roman"/>
          <w:kern w:val="0"/>
          <w:sz w:val="32"/>
          <w:szCs w:val="20"/>
          <w:lang w:val="zh-CN" w:eastAsia="zh-CN"/>
        </w:rPr>
        <w:t>1</w:t>
      </w:r>
      <w:r>
        <w:rPr>
          <w:rFonts w:hint="default" w:ascii="Times New Roman" w:hAnsi="Times New Roman" w:eastAsia="方正仿宋_GBK" w:cs="Times New Roman"/>
          <w:kern w:val="0"/>
          <w:sz w:val="32"/>
          <w:szCs w:val="20"/>
          <w:lang w:val="en-US" w:eastAsia="zh-CN"/>
        </w:rPr>
        <w:t>2</w:t>
      </w:r>
      <w:r>
        <w:rPr>
          <w:rFonts w:hint="default" w:ascii="Times New Roman" w:hAnsi="Times New Roman" w:eastAsia="方正仿宋_GBK" w:cs="Times New Roman"/>
          <w:kern w:val="0"/>
          <w:sz w:val="32"/>
          <w:szCs w:val="20"/>
          <w:lang w:val="zh-CN" w:eastAsia="zh-CN"/>
        </w:rPr>
        <w:t>月预算执行总体进度为</w:t>
      </w:r>
      <w:r>
        <w:rPr>
          <w:rFonts w:hint="default" w:ascii="Times New Roman" w:hAnsi="Times New Roman" w:eastAsia="方正仿宋_GBK" w:cs="Times New Roman"/>
          <w:kern w:val="0"/>
          <w:sz w:val="32"/>
          <w:szCs w:val="20"/>
          <w:lang w:val="en-US" w:eastAsia="zh-CN"/>
        </w:rPr>
        <w:t>100</w:t>
      </w:r>
      <w:r>
        <w:rPr>
          <w:rFonts w:hint="default" w:ascii="Times New Roman" w:hAnsi="Times New Roman" w:eastAsia="方正仿宋_GBK" w:cs="Times New Roman"/>
          <w:kern w:val="0"/>
          <w:sz w:val="32"/>
          <w:szCs w:val="20"/>
          <w:lang w:val="zh-CN" w:eastAsia="zh-CN"/>
        </w:rPr>
        <w:t>%，其中：预算结余率大于</w:t>
      </w:r>
      <w:r>
        <w:rPr>
          <w:rFonts w:hint="default" w:ascii="Times New Roman" w:hAnsi="Times New Roman" w:eastAsia="方正仿宋_GBK" w:cs="Times New Roman"/>
          <w:kern w:val="0"/>
          <w:sz w:val="32"/>
          <w:szCs w:val="20"/>
          <w:lang w:val="en-US" w:eastAsia="zh-CN"/>
        </w:rPr>
        <w:t>10%</w:t>
      </w:r>
      <w:r>
        <w:rPr>
          <w:rFonts w:hint="default" w:ascii="Times New Roman" w:hAnsi="Times New Roman" w:eastAsia="方正仿宋_GBK" w:cs="Times New Roman"/>
          <w:kern w:val="0"/>
          <w:sz w:val="32"/>
          <w:szCs w:val="20"/>
          <w:lang w:val="zh-CN" w:eastAsia="zh-CN"/>
        </w:rPr>
        <w:t>的项目共计</w:t>
      </w:r>
      <w:r>
        <w:rPr>
          <w:rFonts w:hint="default" w:ascii="Times New Roman" w:hAnsi="Times New Roman" w:eastAsia="方正仿宋_GBK" w:cs="Times New Roman"/>
          <w:kern w:val="0"/>
          <w:sz w:val="32"/>
          <w:szCs w:val="20"/>
          <w:lang w:val="en-US" w:eastAsia="zh-CN"/>
        </w:rPr>
        <w:t>0</w:t>
      </w:r>
      <w:r>
        <w:rPr>
          <w:rFonts w:hint="default" w:ascii="Times New Roman" w:hAnsi="Times New Roman" w:eastAsia="方正仿宋_GBK" w:cs="Times New Roman"/>
          <w:kern w:val="0"/>
          <w:sz w:val="32"/>
          <w:szCs w:val="20"/>
          <w:lang w:val="zh-CN" w:eastAsia="zh-CN"/>
        </w:rPr>
        <w:t>个。</w:t>
      </w:r>
    </w:p>
    <w:p>
      <w:pPr>
        <w:keepNext w:val="0"/>
        <w:keepLines w:val="0"/>
        <w:pageBreakBefore w:val="0"/>
        <w:widowControl w:val="0"/>
        <w:kinsoku/>
        <w:wordWrap/>
        <w:overflowPunct/>
        <w:topLinePunct w:val="0"/>
        <w:autoSpaceDE/>
        <w:autoSpaceDN/>
        <w:bidi w:val="0"/>
        <w:adjustRightInd w:val="0"/>
        <w:snapToGrid w:val="0"/>
        <w:spacing w:line="298" w:lineRule="auto"/>
        <w:ind w:firstLine="0" w:firstLineChars="0"/>
        <w:textAlignment w:val="auto"/>
        <w:rPr>
          <w:rFonts w:hint="default" w:ascii="Times New Roman" w:hAnsi="Times New Roman" w:eastAsia="方正仿宋_GBK" w:cs="Times New Roman"/>
          <w:kern w:val="0"/>
          <w:sz w:val="32"/>
          <w:szCs w:val="20"/>
          <w:lang w:val="zh-CN" w:eastAsia="zh-CN"/>
        </w:rPr>
      </w:pPr>
      <w:r>
        <w:rPr>
          <w:rFonts w:hint="eastAsia" w:ascii="Times New Roman" w:hAnsi="Times New Roman" w:eastAsia="方正仿宋_GBK" w:cs="Times New Roman"/>
          <w:kern w:val="0"/>
          <w:sz w:val="32"/>
          <w:szCs w:val="20"/>
          <w:lang w:val="en-US" w:eastAsia="zh-CN"/>
        </w:rPr>
        <w:t>　　</w:t>
      </w:r>
      <w:r>
        <w:rPr>
          <w:rFonts w:hint="default" w:ascii="Times New Roman" w:hAnsi="Times New Roman" w:eastAsia="方正仿宋_GBK" w:cs="Times New Roman"/>
          <w:kern w:val="0"/>
          <w:sz w:val="32"/>
          <w:szCs w:val="20"/>
          <w:lang w:val="en-US" w:eastAsia="zh-CN"/>
        </w:rPr>
        <w:t>2024年项目绩效目标全部完成,完成情况良好。</w:t>
      </w:r>
      <w:r>
        <w:rPr>
          <w:rFonts w:hint="default" w:ascii="Times New Roman" w:hAnsi="Times New Roman" w:eastAsia="方正仿宋_GBK" w:cs="Times New Roman"/>
          <w:kern w:val="0"/>
          <w:sz w:val="32"/>
          <w:szCs w:val="20"/>
          <w:lang w:val="zh-CN" w:eastAsia="zh-CN"/>
        </w:rPr>
        <w:t>项目入库符合决策程序、目标设置合理、资金预算执行情况及资金使用管理规范合理。</w:t>
      </w:r>
    </w:p>
    <w:p>
      <w:pPr>
        <w:keepNext w:val="0"/>
        <w:keepLines w:val="0"/>
        <w:pageBreakBefore w:val="0"/>
        <w:widowControl w:val="0"/>
        <w:kinsoku/>
        <w:wordWrap/>
        <w:overflowPunct/>
        <w:topLinePunct w:val="0"/>
        <w:autoSpaceDE/>
        <w:autoSpaceDN/>
        <w:bidi w:val="0"/>
        <w:adjustRightInd w:val="0"/>
        <w:snapToGrid w:val="0"/>
        <w:spacing w:line="298" w:lineRule="auto"/>
        <w:ind w:firstLine="0" w:firstLineChars="0"/>
        <w:textAlignment w:val="auto"/>
        <w:rPr>
          <w:rFonts w:hint="default" w:ascii="Times New Roman" w:hAnsi="Times New Roman" w:eastAsia="方正仿宋_GBK" w:cs="Times New Roman"/>
          <w:kern w:val="0"/>
          <w:sz w:val="32"/>
          <w:szCs w:val="20"/>
          <w:lang w:val="en-US" w:eastAsia="zh-CN"/>
        </w:rPr>
      </w:pPr>
      <w:r>
        <w:rPr>
          <w:rFonts w:hint="eastAsia" w:ascii="Times New Roman" w:hAnsi="Times New Roman" w:eastAsia="方正仿宋_GBK" w:cs="Times New Roman"/>
          <w:kern w:val="0"/>
          <w:sz w:val="32"/>
          <w:szCs w:val="20"/>
          <w:lang w:val="zh-CN"/>
        </w:rPr>
        <w:t>　　</w:t>
      </w:r>
      <w:r>
        <w:rPr>
          <w:rFonts w:hint="eastAsia" w:ascii="方正楷体_GBK" w:hAnsi="方正楷体_GBK" w:eastAsia="方正楷体_GBK" w:cs="方正楷体_GBK"/>
          <w:b/>
          <w:bCs/>
          <w:kern w:val="0"/>
          <w:sz w:val="32"/>
          <w:szCs w:val="20"/>
          <w:lang w:val="zh-CN"/>
        </w:rPr>
        <w:t>（三）绩效结果应用情况。</w:t>
      </w:r>
      <w:r>
        <w:rPr>
          <w:rFonts w:hint="default" w:ascii="Times New Roman" w:hAnsi="Times New Roman" w:eastAsia="方正仿宋_GBK" w:cs="Times New Roman"/>
          <w:kern w:val="0"/>
          <w:sz w:val="32"/>
          <w:szCs w:val="20"/>
          <w:lang w:val="en-US" w:eastAsia="zh-CN"/>
        </w:rPr>
        <w:t>根据部门整体支出绩效评价指标规定的内容，我办认真开展了自评，部门整体绩效目标编制合理，目标设定客观实际，严格按预算执行质量、预算执行进度、厉行节约的要求，做到了清晰、细化。按要求及时挂网公开绩效目标等信息。将落实市委、市政府重大决策部署作为预算绩效管理重点，进一步深化预算管理制度改革，推动全过程预算绩效管理提质增效。</w:t>
      </w:r>
    </w:p>
    <w:p>
      <w:pPr>
        <w:keepNext w:val="0"/>
        <w:keepLines w:val="0"/>
        <w:pageBreakBefore w:val="0"/>
        <w:widowControl w:val="0"/>
        <w:kinsoku/>
        <w:wordWrap/>
        <w:overflowPunct/>
        <w:topLinePunct w:val="0"/>
        <w:autoSpaceDE/>
        <w:autoSpaceDN/>
        <w:bidi w:val="0"/>
        <w:adjustRightInd w:val="0"/>
        <w:snapToGrid w:val="0"/>
        <w:spacing w:line="298" w:lineRule="auto"/>
        <w:ind w:firstLine="0" w:firstLineChars="0"/>
        <w:textAlignment w:val="auto"/>
        <w:rPr>
          <w:rFonts w:hint="eastAsia" w:ascii="方正黑体_GBK" w:hAnsi="方正黑体_GBK" w:eastAsia="方正黑体_GBK" w:cs="方正黑体_GBK"/>
          <w:kern w:val="0"/>
          <w:sz w:val="32"/>
          <w:szCs w:val="20"/>
        </w:rPr>
      </w:pPr>
      <w:r>
        <w:rPr>
          <w:rFonts w:hint="eastAsia" w:ascii="方正黑体_GBK" w:hAnsi="方正黑体_GBK" w:eastAsia="方正黑体_GBK" w:cs="方正黑体_GBK"/>
          <w:kern w:val="0"/>
          <w:sz w:val="32"/>
          <w:szCs w:val="20"/>
          <w:lang w:eastAsia="zh-CN"/>
        </w:rPr>
        <w:t>　　</w:t>
      </w:r>
      <w:bookmarkStart w:id="136" w:name="_Toc1751584704_WPSOffice_Level2"/>
      <w:r>
        <w:rPr>
          <w:rFonts w:hint="eastAsia" w:ascii="方正黑体_GBK" w:hAnsi="方正黑体_GBK" w:eastAsia="方正黑体_GBK" w:cs="方正黑体_GBK"/>
          <w:kern w:val="0"/>
          <w:sz w:val="32"/>
          <w:szCs w:val="20"/>
        </w:rPr>
        <w:t>四、评价结论及建议</w:t>
      </w:r>
      <w:bookmarkEnd w:id="136"/>
    </w:p>
    <w:p>
      <w:pPr>
        <w:keepNext w:val="0"/>
        <w:keepLines w:val="0"/>
        <w:pageBreakBefore w:val="0"/>
        <w:widowControl w:val="0"/>
        <w:kinsoku/>
        <w:wordWrap/>
        <w:overflowPunct/>
        <w:topLinePunct w:val="0"/>
        <w:autoSpaceDE/>
        <w:autoSpaceDN/>
        <w:bidi w:val="0"/>
        <w:adjustRightInd w:val="0"/>
        <w:snapToGrid w:val="0"/>
        <w:spacing w:line="298" w:lineRule="auto"/>
        <w:ind w:firstLine="0" w:firstLineChars="0"/>
        <w:textAlignment w:val="auto"/>
        <w:rPr>
          <w:rFonts w:hint="default" w:ascii="Times New Roman" w:hAnsi="Times New Roman" w:eastAsia="方正仿宋_GBK" w:cs="Times New Roman"/>
          <w:kern w:val="0"/>
          <w:sz w:val="32"/>
          <w:szCs w:val="20"/>
          <w:lang w:val="zh-CN" w:eastAsia="zh-CN"/>
        </w:rPr>
      </w:pPr>
      <w:r>
        <w:rPr>
          <w:rFonts w:hint="eastAsia" w:ascii="Times New Roman" w:hAnsi="Times New Roman" w:eastAsia="方正仿宋_GBK" w:cs="Times New Roman"/>
          <w:kern w:val="0"/>
          <w:sz w:val="32"/>
          <w:szCs w:val="20"/>
          <w:lang w:val="zh-CN"/>
        </w:rPr>
        <w:t>　　</w:t>
      </w:r>
      <w:r>
        <w:rPr>
          <w:rFonts w:hint="eastAsia" w:ascii="方正楷体_GBK" w:hAnsi="方正楷体_GBK" w:eastAsia="方正楷体_GBK" w:cs="方正楷体_GBK"/>
          <w:b/>
          <w:bCs/>
          <w:kern w:val="0"/>
          <w:sz w:val="32"/>
          <w:szCs w:val="20"/>
          <w:lang w:val="zh-CN"/>
        </w:rPr>
        <w:t>（一）评价结论。</w:t>
      </w:r>
      <w:r>
        <w:rPr>
          <w:rFonts w:hint="default" w:ascii="Times New Roman" w:hAnsi="Times New Roman" w:eastAsia="方正仿宋_GBK" w:cs="Times New Roman"/>
          <w:kern w:val="0"/>
          <w:sz w:val="32"/>
          <w:szCs w:val="20"/>
          <w:lang w:val="en-US" w:eastAsia="zh-CN"/>
        </w:rPr>
        <w:t>我办部门预算整体绩效评价结果良好，完成了年初设定的绩效目标，保障了单位各项工作任务圆满完成。</w:t>
      </w:r>
    </w:p>
    <w:p>
      <w:pPr>
        <w:keepNext w:val="0"/>
        <w:keepLines w:val="0"/>
        <w:pageBreakBefore w:val="0"/>
        <w:widowControl w:val="0"/>
        <w:kinsoku/>
        <w:wordWrap/>
        <w:overflowPunct/>
        <w:topLinePunct w:val="0"/>
        <w:autoSpaceDE/>
        <w:autoSpaceDN/>
        <w:bidi w:val="0"/>
        <w:adjustRightInd w:val="0"/>
        <w:snapToGrid w:val="0"/>
        <w:spacing w:line="298" w:lineRule="auto"/>
        <w:ind w:firstLine="0" w:firstLineChars="0"/>
        <w:textAlignment w:val="auto"/>
        <w:rPr>
          <w:rFonts w:hint="default" w:ascii="Times New Roman" w:hAnsi="Times New Roman" w:eastAsia="方正仿宋_GBK" w:cs="Times New Roman"/>
          <w:kern w:val="0"/>
          <w:sz w:val="32"/>
          <w:szCs w:val="20"/>
          <w:lang w:val="en-US" w:eastAsia="zh-CN"/>
        </w:rPr>
      </w:pPr>
      <w:r>
        <w:rPr>
          <w:rFonts w:hint="eastAsia" w:ascii="Times New Roman" w:hAnsi="Times New Roman" w:eastAsia="方正仿宋_GBK" w:cs="Times New Roman"/>
          <w:kern w:val="0"/>
          <w:sz w:val="32"/>
          <w:szCs w:val="20"/>
          <w:lang w:val="zh-CN"/>
        </w:rPr>
        <w:t>　　</w:t>
      </w:r>
      <w:r>
        <w:rPr>
          <w:rFonts w:hint="eastAsia" w:ascii="方正楷体_GBK" w:hAnsi="方正楷体_GBK" w:eastAsia="方正楷体_GBK" w:cs="方正楷体_GBK"/>
          <w:b/>
          <w:bCs/>
          <w:kern w:val="0"/>
          <w:sz w:val="32"/>
          <w:szCs w:val="20"/>
          <w:lang w:val="zh-CN"/>
        </w:rPr>
        <w:t>（二）存在问题。</w:t>
      </w:r>
      <w:r>
        <w:rPr>
          <w:rFonts w:hint="default" w:ascii="Times New Roman" w:hAnsi="Times New Roman" w:eastAsia="方正仿宋_GBK" w:cs="Times New Roman"/>
          <w:kern w:val="0"/>
          <w:sz w:val="32"/>
          <w:szCs w:val="20"/>
          <w:lang w:val="en-US" w:eastAsia="zh-CN"/>
        </w:rPr>
        <w:t>在预算绩效自评中未发现问题。</w:t>
      </w:r>
    </w:p>
    <w:p>
      <w:pPr>
        <w:keepNext w:val="0"/>
        <w:keepLines w:val="0"/>
        <w:pageBreakBefore w:val="0"/>
        <w:widowControl w:val="0"/>
        <w:kinsoku/>
        <w:wordWrap/>
        <w:overflowPunct/>
        <w:topLinePunct w:val="0"/>
        <w:autoSpaceDE/>
        <w:autoSpaceDN/>
        <w:bidi w:val="0"/>
        <w:adjustRightInd w:val="0"/>
        <w:snapToGrid w:val="0"/>
        <w:spacing w:line="298" w:lineRule="auto"/>
        <w:ind w:firstLine="640" w:firstLineChars="0"/>
        <w:textAlignment w:val="auto"/>
        <w:rPr>
          <w:rFonts w:hint="default" w:ascii="Times New Roman" w:hAnsi="Times New Roman" w:eastAsia="方正仿宋_GBK" w:cs="Times New Roman"/>
          <w:kern w:val="0"/>
          <w:sz w:val="32"/>
          <w:szCs w:val="20"/>
          <w:lang w:val="zh-CN" w:eastAsia="zh-CN"/>
        </w:rPr>
      </w:pPr>
      <w:r>
        <w:rPr>
          <w:rFonts w:hint="eastAsia" w:ascii="方正楷体_GBK" w:hAnsi="方正楷体_GBK" w:eastAsia="方正楷体_GBK" w:cs="方正楷体_GBK"/>
          <w:b/>
          <w:bCs/>
          <w:kern w:val="0"/>
          <w:sz w:val="32"/>
          <w:szCs w:val="20"/>
          <w:lang w:val="zh-CN"/>
        </w:rPr>
        <w:t>（三）改进建议。</w:t>
      </w:r>
      <w:r>
        <w:rPr>
          <w:rFonts w:hint="default" w:ascii="Times New Roman" w:hAnsi="Times New Roman" w:eastAsia="方正仿宋_GBK" w:cs="Times New Roman"/>
          <w:kern w:val="0"/>
          <w:sz w:val="32"/>
          <w:szCs w:val="20"/>
          <w:lang w:val="zh-CN" w:eastAsia="zh-CN"/>
        </w:rPr>
        <w:t>进一步科学合理设置绩效评价指标，夯实绩效评价基础。</w:t>
      </w:r>
    </w:p>
    <w:p>
      <w:pPr>
        <w:keepNext w:val="0"/>
        <w:keepLines w:val="0"/>
        <w:pageBreakBefore w:val="0"/>
        <w:widowControl w:val="0"/>
        <w:kinsoku/>
        <w:wordWrap/>
        <w:overflowPunct/>
        <w:topLinePunct w:val="0"/>
        <w:autoSpaceDE/>
        <w:autoSpaceDN/>
        <w:bidi w:val="0"/>
        <w:adjustRightInd w:val="0"/>
        <w:snapToGrid w:val="0"/>
        <w:spacing w:line="298" w:lineRule="auto"/>
        <w:ind w:firstLine="640" w:firstLineChars="0"/>
        <w:textAlignment w:val="auto"/>
        <w:rPr>
          <w:rFonts w:hint="eastAsia" w:ascii="Times New Roman" w:hAnsi="Times New Roman" w:eastAsia="方正仿宋_GBK" w:cs="Times New Roman"/>
          <w:kern w:val="0"/>
          <w:sz w:val="32"/>
          <w:szCs w:val="20"/>
          <w:lang w:val="zh-CN" w:eastAsia="zh-CN"/>
        </w:rPr>
      </w:pPr>
    </w:p>
    <w:p>
      <w:pPr>
        <w:keepNext w:val="0"/>
        <w:keepLines w:val="0"/>
        <w:pageBreakBefore w:val="0"/>
        <w:widowControl w:val="0"/>
        <w:kinsoku/>
        <w:wordWrap/>
        <w:overflowPunct/>
        <w:topLinePunct w:val="0"/>
        <w:autoSpaceDE/>
        <w:autoSpaceDN/>
        <w:bidi w:val="0"/>
        <w:adjustRightInd w:val="0"/>
        <w:snapToGrid w:val="0"/>
        <w:spacing w:line="298" w:lineRule="auto"/>
        <w:ind w:firstLine="640" w:firstLineChars="0"/>
        <w:textAlignment w:val="auto"/>
        <w:rPr>
          <w:rFonts w:hint="eastAsia" w:ascii="Times New Roman" w:hAnsi="Times New Roman" w:eastAsia="方正仿宋_GBK" w:cs="Times New Roman"/>
          <w:kern w:val="0"/>
          <w:sz w:val="32"/>
          <w:szCs w:val="20"/>
          <w:lang w:val="zh-CN" w:eastAsia="zh-CN"/>
        </w:rPr>
      </w:pPr>
    </w:p>
    <w:p>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r>
        <w:rPr>
          <w:rFonts w:hint="eastAsia" w:ascii="Times New Roman" w:eastAsia="仿宋_GB2312" w:cs="Times New Roman"/>
          <w:kern w:val="2"/>
          <w:sz w:val="32"/>
          <w:szCs w:val="32"/>
          <w:u w:val="none"/>
          <w:lang w:val="en-US" w:eastAsia="zh-CN" w:bidi="ar"/>
        </w:rPr>
        <w:t>见附件3</w:t>
      </w:r>
    </w:p>
    <w:p>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pPr>
        <w:pStyle w:val="5"/>
        <w:rPr>
          <w:rFonts w:hint="eastAsia" w:ascii="Times New Roman" w:hAnsi="Times New Roman" w:cs="宋体"/>
          <w:color w:val="FF0000"/>
          <w:kern w:val="0"/>
          <w:sz w:val="32"/>
          <w:szCs w:val="32"/>
          <w:highlight w:val="yellow"/>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pPr>
        <w:widowControl/>
        <w:jc w:val="center"/>
        <w:rPr>
          <w:rFonts w:hint="eastAsia" w:ascii="Times New Roman" w:hAnsi="Times New Roman" w:eastAsia="仿宋"/>
          <w:b w:val="0"/>
          <w:color w:val="auto"/>
          <w:highlight w:val="none"/>
        </w:rPr>
      </w:pPr>
      <w:bookmarkStart w:id="137" w:name="_Toc1720228247_WPSOffice_Level1"/>
      <w:bookmarkStart w:id="138" w:name="_Toc15396618"/>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123"/>
      <w:bookmarkEnd w:id="137"/>
      <w:bookmarkEnd w:id="138"/>
      <w:bookmarkStart w:id="139" w:name="_Toc1539661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40" w:name="_Toc2040674348_WPSOffice_Level2"/>
      <w:r>
        <w:rPr>
          <w:rFonts w:hint="eastAsia" w:ascii="Times New Roman" w:hAnsi="Times New Roman" w:eastAsia="仿宋_GB2312" w:cs="仿宋_GB2312"/>
          <w:color w:val="auto"/>
          <w:sz w:val="32"/>
          <w:szCs w:val="32"/>
          <w:highlight w:val="none"/>
        </w:rPr>
        <w:t>一、收入支出决算总表</w:t>
      </w:r>
      <w:bookmarkEnd w:id="139"/>
      <w:bookmarkEnd w:id="140"/>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41" w:name="_Toc15396620"/>
      <w:bookmarkStart w:id="142" w:name="_Toc253693747_WPSOffice_Level2"/>
      <w:r>
        <w:rPr>
          <w:rFonts w:hint="eastAsia" w:ascii="Times New Roman" w:hAnsi="Times New Roman" w:eastAsia="仿宋_GB2312" w:cs="仿宋_GB2312"/>
          <w:color w:val="auto"/>
          <w:sz w:val="32"/>
          <w:szCs w:val="32"/>
          <w:highlight w:val="none"/>
        </w:rPr>
        <w:t>二、收入决算表</w:t>
      </w:r>
      <w:bookmarkEnd w:id="141"/>
      <w:bookmarkEnd w:id="142"/>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43" w:name="_Toc15396621"/>
      <w:bookmarkStart w:id="144" w:name="_Toc1697649269_WPSOffice_Level2"/>
      <w:r>
        <w:rPr>
          <w:rFonts w:hint="eastAsia" w:ascii="Times New Roman" w:hAnsi="Times New Roman" w:eastAsia="仿宋_GB2312" w:cs="仿宋_GB2312"/>
          <w:color w:val="auto"/>
          <w:sz w:val="32"/>
          <w:szCs w:val="32"/>
          <w:highlight w:val="none"/>
        </w:rPr>
        <w:t>三、支出决算表</w:t>
      </w:r>
      <w:bookmarkEnd w:id="143"/>
      <w:bookmarkEnd w:id="14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45" w:name="_Toc15396622"/>
      <w:bookmarkStart w:id="146" w:name="_Toc682911729_WPSOffice_Level2"/>
      <w:r>
        <w:rPr>
          <w:rFonts w:hint="eastAsia" w:ascii="Times New Roman" w:hAnsi="Times New Roman" w:eastAsia="仿宋_GB2312" w:cs="仿宋_GB2312"/>
          <w:color w:val="auto"/>
          <w:sz w:val="32"/>
          <w:szCs w:val="32"/>
          <w:highlight w:val="none"/>
        </w:rPr>
        <w:t>四、财政拨款收入支出决算总表</w:t>
      </w:r>
      <w:bookmarkEnd w:id="145"/>
      <w:bookmarkEnd w:id="146"/>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47" w:name="_Toc15396623"/>
      <w:bookmarkStart w:id="148" w:name="_Toc800150202_WPSOffice_Level2"/>
      <w:r>
        <w:rPr>
          <w:rFonts w:hint="eastAsia" w:ascii="Times New Roman" w:hAnsi="Times New Roman" w:eastAsia="仿宋_GB2312" w:cs="仿宋_GB2312"/>
          <w:color w:val="auto"/>
          <w:sz w:val="32"/>
          <w:szCs w:val="32"/>
          <w:highlight w:val="none"/>
        </w:rPr>
        <w:t>五、财政拨款支出决算明细表</w:t>
      </w:r>
      <w:bookmarkEnd w:id="147"/>
      <w:bookmarkEnd w:id="148"/>
      <w:bookmarkStart w:id="149" w:name="_Toc1539662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50" w:name="_Toc1174487480_WPSOffice_Level2"/>
      <w:r>
        <w:rPr>
          <w:rFonts w:hint="eastAsia" w:ascii="Times New Roman" w:hAnsi="Times New Roman" w:eastAsia="仿宋_GB2312" w:cs="仿宋_GB2312"/>
          <w:color w:val="auto"/>
          <w:sz w:val="32"/>
          <w:szCs w:val="32"/>
          <w:highlight w:val="none"/>
        </w:rPr>
        <w:t>六、一般公共预算财政拨款支出决算表</w:t>
      </w:r>
      <w:bookmarkEnd w:id="149"/>
      <w:bookmarkEnd w:id="150"/>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51" w:name="_Toc15396625"/>
      <w:bookmarkStart w:id="152" w:name="_Toc2130256135_WPSOffice_Level2"/>
      <w:r>
        <w:rPr>
          <w:rFonts w:hint="eastAsia" w:ascii="Times New Roman" w:hAnsi="Times New Roman" w:eastAsia="仿宋_GB2312" w:cs="仿宋_GB2312"/>
          <w:color w:val="auto"/>
          <w:sz w:val="32"/>
          <w:szCs w:val="32"/>
          <w:highlight w:val="none"/>
        </w:rPr>
        <w:t>七、一般公共预算财政拨款支出决算明细表</w:t>
      </w:r>
      <w:bookmarkEnd w:id="151"/>
      <w:bookmarkEnd w:id="152"/>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53" w:name="_Toc15396626"/>
      <w:bookmarkStart w:id="154" w:name="_Toc1235435049_WPSOffice_Level2"/>
      <w:r>
        <w:rPr>
          <w:rFonts w:hint="eastAsia" w:ascii="Times New Roman" w:hAnsi="Times New Roman" w:eastAsia="仿宋_GB2312" w:cs="仿宋_GB2312"/>
          <w:color w:val="auto"/>
          <w:sz w:val="32"/>
          <w:szCs w:val="32"/>
          <w:highlight w:val="none"/>
        </w:rPr>
        <w:t>八、一般公共预算财政拨款基本支出决算表</w:t>
      </w:r>
      <w:bookmarkEnd w:id="153"/>
      <w:bookmarkEnd w:id="15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55" w:name="_Toc15396627"/>
      <w:bookmarkStart w:id="156" w:name="_Toc2072476492_WPSOffice_Level2"/>
      <w:r>
        <w:rPr>
          <w:rFonts w:hint="eastAsia" w:ascii="Times New Roman" w:hAnsi="Times New Roman" w:eastAsia="仿宋_GB2312" w:cs="仿宋_GB2312"/>
          <w:color w:val="auto"/>
          <w:sz w:val="32"/>
          <w:szCs w:val="32"/>
          <w:highlight w:val="none"/>
        </w:rPr>
        <w:t>九、一般公共预算财政拨款项目支出决算表</w:t>
      </w:r>
      <w:bookmarkEnd w:id="155"/>
      <w:bookmarkEnd w:id="156"/>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57" w:name="_Toc15396628"/>
      <w:bookmarkStart w:id="158" w:name="_Toc68492317_WPSOffice_Level2"/>
      <w:r>
        <w:rPr>
          <w:rFonts w:hint="eastAsia" w:ascii="Times New Roman" w:hAnsi="Times New Roman" w:eastAsia="仿宋_GB2312" w:cs="仿宋_GB2312"/>
          <w:color w:val="auto"/>
          <w:sz w:val="32"/>
          <w:szCs w:val="32"/>
          <w:highlight w:val="none"/>
        </w:rPr>
        <w:t>十、</w:t>
      </w:r>
      <w:bookmarkEnd w:id="157"/>
      <w:r>
        <w:rPr>
          <w:rFonts w:hint="eastAsia" w:ascii="Times New Roman" w:hAnsi="Times New Roman" w:eastAsia="仿宋_GB2312" w:cs="仿宋_GB2312"/>
          <w:color w:val="auto"/>
          <w:sz w:val="32"/>
          <w:szCs w:val="32"/>
          <w:highlight w:val="none"/>
        </w:rPr>
        <w:t>政府性基金预算财政拨款收入支出决算表</w:t>
      </w:r>
      <w:bookmarkEnd w:id="158"/>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59" w:name="_Toc15396629"/>
      <w:bookmarkStart w:id="160" w:name="_Toc872325055_WPSOffice_Level2"/>
      <w:r>
        <w:rPr>
          <w:rFonts w:hint="eastAsia" w:ascii="Times New Roman" w:hAnsi="Times New Roman" w:eastAsia="仿宋_GB2312" w:cs="仿宋_GB2312"/>
          <w:color w:val="auto"/>
          <w:sz w:val="32"/>
          <w:szCs w:val="32"/>
          <w:highlight w:val="none"/>
        </w:rPr>
        <w:t>十一、</w:t>
      </w:r>
      <w:bookmarkEnd w:id="159"/>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bookmarkEnd w:id="160"/>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61" w:name="_Toc15396630"/>
      <w:bookmarkStart w:id="162" w:name="_Toc2029733792_WPSOffice_Level2"/>
      <w:r>
        <w:rPr>
          <w:rFonts w:hint="eastAsia" w:ascii="Times New Roman" w:hAnsi="Times New Roman" w:eastAsia="仿宋_GB2312" w:cs="仿宋_GB2312"/>
          <w:color w:val="auto"/>
          <w:sz w:val="32"/>
          <w:szCs w:val="32"/>
          <w:highlight w:val="none"/>
        </w:rPr>
        <w:t>十二、</w:t>
      </w:r>
      <w:bookmarkEnd w:id="161"/>
      <w:r>
        <w:rPr>
          <w:rFonts w:hint="eastAsia" w:ascii="Times New Roman" w:hAnsi="Times New Roman" w:eastAsia="仿宋_GB2312" w:cs="仿宋_GB2312"/>
          <w:color w:val="auto"/>
          <w:sz w:val="32"/>
          <w:szCs w:val="32"/>
          <w:highlight w:val="none"/>
          <w:lang w:eastAsia="zh-CN"/>
        </w:rPr>
        <w:t>国有资本经营预算财政拨款支出决算表</w:t>
      </w:r>
      <w:bookmarkEnd w:id="162"/>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163" w:name="_Toc15396631"/>
      <w:bookmarkStart w:id="164" w:name="_Toc227481892_WPSOffice_Level2"/>
      <w:r>
        <w:rPr>
          <w:rFonts w:hint="eastAsia" w:ascii="Times New Roman" w:hAnsi="Times New Roman" w:eastAsia="仿宋_GB2312" w:cs="仿宋_GB2312"/>
          <w:color w:val="auto"/>
          <w:sz w:val="32"/>
          <w:szCs w:val="32"/>
          <w:highlight w:val="none"/>
        </w:rPr>
        <w:t>十三、</w:t>
      </w:r>
      <w:bookmarkEnd w:id="163"/>
      <w:r>
        <w:rPr>
          <w:rFonts w:hint="eastAsia" w:ascii="Times New Roman" w:hAnsi="Times New Roman" w:eastAsia="仿宋_GB2312" w:cs="仿宋_GB2312"/>
          <w:color w:val="auto"/>
          <w:sz w:val="32"/>
          <w:szCs w:val="32"/>
          <w:highlight w:val="none"/>
          <w:lang w:eastAsia="zh-CN"/>
        </w:rPr>
        <w:t>财政拨款“三公”经费支出决算表</w:t>
      </w:r>
      <w:bookmarkEnd w:id="164"/>
    </w:p>
    <w:p>
      <w:pPr>
        <w:rPr>
          <w:rFonts w:hint="eastAsia" w:ascii="Times New Roman" w:hAnsi="Times New Roman"/>
          <w:lang w:eastAsia="zh-CN"/>
        </w:rPr>
      </w:pPr>
    </w:p>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
    <w:altName w:val="国标宋体-超大字符集扩"/>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auto"/>
    <w:pitch w:val="default"/>
    <w:sig w:usb0="00000000" w:usb1="00000000" w:usb2="00000000" w:usb3="00000000" w:csb0="00000000" w:csb1="00000000"/>
  </w:font>
  <w:font w:name="永中宋体">
    <w:panose1 w:val="02010600030101010101"/>
    <w:charset w:val="86"/>
    <w:family w:val="auto"/>
    <w:pitch w:val="default"/>
    <w:sig w:usb0="00000803" w:usb1="080E0000" w:usb2="00000000" w:usb3="00000000" w:csb0="00040001"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DV9rPKyQIAAOwFAAAOAAAAAAAAAAEAIAAAADUBAABkcnMvZTJvRG9jLnhtbFBL&#10;BQYAAAAABgAGAFkBAABwBg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8B+fc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LwH59zIAgAA7AUAAA4AAAAAAAAAAQAgAAAANQEAAGRycy9lMm9Eb2MueG1sUEsF&#10;BgAAAAAGAAYAWQEAAG8G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DA389D"/>
    <w:multiLevelType w:val="singleLevel"/>
    <w:tmpl w:val="09DA389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8A3BBA"/>
    <w:rsid w:val="02FEBE30"/>
    <w:rsid w:val="04916F1E"/>
    <w:rsid w:val="061E35DE"/>
    <w:rsid w:val="066E0107"/>
    <w:rsid w:val="07996F6E"/>
    <w:rsid w:val="07DFD8BA"/>
    <w:rsid w:val="09867E8F"/>
    <w:rsid w:val="0A2032A3"/>
    <w:rsid w:val="0CA8290A"/>
    <w:rsid w:val="0D35B1ED"/>
    <w:rsid w:val="0E254B6B"/>
    <w:rsid w:val="0F914924"/>
    <w:rsid w:val="0F98263C"/>
    <w:rsid w:val="101860EC"/>
    <w:rsid w:val="101F47CC"/>
    <w:rsid w:val="103E069E"/>
    <w:rsid w:val="10C055FF"/>
    <w:rsid w:val="11694EBD"/>
    <w:rsid w:val="11772AA4"/>
    <w:rsid w:val="118107EC"/>
    <w:rsid w:val="12E24EE2"/>
    <w:rsid w:val="13D50BC4"/>
    <w:rsid w:val="14B17F78"/>
    <w:rsid w:val="165E0673"/>
    <w:rsid w:val="16B831D5"/>
    <w:rsid w:val="16BB723D"/>
    <w:rsid w:val="16CB6A2E"/>
    <w:rsid w:val="17E50567"/>
    <w:rsid w:val="186504BB"/>
    <w:rsid w:val="19A445FC"/>
    <w:rsid w:val="1BE8440E"/>
    <w:rsid w:val="1D155CEE"/>
    <w:rsid w:val="1D1638FE"/>
    <w:rsid w:val="1E312DEB"/>
    <w:rsid w:val="1E740ACF"/>
    <w:rsid w:val="1FF35744"/>
    <w:rsid w:val="1FF6BC77"/>
    <w:rsid w:val="2186353C"/>
    <w:rsid w:val="2248597B"/>
    <w:rsid w:val="23860B96"/>
    <w:rsid w:val="240371BF"/>
    <w:rsid w:val="244F3473"/>
    <w:rsid w:val="24C97D99"/>
    <w:rsid w:val="25A718F0"/>
    <w:rsid w:val="25BB59F6"/>
    <w:rsid w:val="260F557C"/>
    <w:rsid w:val="26970054"/>
    <w:rsid w:val="27BEB326"/>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7B883E"/>
    <w:rsid w:val="37E16F03"/>
    <w:rsid w:val="37F53A3B"/>
    <w:rsid w:val="389B6C89"/>
    <w:rsid w:val="38D469F0"/>
    <w:rsid w:val="39627CCD"/>
    <w:rsid w:val="397BAF1F"/>
    <w:rsid w:val="3AB79AF3"/>
    <w:rsid w:val="3ADF2714"/>
    <w:rsid w:val="3AE834C0"/>
    <w:rsid w:val="3B7EF35A"/>
    <w:rsid w:val="3B9FDB6C"/>
    <w:rsid w:val="3BF5BC2F"/>
    <w:rsid w:val="3CEBA265"/>
    <w:rsid w:val="3D98207C"/>
    <w:rsid w:val="3DEE7CF3"/>
    <w:rsid w:val="3E740A63"/>
    <w:rsid w:val="3E78745D"/>
    <w:rsid w:val="3EE17838"/>
    <w:rsid w:val="3F55381A"/>
    <w:rsid w:val="3F7F7599"/>
    <w:rsid w:val="3FF4CAE0"/>
    <w:rsid w:val="3FF7B227"/>
    <w:rsid w:val="42B74801"/>
    <w:rsid w:val="44E268DA"/>
    <w:rsid w:val="450D13D7"/>
    <w:rsid w:val="45506656"/>
    <w:rsid w:val="486A6C7A"/>
    <w:rsid w:val="4A627F82"/>
    <w:rsid w:val="4B0E749A"/>
    <w:rsid w:val="4B2477C4"/>
    <w:rsid w:val="4B4F25DA"/>
    <w:rsid w:val="4BE068DB"/>
    <w:rsid w:val="4D577224"/>
    <w:rsid w:val="4DBF1CEB"/>
    <w:rsid w:val="4DEF3AFF"/>
    <w:rsid w:val="4DF0007C"/>
    <w:rsid w:val="4EAB630A"/>
    <w:rsid w:val="4ECE2238"/>
    <w:rsid w:val="4F833267"/>
    <w:rsid w:val="4FE9BD67"/>
    <w:rsid w:val="4FFB052F"/>
    <w:rsid w:val="537E6D0A"/>
    <w:rsid w:val="53DB597C"/>
    <w:rsid w:val="53EC3EA1"/>
    <w:rsid w:val="53F74C96"/>
    <w:rsid w:val="55170BA8"/>
    <w:rsid w:val="553218C9"/>
    <w:rsid w:val="55716C64"/>
    <w:rsid w:val="567E1AA5"/>
    <w:rsid w:val="56E47B74"/>
    <w:rsid w:val="57175D52"/>
    <w:rsid w:val="57BD3DD4"/>
    <w:rsid w:val="597FA85A"/>
    <w:rsid w:val="5AF92295"/>
    <w:rsid w:val="5B0B321D"/>
    <w:rsid w:val="5B250254"/>
    <w:rsid w:val="5BDD79E6"/>
    <w:rsid w:val="5BF561CA"/>
    <w:rsid w:val="5BFF5DFC"/>
    <w:rsid w:val="5CD71FC4"/>
    <w:rsid w:val="5D1F11B5"/>
    <w:rsid w:val="5D695134"/>
    <w:rsid w:val="5DAE1B18"/>
    <w:rsid w:val="5DE7D9E5"/>
    <w:rsid w:val="5ECEC941"/>
    <w:rsid w:val="5FBF9FF3"/>
    <w:rsid w:val="5FCD4E2C"/>
    <w:rsid w:val="5FEF394A"/>
    <w:rsid w:val="5FF67715"/>
    <w:rsid w:val="61B1526B"/>
    <w:rsid w:val="62BF3928"/>
    <w:rsid w:val="63B3701E"/>
    <w:rsid w:val="647F5392"/>
    <w:rsid w:val="65E66580"/>
    <w:rsid w:val="664B1D71"/>
    <w:rsid w:val="664B4E8E"/>
    <w:rsid w:val="67277B67"/>
    <w:rsid w:val="67AA3209"/>
    <w:rsid w:val="698D0931"/>
    <w:rsid w:val="6A7FE5F3"/>
    <w:rsid w:val="6B053271"/>
    <w:rsid w:val="6BDD78B3"/>
    <w:rsid w:val="6C4A05C8"/>
    <w:rsid w:val="6C8742B8"/>
    <w:rsid w:val="6D7D0DA5"/>
    <w:rsid w:val="6DBF5E93"/>
    <w:rsid w:val="6DFF077E"/>
    <w:rsid w:val="6E714EF0"/>
    <w:rsid w:val="6E7E3605"/>
    <w:rsid w:val="6E7FDCC7"/>
    <w:rsid w:val="6ED6A62E"/>
    <w:rsid w:val="6EE00B15"/>
    <w:rsid w:val="6F37E9A0"/>
    <w:rsid w:val="6F6FB3EB"/>
    <w:rsid w:val="6F8731EA"/>
    <w:rsid w:val="6FCE6052"/>
    <w:rsid w:val="6FD57C00"/>
    <w:rsid w:val="6FE710F2"/>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726995"/>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BF7776F"/>
    <w:rsid w:val="7C1F3737"/>
    <w:rsid w:val="7CBFC87B"/>
    <w:rsid w:val="7CFE0F48"/>
    <w:rsid w:val="7D272ABC"/>
    <w:rsid w:val="7D7EC23E"/>
    <w:rsid w:val="7E8ADEBF"/>
    <w:rsid w:val="7EEF11D3"/>
    <w:rsid w:val="7EFC99FF"/>
    <w:rsid w:val="7EFE4840"/>
    <w:rsid w:val="7F0971A6"/>
    <w:rsid w:val="7F1D62E7"/>
    <w:rsid w:val="7F3F679B"/>
    <w:rsid w:val="7F4FC4EF"/>
    <w:rsid w:val="7F57AA02"/>
    <w:rsid w:val="7F5E4D54"/>
    <w:rsid w:val="7F6E0135"/>
    <w:rsid w:val="7F79F205"/>
    <w:rsid w:val="7FA30C79"/>
    <w:rsid w:val="7FA79C44"/>
    <w:rsid w:val="7FAF8ABF"/>
    <w:rsid w:val="7FB7269E"/>
    <w:rsid w:val="7FC96657"/>
    <w:rsid w:val="7FDA9588"/>
    <w:rsid w:val="7FDF220F"/>
    <w:rsid w:val="7FEDC5F7"/>
    <w:rsid w:val="7FEDD9DE"/>
    <w:rsid w:val="7FF5890D"/>
    <w:rsid w:val="7FF93490"/>
    <w:rsid w:val="7FFC7ABE"/>
    <w:rsid w:val="99FF2014"/>
    <w:rsid w:val="A6DD0D7F"/>
    <w:rsid w:val="ACFF4FBB"/>
    <w:rsid w:val="ADC6F725"/>
    <w:rsid w:val="B1FEB690"/>
    <w:rsid w:val="B7CF06AB"/>
    <w:rsid w:val="B7CFA926"/>
    <w:rsid w:val="B7F8786B"/>
    <w:rsid w:val="BABB6AA1"/>
    <w:rsid w:val="BB2F4199"/>
    <w:rsid w:val="BCFFB442"/>
    <w:rsid w:val="BD079C78"/>
    <w:rsid w:val="BD733540"/>
    <w:rsid w:val="BF3735D5"/>
    <w:rsid w:val="BF7F09AC"/>
    <w:rsid w:val="BFD475C3"/>
    <w:rsid w:val="BFDE5EA6"/>
    <w:rsid w:val="BFEFBFB0"/>
    <w:rsid w:val="BFFD3CDA"/>
    <w:rsid w:val="CB9F38E0"/>
    <w:rsid w:val="CF3BB833"/>
    <w:rsid w:val="CF6FC6F3"/>
    <w:rsid w:val="CFD3D3D7"/>
    <w:rsid w:val="CFDF1009"/>
    <w:rsid w:val="D7D7B16A"/>
    <w:rsid w:val="D8D6DB89"/>
    <w:rsid w:val="DB6F4CAB"/>
    <w:rsid w:val="DB777682"/>
    <w:rsid w:val="DD1FB521"/>
    <w:rsid w:val="DEFBFEAE"/>
    <w:rsid w:val="DF1F3B80"/>
    <w:rsid w:val="DF6F9789"/>
    <w:rsid w:val="DFE9BE81"/>
    <w:rsid w:val="DFFFA9E8"/>
    <w:rsid w:val="E4C79CEC"/>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4FF7CBD"/>
    <w:rsid w:val="FA5F1E70"/>
    <w:rsid w:val="FA5FDB97"/>
    <w:rsid w:val="FAA7D222"/>
    <w:rsid w:val="FB7F486A"/>
    <w:rsid w:val="FBBBA523"/>
    <w:rsid w:val="FBFF5B2E"/>
    <w:rsid w:val="FD5A312B"/>
    <w:rsid w:val="FD7FFE2B"/>
    <w:rsid w:val="FDBFCD0C"/>
    <w:rsid w:val="FDEE196B"/>
    <w:rsid w:val="FDFE6575"/>
    <w:rsid w:val="FEDFDDC2"/>
    <w:rsid w:val="FEED32F6"/>
    <w:rsid w:val="FEF781DD"/>
    <w:rsid w:val="FF3F7E3F"/>
    <w:rsid w:val="FFBA12D7"/>
    <w:rsid w:val="FFBD2201"/>
    <w:rsid w:val="FFCBD314"/>
    <w:rsid w:val="FFDFF91C"/>
    <w:rsid w:val="FFDFFAEE"/>
    <w:rsid w:val="FFEF6777"/>
    <w:rsid w:val="FFF9B57B"/>
    <w:rsid w:val="FFFD61D9"/>
    <w:rsid w:val="FFFD8F59"/>
    <w:rsid w:val="FFFE7101"/>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2"/>
    <w:qFormat/>
    <w:uiPriority w:val="9"/>
    <w:rPr>
      <w:rFonts w:ascii="Times New Roman" w:hAnsi="Times New Roman"/>
      <w:b/>
      <w:bCs/>
      <w:kern w:val="44"/>
      <w:sz w:val="44"/>
      <w:szCs w:val="44"/>
    </w:rPr>
  </w:style>
  <w:style w:type="character" w:customStyle="1" w:styleId="30">
    <w:name w:val="标题 2 Char"/>
    <w:basedOn w:val="17"/>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4"/>
    <w:qFormat/>
    <w:uiPriority w:val="9"/>
    <w:rPr>
      <w:rFonts w:ascii="Times New Roman" w:hAnsi="Times New Roman"/>
      <w:b/>
      <w:bCs/>
      <w:kern w:val="2"/>
      <w:sz w:val="32"/>
      <w:szCs w:val="32"/>
    </w:rPr>
  </w:style>
  <w:style w:type="paragraph" w:customStyle="1" w:styleId="34">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6">
    <w:name w:val="WPSOffice手动目录 1"/>
    <w:qFormat/>
    <w:uiPriority w:val="0"/>
    <w:pPr>
      <w:ind w:leftChars="0"/>
    </w:pPr>
    <w:rPr>
      <w:rFonts w:asciiTheme="minorHAnsi" w:hAnsiTheme="minorHAnsi" w:eastAsiaTheme="minorEastAsia" w:cstheme="minorBidi"/>
      <w:sz w:val="20"/>
      <w:szCs w:val="20"/>
    </w:rPr>
  </w:style>
  <w:style w:type="paragraph" w:customStyle="1" w:styleId="37">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6" Type="http://schemas.microsoft.com/office/2011/relationships/chartColorStyle" Target="colors1.xml"/><Relationship Id="rId5" Type="http://schemas.microsoft.com/office/2011/relationships/chartStyle" Target="style1.xml"/><Relationship Id="rId4" Type="http://schemas.openxmlformats.org/officeDocument/2006/relationships/image" Target="../media/image2.png"/><Relationship Id="rId3" Type="http://schemas.openxmlformats.org/officeDocument/2006/relationships/image" Target="../media/image1.png"/><Relationship Id="rId2" Type="http://schemas.openxmlformats.org/officeDocument/2006/relationships/themeOverride" Target="../theme/themeOverride1.xml"/><Relationship Id="rId1" Type="http://schemas.openxmlformats.org/officeDocument/2006/relationships/oleObject" Target="file:///C:\Users\pc\Desktop\2024&#24180;&#20915;&#31639;&#20844;&#24320;\&#25991;&#20214;4.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c\Desktop\2024&#24180;&#20915;&#31639;&#20844;&#24320;\&#25991;&#20214;4.xls"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oleObject" Target="file:///C:\Users\pc\Desktop\2024&#24180;&#20915;&#31639;&#20844;&#24320;\&#25991;&#20214;4.xls" TargetMode="External"/></Relationships>
</file>

<file path=word/charts/_rels/chart4.xml.rels><?xml version="1.0" encoding="UTF-8" standalone="yes"?>
<Relationships xmlns="http://schemas.openxmlformats.org/package/2006/relationships"><Relationship Id="rId5" Type="http://schemas.microsoft.com/office/2011/relationships/chartColorStyle" Target="colors3.xml"/><Relationship Id="rId4" Type="http://schemas.microsoft.com/office/2011/relationships/chartStyle" Target="style3.xml"/><Relationship Id="rId3" Type="http://schemas.openxmlformats.org/officeDocument/2006/relationships/image" Target="../media/image3.png"/><Relationship Id="rId2" Type="http://schemas.openxmlformats.org/officeDocument/2006/relationships/themeOverride" Target="../theme/themeOverride3.xml"/><Relationship Id="rId1" Type="http://schemas.openxmlformats.org/officeDocument/2006/relationships/oleObject" Target="file:///C:\Users\pc\Desktop\2024&#24180;&#20915;&#31639;&#20844;&#24320;\&#25991;&#20214;4.xls" TargetMode="External"/></Relationships>
</file>

<file path=word/charts/_rels/chart5.xml.rels><?xml version="1.0" encoding="UTF-8" standalone="yes"?>
<Relationships xmlns="http://schemas.openxmlformats.org/package/2006/relationships"><Relationship Id="rId5" Type="http://schemas.microsoft.com/office/2011/relationships/chartColorStyle" Target="colors4.xml"/><Relationship Id="rId4" Type="http://schemas.microsoft.com/office/2011/relationships/chartStyle" Target="style4.xml"/><Relationship Id="rId3" Type="http://schemas.openxmlformats.org/officeDocument/2006/relationships/image" Target="../media/image4.png"/><Relationship Id="rId2" Type="http://schemas.openxmlformats.org/officeDocument/2006/relationships/themeOverride" Target="../theme/themeOverride4.xml"/><Relationship Id="rId1" Type="http://schemas.openxmlformats.org/officeDocument/2006/relationships/oleObject" Target="file:///C:\Users\pc\Desktop\2024&#24180;&#20915;&#31639;&#20844;&#24320;\&#25991;&#20214;4.xls" TargetMode="External"/></Relationships>
</file>

<file path=word/charts/_rels/chart6.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5.xml"/><Relationship Id="rId1" Type="http://schemas.openxmlformats.org/officeDocument/2006/relationships/oleObject" Target="file:///C:\Users\pc\Desktop\2024&#24180;&#20915;&#31639;&#20844;&#24320;\&#25991;&#20214;4.xls" TargetMode="External"/></Relationships>
</file>

<file path=word/charts/_rels/chart7.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6.xml"/><Relationship Id="rId1" Type="http://schemas.openxmlformats.org/officeDocument/2006/relationships/oleObject" Target="file:///C:\Users\pc\Desktop\2024&#24180;&#20915;&#31639;&#20844;&#24320;\&#25991;&#20214;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a:defRPr lang="zh-CN" sz="14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收入、支出决算总计变动情况图</a:t>
            </a:r>
          </a:p>
        </c:rich>
      </c:tx>
      <c:layout/>
      <c:overlay val="false"/>
      <c:spPr>
        <a:noFill/>
        <a:ln>
          <a:noFill/>
        </a:ln>
        <a:effectLst/>
      </c:spPr>
    </c:title>
    <c:autoTitleDeleted val="false"/>
    <c:plotArea>
      <c:layout/>
      <c:barChart>
        <c:barDir val="col"/>
        <c:grouping val="clustered"/>
        <c:varyColors val="false"/>
        <c:ser>
          <c:idx val="0"/>
          <c:order val="0"/>
          <c:spPr>
            <a:blipFill rotWithShape="true">
              <a:blip xmlns:r="http://schemas.openxmlformats.org/officeDocument/2006/relationships" r:embed="rId3">
                <a:duotone>
                  <a:schemeClr val="accent1"/>
                  <a:prstClr val="white"/>
                </a:duotone>
              </a:blip>
              <a:stretch>
                <a:fillRect/>
              </a:stretch>
            </a:blipFill>
            <a:ln>
              <a:noFill/>
            </a:ln>
            <a:effectLst>
              <a:outerShdw blurRad="76200" dir="18900000" sy="23000" kx="-1200000" algn="bl" rotWithShape="0">
                <a:prstClr val="black">
                  <a:alpha val="10000"/>
                </a:prstClr>
              </a:outerShdw>
            </a:effectLst>
          </c:spPr>
          <c:invertIfNegative val="false"/>
          <c:dPt>
            <c:idx val="0"/>
            <c:invertIfNegative val="false"/>
            <c:bubble3D val="false"/>
            <c:spPr>
              <a:blipFill rotWithShape="true">
                <a:blip xmlns:r="http://schemas.openxmlformats.org/officeDocument/2006/relationships" r:embed="rId4">
                  <a:duotone>
                    <a:schemeClr val="accent1"/>
                    <a:prstClr val="white"/>
                  </a:duotone>
                </a:blip>
                <a:stretch>
                  <a:fillRect/>
                </a:stretch>
              </a:blipFill>
              <a:ln>
                <a:noFill/>
              </a:ln>
              <a:effectLst>
                <a:outerShdw blurRad="76200" dir="18900000" sy="23000" kx="-1200000" algn="bl" rotWithShape="0">
                  <a:prstClr val="black">
                    <a:alpha val="10000"/>
                  </a:prstClr>
                </a:outerShdw>
              </a:effectLst>
            </c:spPr>
          </c:dPt>
          <c:dPt>
            <c:idx val="1"/>
            <c:invertIfNegative val="false"/>
            <c:bubble3D val="false"/>
            <c:spPr>
              <a:blipFill rotWithShape="true">
                <a:blip xmlns:r="http://schemas.openxmlformats.org/officeDocument/2006/relationships" r:embed="rId4">
                  <a:duotone>
                    <a:schemeClr val="accent2"/>
                    <a:prstClr val="white"/>
                  </a:duotone>
                </a:blip>
                <a:stretch>
                  <a:fillRect/>
                </a:stretch>
              </a:blipFill>
              <a:ln>
                <a:noFill/>
              </a:ln>
              <a:effectLst>
                <a:outerShdw blurRad="76200" dir="18900000" sy="23000" kx="-1200000" algn="bl" rotWithShape="0">
                  <a:prstClr val="black">
                    <a:alpha val="10000"/>
                  </a:prstClr>
                </a:outerShdw>
              </a:effectLst>
            </c:spPr>
          </c:dPt>
          <c:dLbls>
            <c:dLbl>
              <c:idx val="0"/>
              <c:layout/>
              <c:tx>
                <c:rich>
                  <a:bodyPr rot="0" spcFirstLastPara="0" vertOverflow="ellipsis" vert="horz" wrap="square" lIns="39370" tIns="0" rIns="38100" bIns="0" anchor="ctr" anchorCtr="true" forceAA="false"/>
                  <a:lstStyle/>
                  <a:p>
                    <a:pPr defTabSz="914400">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4682.18万元</a:t>
                    </a:r>
                  </a:p>
                </c:rich>
              </c:tx>
              <c:numFmt formatCode="General" sourceLinked="true"/>
              <c:spPr>
                <a:solidFill>
                  <a:schemeClr val="accent1"/>
                </a:solidFill>
                <a:ln>
                  <a:noFill/>
                </a:ln>
                <a:effectLst/>
              </c:spPr>
              <c:txPr>
                <a:bodyPr rot="0" spcFirstLastPara="0" vertOverflow="ellipsis" vert="horz" wrap="square" lIns="39370" tIns="0" rIns="38100" bIns="0" anchor="ctr" anchorCtr="true" forceAA="false"/>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false"/>
              <c:showVal val="true"/>
              <c:showCatName val="false"/>
              <c:showSerName val="false"/>
              <c:showPercent val="false"/>
              <c:showBubbleSize val="false"/>
              <c:extLst>
                <c:ext xmlns:c15="http://schemas.microsoft.com/office/drawing/2012/chart" uri="{CE6537A1-D6FC-4f65-9D91-7224C49458BB}"/>
              </c:extLst>
            </c:dLbl>
            <c:dLbl>
              <c:idx val="1"/>
              <c:layout/>
              <c:tx>
                <c:rich>
                  <a:bodyPr rot="0" spcFirstLastPara="0" vertOverflow="ellipsis" vert="horz" wrap="square" lIns="39370" tIns="0" rIns="38100" bIns="0" anchor="ctr" anchorCtr="true" forceAA="false"/>
                  <a:lstStyle/>
                  <a:p>
                    <a:pPr defTabSz="914400">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4472</a:t>
                    </a:r>
                    <a:r>
                      <a:rPr lang="en-US" altLang="zh-CN"/>
                      <a:t>.50</a:t>
                    </a:r>
                    <a:r>
                      <a:t>万元</a:t>
                    </a:r>
                  </a:p>
                </c:rich>
              </c:tx>
              <c:numFmt formatCode="General" sourceLinked="true"/>
              <c:spPr>
                <a:solidFill>
                  <a:schemeClr val="accent2"/>
                </a:solidFill>
                <a:ln>
                  <a:noFill/>
                </a:ln>
                <a:effectLst/>
              </c:spPr>
              <c:txPr>
                <a:bodyPr rot="0" spcFirstLastPara="0" vertOverflow="ellipsis" vert="horz" wrap="square" lIns="39370" tIns="0" rIns="38100" bIns="0" anchor="ctr" anchorCtr="true" forceAA="false"/>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false"/>
              <c:showVal val="true"/>
              <c:showCatName val="false"/>
              <c:showSerName val="false"/>
              <c:showPercent val="false"/>
              <c:showBubbleSize val="false"/>
              <c:extLst>
                <c:ext xmlns:c15="http://schemas.microsoft.com/office/drawing/2012/chart" uri="{CE6537A1-D6FC-4f65-9D91-7224C49458BB}"/>
              </c:extLst>
            </c:dLbl>
            <c:numFmt formatCode="General" sourceLinked="true"/>
            <c:spPr>
              <a:noFill/>
              <a:ln>
                <a:noFill/>
              </a:ln>
              <a:effectLst/>
            </c:spPr>
            <c:txPr>
              <a:bodyPr rot="0" spcFirstLastPara="0" vertOverflow="ellipsis" vert="horz" wrap="square" lIns="39370" tIns="0" rIns="38100" bIns="0" anchor="ctr" anchorCtr="true" forceAA="false"/>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[文件4.xls]工作表2!$A$1:$A$2</c:f>
              <c:strCache>
                <c:ptCount val="2"/>
                <c:pt idx="0">
                  <c:v>2023年</c:v>
                </c:pt>
                <c:pt idx="1">
                  <c:v>2024年</c:v>
                </c:pt>
              </c:strCache>
            </c:strRef>
          </c:cat>
          <c:val>
            <c:numRef>
              <c:f>[文件4.xls]工作表2!$B$1:$B$2</c:f>
              <c:numCache>
                <c:formatCode>General</c:formatCode>
                <c:ptCount val="2"/>
                <c:pt idx="0">
                  <c:v>4682.18</c:v>
                </c:pt>
                <c:pt idx="1" c:formatCode="0.00_ ">
                  <c:v>4472.5</c:v>
                </c:pt>
              </c:numCache>
            </c:numRef>
          </c:val>
        </c:ser>
        <c:dLbls>
          <c:showLegendKey val="false"/>
          <c:showVal val="true"/>
          <c:showCatName val="false"/>
          <c:showSerName val="false"/>
          <c:showPercent val="false"/>
          <c:showBubbleSize val="false"/>
        </c:dLbls>
        <c:gapWidth val="152"/>
        <c:overlap val="-21"/>
        <c:axId val="783466218"/>
        <c:axId val="949695930"/>
      </c:barChart>
      <c:catAx>
        <c:axId val="783466218"/>
        <c:scaling>
          <c:orientation val="minMax"/>
        </c:scaling>
        <c:delete val="false"/>
        <c:axPos val="b"/>
        <c:majorGridlines>
          <c:spPr>
            <a:ln w="6350" cap="flat" cmpd="sng" algn="ctr">
              <a:solidFill>
                <a:schemeClr val="tx1">
                  <a:lumMod val="50000"/>
                  <a:lumOff val="50000"/>
                  <a:alpha val="25000"/>
                </a:schemeClr>
              </a:solidFill>
              <a:round/>
            </a:ln>
            <a:effectLst/>
          </c:spPr>
        </c:majorGridlines>
        <c:numFmt formatCode="General" sourceLinked="true"/>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true" forceAA="false"/>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949695930"/>
        <c:crosses val="autoZero"/>
        <c:auto val="true"/>
        <c:lblAlgn val="ctr"/>
        <c:lblOffset val="100"/>
        <c:noMultiLvlLbl val="false"/>
      </c:catAx>
      <c:valAx>
        <c:axId val="949695930"/>
        <c:scaling>
          <c:orientation val="minMax"/>
        </c:scaling>
        <c:delete val="true"/>
        <c:axPos val="l"/>
        <c:numFmt formatCode="General" sourceLinked="true"/>
        <c:majorTickMark val="none"/>
        <c:minorTickMark val="none"/>
        <c:tickLblPos val="nextTo"/>
        <c:txPr>
          <a:bodyPr rot="-60000000" spcFirstLastPara="0" vertOverflow="ellipsis" vert="horz" wrap="square" anchor="ctr" anchorCtr="true" forceAA="false"/>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783466218"/>
        <c:crosses val="autoZero"/>
        <c:crossBetween val="between"/>
      </c:valAx>
      <c:spPr>
        <a:noFill/>
        <a:ln>
          <a:noFill/>
        </a:ln>
        <a:effectLst/>
      </c:spPr>
    </c:plotArea>
    <c:legend>
      <c:legendPos val="t"/>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true"/>
    <c:dispBlanksAs val="gap"/>
    <c:showDLblsOverMax val="false"/>
  </c:chart>
  <c:spPr>
    <a:solidFill>
      <a:schemeClr val="bg1"/>
    </a:solidFill>
    <a:ln w="6350" cap="flat" cmpd="sng" algn="ctr">
      <a:solidFill>
        <a:schemeClr val="tx1">
          <a:lumMod val="50000"/>
          <a:lumOff val="50000"/>
          <a:alpha val="25000"/>
        </a:schemeClr>
      </a:solidFill>
      <a:round/>
    </a:ln>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endParaRPr sz="1400" b="1" i="0" u="none" strike="noStrike" baseline="0">
              <a:solidFill>
                <a:srgbClr val="404040">
                  <a:alpha val="100000"/>
                </a:srgbClr>
              </a:solidFill>
              <a:latin typeface="宋体" charset="-122"/>
              <a:ea typeface="宋体" charset="-122"/>
              <a:cs typeface="宋体" charset="-122"/>
            </a:endParaRPr>
          </a:p>
        </c:rich>
      </c:tx>
      <c:layout/>
      <c:overlay val="false"/>
      <c:spPr>
        <a:noFill/>
        <a:ln>
          <a:noFill/>
        </a:ln>
        <a:effectLst/>
      </c:spPr>
    </c:title>
    <c:autoTitleDeleted val="false"/>
    <c:plotArea>
      <c:layout/>
      <c:pieChart>
        <c:varyColors val="true"/>
        <c:ser>
          <c:idx val="0"/>
          <c:order val="0"/>
          <c:tx>
            <c:strRef>
              <c:f>[文件4.xls]工作表2!$A$4</c:f>
              <c:strCache>
                <c:ptCount val="1"/>
                <c:pt idx="0">
                  <c:v>一般公共预算财政拨款收入</c:v>
                </c:pt>
              </c:strCache>
            </c:strRef>
          </c:tx>
          <c:spPr>
            <a:ln w="19050">
              <a:noFill/>
            </a:ln>
            <a:sp3d contourW="9525"/>
          </c:spPr>
          <c:explosion val="0"/>
          <c:dPt>
            <c:idx val="0"/>
            <c:bubble3D val="false"/>
            <c:explosion val="0"/>
            <c:spPr>
              <a:solidFill>
                <a:schemeClr val="accent1"/>
              </a:solidFill>
              <a:ln w="19050">
                <a:noFill/>
              </a:ln>
              <a:effectLst/>
              <a:sp3d contourW="9525"/>
            </c:spPr>
          </c:dPt>
          <c:dLbls>
            <c:dLbl>
              <c:idx val="0"/>
              <c:layout>
                <c:manualLayout>
                  <c:x val="0.00385499712791235"/>
                  <c:y val="-0.264992669307794"/>
                </c:manualLayout>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lumMod val="75000"/>
                            <a:lumOff val="25000"/>
                          </a:schemeClr>
                        </a:solidFill>
                        <a:latin typeface="+mn-lt"/>
                        <a:ea typeface="+mn-ea"/>
                        <a:cs typeface="+mn-cs"/>
                      </a:defRPr>
                    </a:pPr>
                    <a:r>
                      <a:rPr sz="1000" b="0" i="0" u="none" strike="noStrike" baseline="0">
                        <a:solidFill>
                          <a:srgbClr val="3F3F3F"/>
                        </a:solidFill>
                        <a:latin typeface="宋体" charset="-122"/>
                        <a:ea typeface="宋体" charset="-122"/>
                        <a:cs typeface="宋体" charset="-122"/>
                      </a:rPr>
                      <a:t>一般公共预算财政拨款收入</a:t>
                    </a:r>
                    <a:r>
                      <a:rPr lang="en-US" altLang="zh-CN" sz="1000" b="0" i="0" u="none" strike="noStrike" baseline="0">
                        <a:solidFill>
                          <a:srgbClr val="3F3F3F"/>
                        </a:solidFill>
                        <a:latin typeface="宋体" charset="-122"/>
                        <a:ea typeface="宋体" charset="-122"/>
                        <a:cs typeface="宋体" charset="-122"/>
                      </a:rPr>
                      <a:t>4451.26</a:t>
                    </a:r>
                    <a:r>
                      <a:rPr altLang="en-US" sz="1000" b="0" i="0" u="none" strike="noStrike" baseline="0">
                        <a:solidFill>
                          <a:srgbClr val="3F3F3F"/>
                        </a:solidFill>
                        <a:latin typeface="宋体" charset="-122"/>
                        <a:ea typeface="宋体" charset="-122"/>
                        <a:cs typeface="宋体" charset="-122"/>
                      </a:rPr>
                      <a:t>万元</a:t>
                    </a:r>
                    <a:r>
                      <a:rPr lang="en-US" altLang="zh-CN" sz="1000" b="0" i="0" u="none" strike="noStrike" baseline="0">
                        <a:solidFill>
                          <a:srgbClr val="3F3F3F"/>
                        </a:solidFill>
                        <a:latin typeface="Calibri" panose="020F0502020204030204" pitchFamily="2" charset="0"/>
                        <a:ea typeface="Calibri" panose="020F0502020204030204" pitchFamily="2" charset="0"/>
                        <a:cs typeface="Calibri" panose="020F0502020204030204" pitchFamily="2" charset="0"/>
                      </a:rPr>
                      <a:t>,</a:t>
                    </a:r>
                    <a:r>
                      <a:rPr altLang="en-US" sz="1000" b="0" i="0" u="none" strike="noStrike" baseline="0">
                        <a:solidFill>
                          <a:srgbClr val="3F3F3F"/>
                        </a:solidFill>
                        <a:latin typeface="宋体" charset="-122"/>
                        <a:ea typeface="宋体" charset="-122"/>
                        <a:cs typeface="宋体" charset="-122"/>
                      </a:rPr>
                      <a:t>占本年收入</a:t>
                    </a:r>
                    <a:r>
                      <a:rPr sz="1000" b="0" i="0" u="none" strike="noStrike" baseline="0">
                        <a:solidFill>
                          <a:srgbClr val="3F3F3F"/>
                        </a:solidFill>
                        <a:latin typeface="宋体" charset="-122"/>
                        <a:ea typeface="宋体" charset="-122"/>
                        <a:cs typeface="宋体" charset="-122"/>
                      </a:rPr>
                      <a:t>100%</a:t>
                    </a:r>
                    <a:endParaRPr sz="1200" b="0" i="0" u="none" strike="noStrike" baseline="0">
                      <a:solidFill>
                        <a:srgbClr val="000000"/>
                      </a:solidFill>
                      <a:latin typeface="永中宋体" panose="02010600030101010101" charset="-122"/>
                      <a:ea typeface="永中宋体" panose="02010600030101010101" charset="-122"/>
                      <a:cs typeface="永中宋体" panose="02010600030101010101" charset="-122"/>
                    </a:endParaRPr>
                  </a:p>
                </c:rich>
              </c:tx>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manualLayout>
                      <c:w val="0.331313743310108"/>
                      <c:h val="0.23605646841009"/>
                    </c:manualLayout>
                  </c15:layout>
                </c:ext>
              </c:extLst>
            </c:dLbl>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true"/>
            <c:showSerName val="false"/>
            <c:showPercent val="true"/>
            <c:showBubbleSize val="false"/>
            <c:separator>
</c:separator>
            <c:showLeaderLines val="true"/>
            <c:extLst>
              <c:ext xmlns:c15="http://schemas.microsoft.com/office/drawing/2012/chart" uri="{CE6537A1-D6FC-4f65-9D91-7224C49458BB}">
                <c15:layout/>
                <c15:showLeaderLines val="true"/>
                <c15:leaderLines>
                  <c:spPr>
                    <a:ln w="9525" cap="flat" cmpd="sng" algn="ctr">
                      <a:solidFill>
                        <a:srgbClr val="A5A5A5">
                          <a:alpha val="100000"/>
                        </a:srgbClr>
                      </a:solidFill>
                      <a:prstDash val="solid"/>
                      <a:round/>
                    </a:ln>
                  </c:spPr>
                </c15:leaderLines>
              </c:ext>
            </c:extLst>
          </c:dLbls>
          <c:val>
            <c:numRef>
              <c:f>[文件4.xls]工作表2!$B$4</c:f>
              <c:numCache>
                <c:formatCode>General</c:formatCode>
                <c:ptCount val="1"/>
                <c:pt idx="0">
                  <c:v>4451.26</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a:defRPr lang="zh-CN" sz="14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支出决算结构图</a:t>
            </a:r>
          </a:p>
        </c:rich>
      </c:tx>
      <c:layout/>
      <c:overlay val="false"/>
      <c:spPr>
        <a:noFill/>
        <a:ln>
          <a:noFill/>
        </a:ln>
        <a:effectLst/>
      </c:spPr>
    </c:title>
    <c:autoTitleDeleted val="false"/>
    <c:plotArea>
      <c:layout>
        <c:manualLayout>
          <c:layoutTarget val="inner"/>
          <c:xMode val="edge"/>
          <c:yMode val="edge"/>
          <c:x val="0.0854736842105263"/>
          <c:y val="0.265677892918826"/>
          <c:w val="0.829052631578947"/>
          <c:h val="0.689067357512953"/>
        </c:manualLayout>
      </c:layout>
      <c:pieChart>
        <c:varyColors val="true"/>
        <c:ser>
          <c:idx val="0"/>
          <c:order val="0"/>
          <c:spPr>
            <a:solidFill>
              <a:schemeClr val="accent1">
                <a:lumMod val="20000"/>
                <a:lumOff val="80000"/>
              </a:schemeClr>
            </a:solidFill>
            <a:ln w="25400">
              <a:solidFill>
                <a:schemeClr val="accent1"/>
              </a:solidFill>
            </a:ln>
          </c:spPr>
          <c:explosion val="0"/>
          <c:dPt>
            <c:idx val="0"/>
            <c:bubble3D val="false"/>
            <c:spPr>
              <a:solidFill>
                <a:schemeClr val="accent1">
                  <a:lumMod val="20000"/>
                  <a:lumOff val="80000"/>
                </a:schemeClr>
              </a:solidFill>
              <a:ln w="25400">
                <a:solidFill>
                  <a:schemeClr val="accent1"/>
                </a:solidFill>
              </a:ln>
              <a:effectLst/>
            </c:spPr>
          </c:dPt>
          <c:dPt>
            <c:idx val="1"/>
            <c:bubble3D val="false"/>
            <c:spPr>
              <a:solidFill>
                <a:schemeClr val="accent2">
                  <a:lumMod val="20000"/>
                  <a:lumOff val="80000"/>
                </a:schemeClr>
              </a:solidFill>
              <a:ln w="25400">
                <a:solidFill>
                  <a:schemeClr val="accent2"/>
                </a:solidFill>
              </a:ln>
              <a:effectLst/>
            </c:spPr>
          </c:dPt>
          <c:dPt>
            <c:idx val="2"/>
            <c:bubble3D val="false"/>
            <c:spPr>
              <a:solidFill>
                <a:schemeClr val="accent3">
                  <a:lumMod val="20000"/>
                  <a:lumOff val="80000"/>
                </a:schemeClr>
              </a:solidFill>
              <a:ln w="25400">
                <a:solidFill>
                  <a:schemeClr val="accent3"/>
                </a:solidFill>
              </a:ln>
              <a:effectLst/>
            </c:spPr>
          </c:dPt>
          <c:dPt>
            <c:idx val="3"/>
            <c:bubble3D val="false"/>
            <c:spPr>
              <a:solidFill>
                <a:schemeClr val="accent4">
                  <a:lumMod val="20000"/>
                  <a:lumOff val="80000"/>
                </a:schemeClr>
              </a:solidFill>
              <a:ln w="25400">
                <a:solidFill>
                  <a:schemeClr val="accent4"/>
                </a:solidFill>
              </a:ln>
              <a:effectLst/>
            </c:spPr>
          </c:dPt>
          <c:dPt>
            <c:idx val="4"/>
            <c:bubble3D val="false"/>
            <c:spPr>
              <a:solidFill>
                <a:schemeClr val="accent5">
                  <a:lumMod val="20000"/>
                  <a:lumOff val="80000"/>
                </a:schemeClr>
              </a:solidFill>
              <a:ln w="25400">
                <a:solidFill>
                  <a:schemeClr val="accent5"/>
                </a:solidFill>
              </a:ln>
              <a:effectLst/>
            </c:spPr>
          </c:dPt>
          <c:dLbls>
            <c:dLbl>
              <c:idx val="0"/>
              <c:layout>
                <c:manualLayout>
                  <c:x val="0.112105263157895"/>
                  <c:y val="-0.0259067357512953"/>
                </c:manualLayout>
              </c:layout>
              <c:numFmt formatCode="0.00%" sourceLinked="fals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chemeClr val="accent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1"/>
              <c:layout>
                <c:manualLayout>
                  <c:x val="-0.153157894736842"/>
                  <c:y val="0.134715025906736"/>
                </c:manualLayout>
              </c:layout>
              <c:numFmt formatCode="0.00%" sourceLinked="fals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chemeClr val="accent2"/>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2"/>
              <c:layout>
                <c:manualLayout>
                  <c:x val="-0.216315789473684"/>
                  <c:y val="-0.00518134715025907"/>
                </c:manualLayout>
              </c:layout>
              <c:numFmt formatCode="0.00%" sourceLinked="fals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chemeClr val="accent3"/>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3"/>
              <c:layout>
                <c:manualLayout>
                  <c:x val="0.00947368421052632"/>
                  <c:y val="-0.0284974093264249"/>
                </c:manualLayout>
              </c:layout>
              <c:numFmt formatCode="0.00%" sourceLinked="fals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chemeClr val="accent4"/>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4"/>
              <c:layout>
                <c:manualLayout>
                  <c:x val="0.221052631578947"/>
                  <c:y val="0.0414507772020725"/>
                </c:manualLayout>
              </c:layout>
              <c:numFmt formatCode="0.00%" sourceLinked="fals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chemeClr val="accent5"/>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numFmt formatCode="0.00%" sourceLinked="fals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chemeClr val="accent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false"/>
            <c:showVal val="false"/>
            <c:showCatName val="true"/>
            <c:showSerName val="false"/>
            <c:showPercent val="true"/>
            <c:showBubbleSize val="false"/>
            <c:separator>
</c:separator>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[文件4.xls]工作表2!$A$22:$A$26</c:f>
              <c:strCache>
                <c:ptCount val="5"/>
                <c:pt idx="0">
                  <c:v>基本支出</c:v>
                </c:pt>
                <c:pt idx="1">
                  <c:v>项目支出</c:v>
                </c:pt>
                <c:pt idx="2">
                  <c:v>上缴上级支出</c:v>
                </c:pt>
                <c:pt idx="3">
                  <c:v>经营支出</c:v>
                </c:pt>
                <c:pt idx="4">
                  <c:v>对附属单位补助支出</c:v>
                </c:pt>
              </c:strCache>
            </c:strRef>
          </c:cat>
          <c:val>
            <c:numRef>
              <c:f>[文件4.xls]工作表2!$B$22:$B$26</c:f>
              <c:numCache>
                <c:formatCode>General</c:formatCode>
                <c:ptCount val="5"/>
                <c:pt idx="0">
                  <c:v>3706.69</c:v>
                </c:pt>
                <c:pt idx="1">
                  <c:v>744.08</c:v>
                </c:pt>
                <c:pt idx="2">
                  <c:v>0</c:v>
                </c:pt>
                <c:pt idx="3">
                  <c:v>0</c:v>
                </c:pt>
                <c:pt idx="4">
                  <c:v>0</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plotVisOnly val="true"/>
    <c:dispBlanksAs val="gap"/>
    <c:showDLblsOverMax val="false"/>
  </c:chart>
  <c:spPr>
    <a:solidFill>
      <a:schemeClr val="bg1"/>
    </a:solidFill>
    <a:ln w="6350" cap="flat" cmpd="sng" algn="ctr">
      <a:solidFill>
        <a:schemeClr val="tx1">
          <a:lumMod val="50000"/>
          <a:lumOff val="50000"/>
          <a:alpha val="25000"/>
        </a:schemeClr>
      </a:solidFill>
      <a:round/>
    </a:ln>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a:defRPr lang="zh-CN" sz="14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财政拨款收、支决算总计变动情况</a:t>
            </a:r>
          </a:p>
        </c:rich>
      </c:tx>
      <c:layout/>
      <c:overlay val="false"/>
      <c:spPr>
        <a:noFill/>
        <a:ln>
          <a:noFill/>
        </a:ln>
        <a:effectLst/>
      </c:spPr>
    </c:title>
    <c:autoTitleDeleted val="false"/>
    <c:plotArea>
      <c:layout>
        <c:manualLayout>
          <c:layoutTarget val="inner"/>
          <c:xMode val="edge"/>
          <c:yMode val="edge"/>
          <c:x val="0.0826169289202388"/>
          <c:y val="0.200585585585586"/>
          <c:w val="0.880315789473684"/>
          <c:h val="0.703333333333333"/>
        </c:manualLayout>
      </c:layout>
      <c:barChart>
        <c:barDir val="col"/>
        <c:grouping val="clustered"/>
        <c:varyColors val="false"/>
        <c:ser>
          <c:idx val="0"/>
          <c:order val="0"/>
          <c:spPr>
            <a:blipFill dpi="0" rotWithShape="true">
              <a:blip xmlns:r="http://schemas.openxmlformats.org/officeDocument/2006/relationships" r:embed="rId3">
                <a:alphaModFix amt="80000"/>
                <a:duotone>
                  <a:schemeClr val="accent1"/>
                  <a:prstClr val="white"/>
                </a:duotone>
              </a:blip>
              <a:srcRect/>
              <a:stretch>
                <a:fillRect/>
              </a:stretch>
            </a:blipFill>
            <a:ln>
              <a:noFill/>
            </a:ln>
            <a:effectLst/>
          </c:spPr>
          <c:invertIfNegative val="false"/>
          <c:dPt>
            <c:idx val="0"/>
            <c:invertIfNegative val="false"/>
            <c:bubble3D val="false"/>
            <c:spPr>
              <a:blipFill dpi="0" rotWithShape="true">
                <a:blip xmlns:r="http://schemas.openxmlformats.org/officeDocument/2006/relationships" r:embed="rId3">
                  <a:alphaModFix amt="80000"/>
                  <a:duotone>
                    <a:schemeClr val="accent1"/>
                    <a:prstClr val="white"/>
                  </a:duotone>
                </a:blip>
                <a:srcRect/>
                <a:stretch>
                  <a:fillRect/>
                </a:stretch>
              </a:blipFill>
              <a:ln>
                <a:noFill/>
              </a:ln>
              <a:effectLst/>
            </c:spPr>
          </c:dPt>
          <c:dPt>
            <c:idx val="1"/>
            <c:invertIfNegative val="false"/>
            <c:bubble3D val="false"/>
            <c:spPr>
              <a:blipFill dpi="0" rotWithShape="true">
                <a:blip xmlns:r="http://schemas.openxmlformats.org/officeDocument/2006/relationships" r:embed="rId3">
                  <a:alphaModFix amt="80000"/>
                  <a:duotone>
                    <a:schemeClr val="accent1"/>
                    <a:prstClr val="white"/>
                  </a:duotone>
                </a:blip>
                <a:srcRect/>
                <a:stretch>
                  <a:fillRect/>
                </a:stretch>
              </a:blipFill>
              <a:ln>
                <a:noFill/>
              </a:ln>
              <a:effectLst/>
            </c:spPr>
          </c:dPt>
          <c:dLbls>
            <c:dLbl>
              <c:idx val="0"/>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4682.18万元</a:t>
                    </a:r>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4472.50万元</a:t>
                    </a:r>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[文件4.xls]工作表2!$A$1:$A$2</c:f>
              <c:strCache>
                <c:ptCount val="2"/>
                <c:pt idx="0">
                  <c:v>2023年</c:v>
                </c:pt>
                <c:pt idx="1">
                  <c:v>2024年</c:v>
                </c:pt>
              </c:strCache>
            </c:strRef>
          </c:cat>
          <c:val>
            <c:numRef>
              <c:f>[文件4.xls]工作表2!$B$1:$B$2</c:f>
              <c:numCache>
                <c:formatCode>General</c:formatCode>
                <c:ptCount val="2"/>
                <c:pt idx="0">
                  <c:v>4682.18</c:v>
                </c:pt>
                <c:pt idx="1" c:formatCode="0.00_ ">
                  <c:v>4472.5</c:v>
                </c:pt>
              </c:numCache>
            </c:numRef>
          </c:val>
        </c:ser>
        <c:dLbls>
          <c:showLegendKey val="false"/>
          <c:showVal val="false"/>
          <c:showCatName val="false"/>
          <c:showSerName val="false"/>
          <c:showPercent val="false"/>
          <c:showBubbleSize val="false"/>
        </c:dLbls>
        <c:gapWidth val="0"/>
        <c:overlap val="43"/>
        <c:axId val="783466218"/>
        <c:axId val="949695930"/>
      </c:barChart>
      <c:catAx>
        <c:axId val="783466218"/>
        <c:scaling>
          <c:orientation val="minMax"/>
        </c:scaling>
        <c:delete val="false"/>
        <c:axPos val="b"/>
        <c:numFmt formatCode="General" sourceLinked="true"/>
        <c:majorTickMark val="none"/>
        <c:minorTickMark val="none"/>
        <c:tickLblPos val="nextTo"/>
        <c:spPr>
          <a:noFill/>
          <a:ln w="9525" cap="flat" cmpd="sng" algn="ctr">
            <a:solidFill>
              <a:schemeClr val="tx1">
                <a:lumMod val="50000"/>
                <a:lumOff val="50000"/>
                <a:alpha val="25000"/>
              </a:schemeClr>
            </a:solidFill>
            <a:round/>
          </a:ln>
          <a:effectLst/>
        </c:spPr>
        <c:txPr>
          <a:bodyPr rot="-60000000" spcFirstLastPara="0" vertOverflow="ellipsis" vert="horz" wrap="square" anchor="ctr" anchorCtr="true" forceAA="false"/>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949695930"/>
        <c:crosses val="autoZero"/>
        <c:auto val="true"/>
        <c:lblAlgn val="ctr"/>
        <c:lblOffset val="100"/>
        <c:noMultiLvlLbl val="false"/>
      </c:catAx>
      <c:valAx>
        <c:axId val="949695930"/>
        <c:scaling>
          <c:orientation val="minMax"/>
        </c:scaling>
        <c:delete val="false"/>
        <c:axPos val="l"/>
        <c:majorGridlines>
          <c:spPr>
            <a:ln w="9525" cap="flat" cmpd="sng" algn="ctr">
              <a:solidFill>
                <a:schemeClr val="tx1">
                  <a:lumMod val="50000"/>
                  <a:lumOff val="50000"/>
                  <a:alpha val="10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forceAA="false"/>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783466218"/>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a:defRPr lang="zh-CN" sz="14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一般公共预算财政拨款支出决算变动情况</a:t>
            </a:r>
          </a:p>
        </c:rich>
      </c:tx>
      <c:layout/>
      <c:overlay val="false"/>
      <c:spPr>
        <a:noFill/>
        <a:ln>
          <a:noFill/>
        </a:ln>
        <a:effectLst/>
      </c:spPr>
    </c:title>
    <c:autoTitleDeleted val="false"/>
    <c:plotArea>
      <c:layout>
        <c:manualLayout>
          <c:layoutTarget val="inner"/>
          <c:xMode val="edge"/>
          <c:yMode val="edge"/>
          <c:x val="0.0371052631578947"/>
          <c:y val="0.253703703703704"/>
          <c:w val="0.958947368421053"/>
          <c:h val="0.647546296296296"/>
        </c:manualLayout>
      </c:layout>
      <c:barChart>
        <c:barDir val="col"/>
        <c:grouping val="clustered"/>
        <c:varyColors val="false"/>
        <c:ser>
          <c:idx val="0"/>
          <c:order val="0"/>
          <c:spPr>
            <a:blipFill rotWithShape="true">
              <a:blip xmlns:r="http://schemas.openxmlformats.org/officeDocument/2006/relationships" r:embed="rId3">
                <a:duotone>
                  <a:schemeClr val="accent1"/>
                  <a:prstClr val="white"/>
                </a:duotone>
              </a:blip>
              <a:stretch>
                <a:fillRect/>
              </a:stretch>
            </a:blipFill>
            <a:ln>
              <a:noFill/>
            </a:ln>
            <a:effectLst>
              <a:outerShdw blurRad="76200" dir="13500000" sy="23000" kx="1200000" algn="br" rotWithShape="0">
                <a:prstClr val="black">
                  <a:alpha val="20000"/>
                </a:prstClr>
              </a:outerShdw>
            </a:effectLst>
          </c:spPr>
          <c:invertIfNegative val="false"/>
          <c:dPt>
            <c:idx val="1"/>
            <c:invertIfNegative val="false"/>
            <c:bubble3D val="false"/>
            <c:spPr>
              <a:blipFill rotWithShape="true">
                <a:blip xmlns:r="http://schemas.openxmlformats.org/officeDocument/2006/relationships" r:embed="rId3">
                  <a:duotone>
                    <a:schemeClr val="accent1"/>
                    <a:prstClr val="white"/>
                  </a:duotone>
                </a:blip>
                <a:stretch>
                  <a:fillRect/>
                </a:stretch>
              </a:blipFill>
              <a:ln>
                <a:noFill/>
              </a:ln>
              <a:effectLst>
                <a:outerShdw blurRad="76200" dir="18900000" sy="23000" kx="-1200000" algn="bl" rotWithShape="0">
                  <a:prstClr val="black">
                    <a:alpha val="20000"/>
                  </a:prstClr>
                </a:outerShdw>
              </a:effectLst>
            </c:spPr>
          </c:dPt>
          <c:dLbls>
            <c:dLbl>
              <c:idx val="0"/>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4660.93万元</a:t>
                    </a:r>
                  </a:p>
                </c:rich>
              </c:tx>
              <c:dLblPos val="outEnd"/>
              <c:showLegendKey val="false"/>
              <c:showVal val="true"/>
              <c:showCatName val="false"/>
              <c:showSerName val="false"/>
              <c:showPercent val="false"/>
              <c:showBubbleSize val="false"/>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4450.77万元</a:t>
                    </a:r>
                  </a:p>
                </c:rich>
              </c:tx>
              <c:dLblPos val="outEnd"/>
              <c:showLegendKey val="false"/>
              <c:showVal val="true"/>
              <c:showCatName val="false"/>
              <c:showSerName val="false"/>
              <c:showPercent val="false"/>
              <c:showBubbleSize val="false"/>
              <c:separator>
</c:separator>
              <c:extLst>
                <c:ext xmlns:c15="http://schemas.microsoft.com/office/drawing/2012/chart" uri="{CE6537A1-D6FC-4f65-9D91-7224C49458BB}"/>
              </c:extLst>
            </c:dLbl>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[文件4.xls]工作表2!$A$52:$A$53</c:f>
              <c:strCache>
                <c:ptCount val="2"/>
                <c:pt idx="0">
                  <c:v>2023年</c:v>
                </c:pt>
                <c:pt idx="1">
                  <c:v>2024年</c:v>
                </c:pt>
              </c:strCache>
            </c:strRef>
          </c:cat>
          <c:val>
            <c:numRef>
              <c:f>[文件4.xls]工作表2!$B$52:$B$53</c:f>
              <c:numCache>
                <c:formatCode>General</c:formatCode>
                <c:ptCount val="2"/>
                <c:pt idx="0">
                  <c:v>4660.93</c:v>
                </c:pt>
                <c:pt idx="1">
                  <c:v>4450.77</c:v>
                </c:pt>
              </c:numCache>
            </c:numRef>
          </c:val>
        </c:ser>
        <c:dLbls>
          <c:showLegendKey val="false"/>
          <c:showVal val="true"/>
          <c:showCatName val="false"/>
          <c:showSerName val="false"/>
          <c:showPercent val="false"/>
          <c:showBubbleSize val="false"/>
        </c:dLbls>
        <c:gapWidth val="200"/>
        <c:overlap val="-10"/>
        <c:axId val="872568273"/>
        <c:axId val="479447146"/>
      </c:barChart>
      <c:catAx>
        <c:axId val="872568273"/>
        <c:scaling>
          <c:orientation val="minMax"/>
        </c:scaling>
        <c:delete val="false"/>
        <c:axPos val="b"/>
        <c:numFmt formatCode="General" sourceLinked="true"/>
        <c:majorTickMark val="out"/>
        <c:minorTickMark val="none"/>
        <c:tickLblPos val="nextTo"/>
        <c:spPr>
          <a:noFill/>
          <a:ln w="9525" cap="flat" cmpd="sng" algn="ctr">
            <a:noFill/>
            <a:round/>
          </a:ln>
          <a:effectLst/>
        </c:spPr>
        <c:txPr>
          <a:bodyPr rot="-60000000" spcFirstLastPara="0" vertOverflow="ellipsis" vert="horz" wrap="square" anchor="ctr" anchorCtr="true" forceAA="false"/>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479447146"/>
        <c:crosses val="autoZero"/>
        <c:auto val="true"/>
        <c:lblAlgn val="ctr"/>
        <c:lblOffset val="100"/>
        <c:noMultiLvlLbl val="false"/>
      </c:catAx>
      <c:valAx>
        <c:axId val="479447146"/>
        <c:scaling>
          <c:orientation val="minMax"/>
        </c:scaling>
        <c:delete val="true"/>
        <c:axPos val="l"/>
        <c:numFmt formatCode="General" sourceLinked="true"/>
        <c:majorTickMark val="out"/>
        <c:minorTickMark val="none"/>
        <c:tickLblPos val="nextTo"/>
        <c:txPr>
          <a:bodyPr rot="-60000000" spcFirstLastPara="0" vertOverflow="ellipsis" vert="horz" wrap="square" anchor="ctr" anchorCtr="true" forceAA="false"/>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872568273"/>
        <c:crosses val="autoZero"/>
        <c:crossBetween val="between"/>
      </c:valAx>
      <c:spPr>
        <a:noFill/>
        <a:ln>
          <a:noFill/>
        </a:ln>
        <a:effectLst/>
      </c:spPr>
    </c:plotArea>
    <c:plotVisOnly val="true"/>
    <c:dispBlanksAs val="gap"/>
    <c:showDLblsOverMax val="false"/>
  </c:chart>
  <c:spPr>
    <a:solidFill>
      <a:schemeClr val="bg1"/>
    </a:solidFill>
    <a:ln w="6350"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a:defRPr lang="zh-CN" sz="1400" b="0" i="0" u="none" strike="noStrike" kern="1200" spc="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一般公共预算财政拨款支出决算结构</a:t>
            </a:r>
          </a:p>
        </c:rich>
      </c:tx>
      <c:layout>
        <c:manualLayout>
          <c:xMode val="edge"/>
          <c:yMode val="edge"/>
          <c:x val="0.217368421052632"/>
          <c:y val="0.0492275280898876"/>
        </c:manualLayout>
      </c:layout>
      <c:overlay val="false"/>
      <c:spPr>
        <a:noFill/>
        <a:ln>
          <a:noFill/>
        </a:ln>
        <a:effectLst/>
      </c:spPr>
    </c:title>
    <c:autoTitleDeleted val="false"/>
    <c:plotArea>
      <c:layout>
        <c:manualLayout>
          <c:layoutTarget val="inner"/>
          <c:xMode val="edge"/>
          <c:yMode val="edge"/>
          <c:x val="0.255065789473684"/>
          <c:y val="0.243042284922062"/>
          <c:w val="0.474078947368421"/>
          <c:h val="0.781901041666667"/>
        </c:manualLayout>
      </c:layout>
      <c:pieChart>
        <c:varyColors val="true"/>
        <c:ser>
          <c:idx val="0"/>
          <c:order val="0"/>
          <c:spPr>
            <a:ln w="31750" cmpd="dbl">
              <a:solidFill>
                <a:schemeClr val="bg1"/>
              </a:solidFill>
              <a:prstDash val="solid"/>
            </a:ln>
            <a:effectLst>
              <a:innerShdw blurRad="63500" dist="114300">
                <a:prstClr val="black">
                  <a:alpha val="50000"/>
                </a:prstClr>
              </a:innerShdw>
            </a:effectLst>
            <a:sp3d contourW="31750"/>
          </c:spPr>
          <c:explosion val="0"/>
          <c:dPt>
            <c:idx val="0"/>
            <c:bubble3D val="false"/>
            <c:spPr>
              <a:solidFill>
                <a:schemeClr val="accent1"/>
              </a:solidFill>
              <a:ln w="31750" cmpd="dbl">
                <a:solidFill>
                  <a:schemeClr val="bg1"/>
                </a:solidFill>
                <a:prstDash val="solid"/>
              </a:ln>
              <a:effectLst>
                <a:innerShdw blurRad="63500" dist="114300">
                  <a:schemeClr val="accent1">
                    <a:lumMod val="50000"/>
                    <a:alpha val="100000"/>
                  </a:schemeClr>
                </a:innerShdw>
              </a:effectLst>
              <a:sp3d contourW="31750"/>
            </c:spPr>
          </c:dPt>
          <c:dPt>
            <c:idx val="1"/>
            <c:bubble3D val="false"/>
            <c:spPr>
              <a:solidFill>
                <a:schemeClr val="accent2"/>
              </a:solidFill>
              <a:ln w="38100" cmpd="dbl">
                <a:solidFill>
                  <a:schemeClr val="bg1"/>
                </a:solidFill>
                <a:prstDash val="solid"/>
              </a:ln>
              <a:effectLst>
                <a:innerShdw blurRad="63500" dist="114300">
                  <a:schemeClr val="accent2">
                    <a:lumMod val="50000"/>
                    <a:alpha val="100000"/>
                  </a:schemeClr>
                </a:innerShdw>
              </a:effectLst>
              <a:sp3d contourW="38100"/>
            </c:spPr>
          </c:dPt>
          <c:dPt>
            <c:idx val="2"/>
            <c:bubble3D val="false"/>
            <c:spPr>
              <a:solidFill>
                <a:schemeClr val="accent3"/>
              </a:solidFill>
              <a:ln w="31750" cmpd="dbl">
                <a:solidFill>
                  <a:schemeClr val="bg1"/>
                </a:solidFill>
                <a:prstDash val="solid"/>
              </a:ln>
              <a:effectLst>
                <a:innerShdw blurRad="63500" dist="114300">
                  <a:schemeClr val="accent3">
                    <a:lumMod val="50000"/>
                    <a:alpha val="100000"/>
                  </a:schemeClr>
                </a:innerShdw>
              </a:effectLst>
              <a:sp3d contourW="31750"/>
            </c:spPr>
          </c:dPt>
          <c:dPt>
            <c:idx val="3"/>
            <c:bubble3D val="false"/>
            <c:spPr>
              <a:solidFill>
                <a:schemeClr val="accent4"/>
              </a:solidFill>
              <a:ln w="31750" cmpd="dbl">
                <a:solidFill>
                  <a:schemeClr val="bg1"/>
                </a:solidFill>
                <a:prstDash val="solid"/>
              </a:ln>
              <a:effectLst>
                <a:innerShdw blurRad="63500" dist="114300">
                  <a:schemeClr val="accent4">
                    <a:lumMod val="50000"/>
                    <a:alpha val="100000"/>
                  </a:schemeClr>
                </a:innerShdw>
              </a:effectLst>
              <a:sp3d contourW="31750"/>
            </c:spPr>
          </c:dPt>
          <c:dLbls>
            <c:dLbl>
              <c:idx val="0"/>
              <c:layout>
                <c:manualLayout>
                  <c:x val="0.0352423032143315"/>
                  <c:y val="0.0177552306156955"/>
                </c:manualLayout>
              </c:layout>
              <c:dLblPos val="bestFit"/>
              <c:showLegendKey val="false"/>
              <c:showVal val="false"/>
              <c:showCatName val="true"/>
              <c:showSerName val="false"/>
              <c:showPercent val="true"/>
              <c:showBubbleSize val="false"/>
              <c:separator>;</c:separator>
              <c:extLst>
                <c:ext xmlns:c15="http://schemas.microsoft.com/office/drawing/2012/chart" uri="{CE6537A1-D6FC-4f65-9D91-7224C49458BB}">
                  <c15:layout/>
                </c:ext>
              </c:extLst>
            </c:dLbl>
            <c:dLbl>
              <c:idx val="1"/>
              <c:layout>
                <c:manualLayout>
                  <c:x val="-0.0803157243116617"/>
                  <c:y val="0.250762359962565"/>
                </c:manualLayout>
              </c:layout>
              <c:dLblPos val="bestFit"/>
              <c:showLegendKey val="false"/>
              <c:showVal val="false"/>
              <c:showCatName val="true"/>
              <c:showSerName val="false"/>
              <c:showPercent val="true"/>
              <c:showBubbleSize val="false"/>
              <c:separator>;</c:separator>
              <c:extLst>
                <c:ext xmlns:c15="http://schemas.microsoft.com/office/drawing/2012/chart" uri="{CE6537A1-D6FC-4f65-9D91-7224C49458BB}">
                  <c15:layout/>
                </c:ext>
              </c:extLst>
            </c:dLbl>
            <c:dLbl>
              <c:idx val="2"/>
              <c:layout>
                <c:manualLayout>
                  <c:x val="-0.208356567471983"/>
                  <c:y val="0.151025563694838"/>
                </c:manualLayout>
              </c:layout>
              <c:dLblPos val="bestFit"/>
              <c:showLegendKey val="false"/>
              <c:showVal val="false"/>
              <c:showCatName val="true"/>
              <c:showSerName val="false"/>
              <c:showPercent val="true"/>
              <c:showBubbleSize val="false"/>
              <c:separator>;</c:separator>
              <c:extLst>
                <c:ext xmlns:c15="http://schemas.microsoft.com/office/drawing/2012/chart" uri="{CE6537A1-D6FC-4f65-9D91-7224C49458BB}">
                  <c15:layout/>
                </c:ext>
              </c:extLst>
            </c:dLbl>
            <c:dLbl>
              <c:idx val="3"/>
              <c:layout>
                <c:manualLayout>
                  <c:x val="-0.12384680476561"/>
                  <c:y val="0.0438325118486449"/>
                </c:manualLayout>
              </c:layout>
              <c:dLblPos val="bestFit"/>
              <c:showLegendKey val="false"/>
              <c:showVal val="false"/>
              <c:showCatName val="true"/>
              <c:showSerName val="false"/>
              <c:showPercent val="true"/>
              <c:showBubbleSize val="false"/>
              <c:separator>;</c:separator>
              <c:extLst>
                <c:ext xmlns:c15="http://schemas.microsoft.com/office/drawing/2012/chart" uri="{CE6537A1-D6FC-4f65-9D91-7224C49458BB}">
                  <c15:layout/>
                </c:ext>
              </c:extLst>
            </c:dLbl>
            <c:numFmt formatCode="0.00%" sourceLinked="false"/>
            <c:spPr>
              <a:noFill/>
              <a:ln w="6350" cmpd="sng">
                <a:solidFill>
                  <a:srgbClr val="5B9BD5"/>
                </a:solidFill>
                <a:prstDash val="solid"/>
              </a:ln>
              <a:effectLst/>
            </c:spPr>
            <c:txPr>
              <a:bodyPr rot="0" spcFirstLastPara="0" vertOverflow="ellipsis" vert="horz" wrap="square" lIns="38100" tIns="19050" rIns="38100" bIns="19050" anchor="ctr" anchorCtr="true" forceAA="false"/>
              <a:lstStyle/>
              <a:p>
                <a:pPr>
                  <a:defRPr lang="zh-CN" sz="900" b="0" i="0" u="none" strike="noStrike" kern="1200" cap="none" spc="0" normalizeH="0" baseline="0">
                    <a:solidFill>
                      <a:schemeClr val="tx1"/>
                    </a:solidFill>
                    <a:uFill>
                      <a:solidFill>
                        <a:schemeClr val="bg1"/>
                      </a:solidFill>
                    </a:u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false"/>
            <c:showVal val="false"/>
            <c:showCatName val="true"/>
            <c:showSerName val="false"/>
            <c:showPercent val="true"/>
            <c:showBubbleSize val="false"/>
            <c:separator>;</c:separator>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[文件4.xls]工作表2!$A$69:$A$72</c:f>
              <c:strCache>
                <c:ptCount val="4"/>
                <c:pt idx="0">
                  <c:v>一般公共服务支出</c:v>
                </c:pt>
                <c:pt idx="1">
                  <c:v>社会保障和就业支出</c:v>
                </c:pt>
                <c:pt idx="2">
                  <c:v>卫生健康支出</c:v>
                </c:pt>
                <c:pt idx="3">
                  <c:v>住房保障支出</c:v>
                </c:pt>
              </c:strCache>
            </c:strRef>
          </c:cat>
          <c:val>
            <c:numRef>
              <c:f>[文件4.xls]工作表2!$B$69:$B$72</c:f>
              <c:numCache>
                <c:formatCode>General</c:formatCode>
                <c:ptCount val="4"/>
                <c:pt idx="0">
                  <c:v>3110.72</c:v>
                </c:pt>
                <c:pt idx="1">
                  <c:v>926.97</c:v>
                </c:pt>
                <c:pt idx="2">
                  <c:v>182.63</c:v>
                </c:pt>
                <c:pt idx="3">
                  <c:v>230.45</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plotVisOnly val="true"/>
    <c:dispBlanksAs val="gap"/>
    <c:showDLblsOverMax val="false"/>
  </c:chart>
  <c:spPr>
    <a:solidFill>
      <a:sysClr val="window" lastClr="FFFFFF"/>
    </a:solidFill>
    <a:ln w="6350" cap="flat" cmpd="sng" algn="ctr">
      <a:solidFill>
        <a:schemeClr val="tx1">
          <a:lumMod val="50000"/>
          <a:lumOff val="50000"/>
          <a:alpha val="25000"/>
        </a:schemeClr>
      </a:solidFill>
      <a:round/>
    </a:ln>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a:defRPr lang="zh-CN" sz="14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“三公”经费财政拨款支出结构</a:t>
            </a:r>
          </a:p>
        </c:rich>
      </c:tx>
      <c:layout/>
      <c:overlay val="false"/>
      <c:spPr>
        <a:noFill/>
        <a:ln>
          <a:noFill/>
        </a:ln>
        <a:effectLst/>
      </c:spPr>
    </c:title>
    <c:autoTitleDeleted val="false"/>
    <c:plotArea>
      <c:layout>
        <c:manualLayout>
          <c:layoutTarget val="inner"/>
          <c:xMode val="edge"/>
          <c:yMode val="edge"/>
          <c:x val="0.257894736842105"/>
          <c:y val="0.264550264550265"/>
          <c:w val="0.487894736842105"/>
          <c:h val="0.700680272108844"/>
        </c:manualLayout>
      </c:layout>
      <c:pieChart>
        <c:varyColors val="true"/>
        <c:ser>
          <c:idx val="0"/>
          <c:order val="0"/>
          <c:spPr>
            <a:pattFill prst="narVert">
              <a:fgClr>
                <a:schemeClr val="accent1"/>
              </a:fgClr>
              <a:bgClr>
                <a:schemeClr val="bg1"/>
              </a:bgClr>
            </a:pattFill>
            <a:ln w="25400">
              <a:solidFill>
                <a:schemeClr val="accent1"/>
              </a:solidFill>
            </a:ln>
            <a:effectLst>
              <a:outerShdw blurRad="254000" dist="38100" sx="102000" sy="102000" algn="ctr" rotWithShape="0">
                <a:schemeClr val="accent1">
                  <a:alpha val="40000"/>
                </a:schemeClr>
              </a:outerShdw>
            </a:effectLst>
            <a:sp3d contourW="25400"/>
          </c:spPr>
          <c:explosion val="0"/>
          <c:dPt>
            <c:idx val="0"/>
            <c:bubble3D val="false"/>
            <c:spPr>
              <a:pattFill prst="narVert">
                <a:fgClr>
                  <a:schemeClr val="accent1"/>
                </a:fgClr>
                <a:bgClr>
                  <a:schemeClr val="bg1"/>
                </a:bgClr>
              </a:pattFill>
              <a:ln w="25400">
                <a:solidFill>
                  <a:schemeClr val="accent1">
                    <a:lumMod val="75000"/>
                  </a:schemeClr>
                </a:solidFill>
              </a:ln>
              <a:effectLst>
                <a:outerShdw blurRad="254000" dist="38100" sx="102000" sy="102000" algn="ctr" rotWithShape="0">
                  <a:schemeClr val="accent1">
                    <a:alpha val="40000"/>
                  </a:schemeClr>
                </a:outerShdw>
              </a:effectLst>
              <a:sp3d contourW="25400"/>
            </c:spPr>
          </c:dPt>
          <c:dPt>
            <c:idx val="1"/>
            <c:bubble3D val="false"/>
            <c:spPr>
              <a:pattFill prst="narVert">
                <a:fgClr>
                  <a:schemeClr val="accent2"/>
                </a:fgClr>
                <a:bgClr>
                  <a:schemeClr val="bg1"/>
                </a:bgClr>
              </a:pattFill>
              <a:ln w="25400">
                <a:solidFill>
                  <a:schemeClr val="accent2"/>
                </a:solidFill>
              </a:ln>
              <a:effectLst>
                <a:outerShdw blurRad="254000" dist="38100" sx="102000" sy="102000" algn="ctr" rotWithShape="0">
                  <a:schemeClr val="accent2">
                    <a:alpha val="40000"/>
                  </a:schemeClr>
                </a:outerShdw>
              </a:effectLst>
              <a:sp3d contourW="25400"/>
            </c:spPr>
          </c:dPt>
          <c:dPt>
            <c:idx val="2"/>
            <c:bubble3D val="false"/>
            <c:spPr>
              <a:pattFill prst="narVert">
                <a:fgClr>
                  <a:schemeClr val="accent3"/>
                </a:fgClr>
                <a:bgClr>
                  <a:schemeClr val="bg1"/>
                </a:bgClr>
              </a:pattFill>
              <a:ln w="25400">
                <a:solidFill>
                  <a:schemeClr val="accent3"/>
                </a:solidFill>
              </a:ln>
              <a:effectLst>
                <a:outerShdw blurRad="254000" dist="38100" sx="102000" sy="102000" algn="ctr" rotWithShape="0">
                  <a:schemeClr val="accent3">
                    <a:alpha val="40000"/>
                  </a:schemeClr>
                </a:outerShdw>
              </a:effectLst>
              <a:sp3d contourW="25400"/>
            </c:spPr>
          </c:dPt>
          <c:dLbls>
            <c:dLbl>
              <c:idx val="0"/>
              <c:layout>
                <c:manualLayout>
                  <c:x val="0.0973809119623933"/>
                  <c:y val="0.141918163766447"/>
                </c:manualLayout>
              </c:layout>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1"/>
              <c:layout>
                <c:manualLayout>
                  <c:x val="-0.108460142136018"/>
                  <c:y val="-0.0645464601855751"/>
                </c:manualLayout>
              </c:layout>
              <c:numFmt formatCode="0.00%" sourceLinked="false"/>
              <c:spPr>
                <a:solidFill>
                  <a:schemeClr val="lt1"/>
                </a:solidFill>
                <a:ln>
                  <a:noFill/>
                </a:ln>
                <a:effectLst/>
              </c:spPr>
              <c:txPr>
                <a:bodyPr rot="0" spcFirstLastPara="0" vertOverflow="clip" vert="horz" wrap="square" lIns="36576" tIns="18288" rIns="36576" bIns="18288" anchor="ctr" anchorCtr="true" forceAA="false"/>
                <a:lstStyle/>
                <a:p>
                  <a:pPr>
                    <a:defRPr lang="zh-CN" sz="900" b="0" i="0" u="none" strike="noStrike" kern="1200" baseline="0">
                      <a:solidFill>
                        <a:schemeClr val="accent2"/>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2"/>
              <c:layout>
                <c:manualLayout>
                  <c:x val="-0.146174413206901"/>
                  <c:y val="0.0580682438512726"/>
                </c:manualLayout>
              </c:layout>
              <c:numFmt formatCode="0.00%" sourceLinked="false"/>
              <c:spPr>
                <a:solidFill>
                  <a:schemeClr val="lt1"/>
                </a:solidFill>
                <a:ln>
                  <a:noFill/>
                </a:ln>
                <a:effectLst/>
              </c:spPr>
              <c:txPr>
                <a:bodyPr rot="0" spcFirstLastPara="0" vertOverflow="clip" vert="horz" wrap="square" lIns="36576" tIns="18288" rIns="36576" bIns="18288" anchor="ctr" anchorCtr="true" forceAA="false"/>
                <a:lstStyle/>
                <a:p>
                  <a:pPr>
                    <a:defRPr lang="zh-CN" sz="900" b="0" i="0" u="none" strike="noStrike" kern="1200" baseline="0">
                      <a:solidFill>
                        <a:schemeClr val="accent3"/>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numFmt formatCode="0.00%" sourceLinked="false"/>
            <c:spPr>
              <a:solidFill>
                <a:schemeClr val="lt1"/>
              </a:solidFill>
              <a:ln>
                <a:noFill/>
              </a:ln>
              <a:effectLst/>
            </c:spPr>
            <c:txPr>
              <a:bodyPr rot="0" spcFirstLastPara="0" vertOverflow="clip" horzOverflow="clip" vert="horz" wrap="square" lIns="36576" tIns="18288" rIns="36576" bIns="18288" anchor="ctr" anchorCtr="true" forceAA="false">
                <a:spAutoFit/>
              </a:bodyPr>
              <a:lstStyle/>
              <a:p>
                <a:pPr>
                  <a:defRPr lang="zh-CN" sz="900" b="0" i="0" u="none" strike="noStrike" kern="1200" baseline="0">
                    <a:solidFill>
                      <a:schemeClr val="accent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false"/>
            <c:showVal val="false"/>
            <c:showCatName val="true"/>
            <c:showSerName val="false"/>
            <c:showPercent val="true"/>
            <c:showBubbleSize val="false"/>
            <c:separator>
</c:separator>
            <c:showLeaderLines val="true"/>
            <c:extLst>
              <c:ext xmlns:c15="http://schemas.microsoft.com/office/drawing/2012/chart" uri="{CE6537A1-D6FC-4f65-9D91-7224C49458BB}">
                <c15:spPr xmlns:c15="http://schemas.microsoft.com/office/drawing/2012/chart">
                  <a:prstGeom prst="roundRect">
                    <a:avLst/>
                  </a:prstGeom>
                  <a:noFill/>
                  <a:ln>
                    <a:noFill/>
                  </a:ln>
                </c15:spPr>
                <c15:layout/>
                <c15:showLeaderLines val="true"/>
                <c15:leaderLines>
                  <c:spPr>
                    <a:ln w="9525" cap="flat" cmpd="sng" algn="ctr">
                      <a:solidFill>
                        <a:schemeClr val="tx1">
                          <a:lumMod val="35000"/>
                          <a:lumOff val="65000"/>
                        </a:schemeClr>
                      </a:solidFill>
                      <a:round/>
                    </a:ln>
                    <a:effectLst/>
                  </c:spPr>
                </c15:leaderLines>
              </c:ext>
            </c:extLst>
          </c:dLbls>
          <c:cat>
            <c:strRef>
              <c:f>[文件4.xls]工作表2!$A$80:$A$82</c:f>
              <c:strCache>
                <c:ptCount val="3"/>
                <c:pt idx="0">
                  <c:v>因公出国（境）费</c:v>
                </c:pt>
                <c:pt idx="1">
                  <c:v>公务用车购置及运行维护费</c:v>
                </c:pt>
                <c:pt idx="2">
                  <c:v>公务接待费</c:v>
                </c:pt>
              </c:strCache>
            </c:strRef>
          </c:cat>
          <c:val>
            <c:numRef>
              <c:f>[文件4.xls]工作表2!$B$80:$B$82</c:f>
              <c:numCache>
                <c:formatCode>General</c:formatCode>
                <c:ptCount val="3"/>
                <c:pt idx="0">
                  <c:v>11.6</c:v>
                </c:pt>
                <c:pt idx="1">
                  <c:v>39.66</c:v>
                </c:pt>
                <c:pt idx="2">
                  <c:v>1.78</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plotVisOnly val="true"/>
    <c:dispBlanksAs val="gap"/>
    <c:showDLblsOverMax val="false"/>
  </c:chart>
  <c:spPr>
    <a:solidFill>
      <a:schemeClr val="bg1"/>
    </a:solidFill>
    <a:ln w="6350"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sz="1000" b="0">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db22297-608a-4459-9add-c8f084b4e7ad}"/>
        <w:style w:val=""/>
        <w:category>
          <w:name w:val="常规"/>
          <w:gallery w:val="placeholder"/>
        </w:category>
        <w:types>
          <w:type w:val="bbPlcHdr"/>
        </w:types>
        <w:behaviors>
          <w:behavior w:val="content"/>
        </w:behaviors>
        <w:description w:val=""/>
        <w:guid w:val="{9db22297-608a-4459-9add-c8f084b4e7ad}"/>
      </w:docPartPr>
      <w:docPartBody>
        <w:p>
          <w:r>
            <w:rPr>
              <w:color w:val="808080"/>
            </w:rPr>
            <w:t>单击此处输入文字。</w:t>
          </w:r>
        </w:p>
      </w:docPartBody>
    </w:docPart>
    <w:docPart>
      <w:docPartPr>
        <w:name w:val="{01c972a4-023b-4468-b9bf-2f32d0a97b55}"/>
        <w:style w:val=""/>
        <w:category>
          <w:name w:val="常规"/>
          <w:gallery w:val="placeholder"/>
        </w:category>
        <w:types>
          <w:type w:val="bbPlcHdr"/>
        </w:types>
        <w:behaviors>
          <w:behavior w:val="content"/>
        </w:behaviors>
        <w:description w:val=""/>
        <w:guid w:val="{01c972a4-023b-4468-b9bf-2f32d0a97b55}"/>
      </w:docPartPr>
      <w:docPartBody>
        <w:p>
          <w:r>
            <w:rPr>
              <w:color w:val="808080"/>
            </w:rPr>
            <w:t>单击此处输入文字。</w:t>
          </w:r>
        </w:p>
      </w:docPartBody>
    </w:docPart>
    <w:docPart>
      <w:docPartPr>
        <w:name w:val="{69134d90-bae0-434b-9865-e32bc2a23f18}"/>
        <w:style w:val=""/>
        <w:category>
          <w:name w:val="常规"/>
          <w:gallery w:val="placeholder"/>
        </w:category>
        <w:types>
          <w:type w:val="bbPlcHdr"/>
        </w:types>
        <w:behaviors>
          <w:behavior w:val="content"/>
        </w:behaviors>
        <w:description w:val=""/>
        <w:guid w:val="{69134d90-bae0-434b-9865-e32bc2a23f18}"/>
      </w:docPartPr>
      <w:docPartBody>
        <w:p>
          <w:r>
            <w:rPr>
              <w:color w:val="808080"/>
            </w:rPr>
            <w:t>单击此处输入文字。</w:t>
          </w:r>
        </w:p>
      </w:docPartBody>
    </w:docPart>
    <w:docPart>
      <w:docPartPr>
        <w:name w:val="{67876513-108b-4367-8e40-7e84eae5134f}"/>
        <w:style w:val=""/>
        <w:category>
          <w:name w:val="常规"/>
          <w:gallery w:val="placeholder"/>
        </w:category>
        <w:types>
          <w:type w:val="bbPlcHdr"/>
        </w:types>
        <w:behaviors>
          <w:behavior w:val="content"/>
        </w:behaviors>
        <w:description w:val=""/>
        <w:guid w:val="{67876513-108b-4367-8e40-7e84eae5134f}"/>
      </w:docPartPr>
      <w:docPartBody>
        <w:p>
          <w:r>
            <w:rPr>
              <w:color w:val="808080"/>
            </w:rPr>
            <w:t>单击此处输入文字。</w:t>
          </w:r>
        </w:p>
      </w:docPartBody>
    </w:docPart>
    <w:docPart>
      <w:docPartPr>
        <w:name w:val="{23d164a5-0b30-4293-acdf-c7df7570eee1}"/>
        <w:style w:val=""/>
        <w:category>
          <w:name w:val="常规"/>
          <w:gallery w:val="placeholder"/>
        </w:category>
        <w:types>
          <w:type w:val="bbPlcHdr"/>
        </w:types>
        <w:behaviors>
          <w:behavior w:val="content"/>
        </w:behaviors>
        <w:description w:val=""/>
        <w:guid w:val="{23d164a5-0b30-4293-acdf-c7df7570eee1}"/>
      </w:docPartPr>
      <w:docPartBody>
        <w:p>
          <w:r>
            <w:rPr>
              <w:color w:val="808080"/>
            </w:rPr>
            <w:t>单击此处输入文字。</w:t>
          </w:r>
        </w:p>
      </w:docPartBody>
    </w:docPart>
    <w:docPart>
      <w:docPartPr>
        <w:name w:val="{0e90baf0-d5bb-4e53-a3e1-d4b991fd9e1f}"/>
        <w:style w:val=""/>
        <w:category>
          <w:name w:val="常规"/>
          <w:gallery w:val="placeholder"/>
        </w:category>
        <w:types>
          <w:type w:val="bbPlcHdr"/>
        </w:types>
        <w:behaviors>
          <w:behavior w:val="content"/>
        </w:behaviors>
        <w:description w:val=""/>
        <w:guid w:val="{0e90baf0-d5bb-4e53-a3e1-d4b991fd9e1f}"/>
      </w:docPartPr>
      <w:docPartBody>
        <w:p>
          <w:r>
            <w:rPr>
              <w:color w:val="808080"/>
            </w:rPr>
            <w:t>单击此处输入文字。</w:t>
          </w:r>
        </w:p>
      </w:docPartBody>
    </w:docPart>
    <w:docPart>
      <w:docPartPr>
        <w:name w:val="{82ac2686-acc0-41c5-9127-1d2c9863b470}"/>
        <w:style w:val=""/>
        <w:category>
          <w:name w:val="常规"/>
          <w:gallery w:val="placeholder"/>
        </w:category>
        <w:types>
          <w:type w:val="bbPlcHdr"/>
        </w:types>
        <w:behaviors>
          <w:behavior w:val="content"/>
        </w:behaviors>
        <w:description w:val=""/>
        <w:guid w:val="{82ac2686-acc0-41c5-9127-1d2c9863b470}"/>
      </w:docPartPr>
      <w:docPartBody>
        <w:p>
          <w:r>
            <w:rPr>
              <w:color w:val="808080"/>
            </w:rPr>
            <w:t>单击此处输入文字。</w:t>
          </w:r>
        </w:p>
      </w:docPartBody>
    </w:docPart>
    <w:docPart>
      <w:docPartPr>
        <w:name w:val="{119710e6-9d9c-471a-a319-0da79c6a3f2a}"/>
        <w:style w:val=""/>
        <w:category>
          <w:name w:val="常规"/>
          <w:gallery w:val="placeholder"/>
        </w:category>
        <w:types>
          <w:type w:val="bbPlcHdr"/>
        </w:types>
        <w:behaviors>
          <w:behavior w:val="content"/>
        </w:behaviors>
        <w:description w:val=""/>
        <w:guid w:val="{119710e6-9d9c-471a-a319-0da79c6a3f2a}"/>
      </w:docPartPr>
      <w:docPartBody>
        <w:p>
          <w:r>
            <w:rPr>
              <w:color w:val="808080"/>
            </w:rPr>
            <w:t>单击此处输入文字。</w:t>
          </w:r>
        </w:p>
      </w:docPartBody>
    </w:docPart>
    <w:docPart>
      <w:docPartPr>
        <w:name w:val="{a2a91f73-0718-4dd0-b791-01b3c28532ee}"/>
        <w:style w:val=""/>
        <w:category>
          <w:name w:val="常规"/>
          <w:gallery w:val="placeholder"/>
        </w:category>
        <w:types>
          <w:type w:val="bbPlcHdr"/>
        </w:types>
        <w:behaviors>
          <w:behavior w:val="content"/>
        </w:behaviors>
        <w:description w:val=""/>
        <w:guid w:val="{a2a91f73-0718-4dd0-b791-01b3c28532ee}"/>
      </w:docPartPr>
      <w:docPartBody>
        <w:p>
          <w:r>
            <w:rPr>
              <w:color w:val="808080"/>
            </w:rPr>
            <w:t>单击此处输入文字。</w:t>
          </w:r>
        </w:p>
      </w:docPartBody>
    </w:docPart>
    <w:docPart>
      <w:docPartPr>
        <w:name w:val="{dd504efb-1d0e-4d65-bab5-bcdd32fced52}"/>
        <w:style w:val=""/>
        <w:category>
          <w:name w:val="常规"/>
          <w:gallery w:val="placeholder"/>
        </w:category>
        <w:types>
          <w:type w:val="bbPlcHdr"/>
        </w:types>
        <w:behaviors>
          <w:behavior w:val="content"/>
        </w:behaviors>
        <w:description w:val=""/>
        <w:guid w:val="{dd504efb-1d0e-4d65-bab5-bcdd32fced52}"/>
      </w:docPartPr>
      <w:docPartBody>
        <w:p>
          <w:r>
            <w:rPr>
              <w:color w:val="808080"/>
            </w:rPr>
            <w:t>单击此处输入文字。</w:t>
          </w:r>
        </w:p>
      </w:docPartBody>
    </w:docPart>
    <w:docPart>
      <w:docPartPr>
        <w:name w:val="{df7875cb-137c-4668-bcbf-88d222a9041b}"/>
        <w:style w:val=""/>
        <w:category>
          <w:name w:val="常规"/>
          <w:gallery w:val="placeholder"/>
        </w:category>
        <w:types>
          <w:type w:val="bbPlcHdr"/>
        </w:types>
        <w:behaviors>
          <w:behavior w:val="content"/>
        </w:behaviors>
        <w:description w:val=""/>
        <w:guid w:val="{df7875cb-137c-4668-bcbf-88d222a9041b}"/>
      </w:docPartPr>
      <w:docPartBody>
        <w:p>
          <w:r>
            <w:rPr>
              <w:color w:val="808080"/>
            </w:rPr>
            <w:t>单击此处输入文字。</w:t>
          </w:r>
        </w:p>
      </w:docPartBody>
    </w:docPart>
    <w:docPart>
      <w:docPartPr>
        <w:name w:val="{b17f4bf1-6a38-45a5-ad4b-d85823385aed}"/>
        <w:style w:val=""/>
        <w:category>
          <w:name w:val="常规"/>
          <w:gallery w:val="placeholder"/>
        </w:category>
        <w:types>
          <w:type w:val="bbPlcHdr"/>
        </w:types>
        <w:behaviors>
          <w:behavior w:val="content"/>
        </w:behaviors>
        <w:description w:val=""/>
        <w:guid w:val="{b17f4bf1-6a38-45a5-ad4b-d85823385aed}"/>
      </w:docPartPr>
      <w:docPartBody>
        <w:p>
          <w:r>
            <w:rPr>
              <w:color w:val="808080"/>
            </w:rPr>
            <w:t>单击此处输入文字。</w:t>
          </w:r>
        </w:p>
      </w:docPartBody>
    </w:docPart>
    <w:docPart>
      <w:docPartPr>
        <w:name w:val="{8fb4ef5f-ac88-44f4-bcc9-1d7c98e0e0bd}"/>
        <w:style w:val=""/>
        <w:category>
          <w:name w:val="常规"/>
          <w:gallery w:val="placeholder"/>
        </w:category>
        <w:types>
          <w:type w:val="bbPlcHdr"/>
        </w:types>
        <w:behaviors>
          <w:behavior w:val="content"/>
        </w:behaviors>
        <w:description w:val=""/>
        <w:guid w:val="{8fb4ef5f-ac88-44f4-bcc9-1d7c98e0e0bd}"/>
      </w:docPartPr>
      <w:docPartBody>
        <w:p>
          <w:r>
            <w:rPr>
              <w:color w:val="808080"/>
            </w:rPr>
            <w:t>单击此处输入文字。</w:t>
          </w:r>
        </w:p>
      </w:docPartBody>
    </w:docPart>
    <w:docPart>
      <w:docPartPr>
        <w:name w:val="{93f07a8f-b39f-4ca6-bea2-8c1bdb985062}"/>
        <w:style w:val=""/>
        <w:category>
          <w:name w:val="常规"/>
          <w:gallery w:val="placeholder"/>
        </w:category>
        <w:types>
          <w:type w:val="bbPlcHdr"/>
        </w:types>
        <w:behaviors>
          <w:behavior w:val="content"/>
        </w:behaviors>
        <w:description w:val=""/>
        <w:guid w:val="{93f07a8f-b39f-4ca6-bea2-8c1bdb985062}"/>
      </w:docPartPr>
      <w:docPartBody>
        <w:p>
          <w:r>
            <w:rPr>
              <w:color w:val="808080"/>
            </w:rPr>
            <w:t>单击此处输入文字。</w:t>
          </w:r>
        </w:p>
      </w:docPartBody>
    </w:docPart>
    <w:docPart>
      <w:docPartPr>
        <w:name w:val="{b03b06e7-3997-47f2-8bd5-66b1063e18dc}"/>
        <w:style w:val=""/>
        <w:category>
          <w:name w:val="常规"/>
          <w:gallery w:val="placeholder"/>
        </w:category>
        <w:types>
          <w:type w:val="bbPlcHdr"/>
        </w:types>
        <w:behaviors>
          <w:behavior w:val="content"/>
        </w:behaviors>
        <w:description w:val=""/>
        <w:guid w:val="{b03b06e7-3997-47f2-8bd5-66b1063e18dc}"/>
      </w:docPartPr>
      <w:docPartBody>
        <w:p>
          <w:r>
            <w:rPr>
              <w:color w:val="808080"/>
            </w:rPr>
            <w:t>单击此处输入文字。</w:t>
          </w:r>
        </w:p>
      </w:docPartBody>
    </w:docPart>
    <w:docPart>
      <w:docPartPr>
        <w:name w:val="{1c801237-e1f6-427d-8ae9-0a2633ae6b18}"/>
        <w:style w:val=""/>
        <w:category>
          <w:name w:val="常规"/>
          <w:gallery w:val="placeholder"/>
        </w:category>
        <w:types>
          <w:type w:val="bbPlcHdr"/>
        </w:types>
        <w:behaviors>
          <w:behavior w:val="content"/>
        </w:behaviors>
        <w:description w:val=""/>
        <w:guid w:val="{1c801237-e1f6-427d-8ae9-0a2633ae6b18}"/>
      </w:docPartPr>
      <w:docPartBody>
        <w:p>
          <w:r>
            <w:rPr>
              <w:color w:val="808080"/>
            </w:rPr>
            <w:t>单击此处输入文字。</w:t>
          </w:r>
        </w:p>
      </w:docPartBody>
    </w:docPart>
    <w:docPart>
      <w:docPartPr>
        <w:name w:val="{c2edaee6-0ce0-4c63-94ee-1e9f4ace5e35}"/>
        <w:style w:val=""/>
        <w:category>
          <w:name w:val="常规"/>
          <w:gallery w:val="placeholder"/>
        </w:category>
        <w:types>
          <w:type w:val="bbPlcHdr"/>
        </w:types>
        <w:behaviors>
          <w:behavior w:val="content"/>
        </w:behaviors>
        <w:description w:val=""/>
        <w:guid w:val="{c2edaee6-0ce0-4c63-94ee-1e9f4ace5e35}"/>
      </w:docPartPr>
      <w:docPartBody>
        <w:p>
          <w:r>
            <w:rPr>
              <w:color w:val="808080"/>
            </w:rPr>
            <w:t>单击此处输入文字。</w:t>
          </w:r>
        </w:p>
      </w:docPartBody>
    </w:docPart>
    <w:docPart>
      <w:docPartPr>
        <w:name w:val="{0bca76ba-e812-40e2-9868-6233f8903ce9}"/>
        <w:style w:val=""/>
        <w:category>
          <w:name w:val="常规"/>
          <w:gallery w:val="placeholder"/>
        </w:category>
        <w:types>
          <w:type w:val="bbPlcHdr"/>
        </w:types>
        <w:behaviors>
          <w:behavior w:val="content"/>
        </w:behaviors>
        <w:description w:val=""/>
        <w:guid w:val="{0bca76ba-e812-40e2-9868-6233f8903ce9}"/>
      </w:docPartPr>
      <w:docPartBody>
        <w:p>
          <w:r>
            <w:rPr>
              <w:color w:val="808080"/>
            </w:rPr>
            <w:t>单击此处输入文字。</w:t>
          </w:r>
        </w:p>
      </w:docPartBody>
    </w:docPart>
    <w:docPart>
      <w:docPartPr>
        <w:name w:val="{64173ce7-0d9c-4af2-8092-f31241fc49b5}"/>
        <w:style w:val=""/>
        <w:category>
          <w:name w:val="常规"/>
          <w:gallery w:val="placeholder"/>
        </w:category>
        <w:types>
          <w:type w:val="bbPlcHdr"/>
        </w:types>
        <w:behaviors>
          <w:behavior w:val="content"/>
        </w:behaviors>
        <w:description w:val=""/>
        <w:guid w:val="{64173ce7-0d9c-4af2-8092-f31241fc49b5}"/>
      </w:docPartPr>
      <w:docPartBody>
        <w:p>
          <w:r>
            <w:rPr>
              <w:color w:val="808080"/>
            </w:rPr>
            <w:t>单击此处输入文字。</w:t>
          </w:r>
        </w:p>
      </w:docPartBody>
    </w:docPart>
    <w:docPart>
      <w:docPartPr>
        <w:name w:val="{3c2acf77-bdf1-45de-aa2d-91cae3c3dc66}"/>
        <w:style w:val=""/>
        <w:category>
          <w:name w:val="常规"/>
          <w:gallery w:val="placeholder"/>
        </w:category>
        <w:types>
          <w:type w:val="bbPlcHdr"/>
        </w:types>
        <w:behaviors>
          <w:behavior w:val="content"/>
        </w:behaviors>
        <w:description w:val=""/>
        <w:guid w:val="{3c2acf77-bdf1-45de-aa2d-91cae3c3dc66}"/>
      </w:docPartPr>
      <w:docPartBody>
        <w:p>
          <w:r>
            <w:rPr>
              <w:color w:val="808080"/>
            </w:rPr>
            <w:t>单击此处输入文字。</w:t>
          </w:r>
        </w:p>
      </w:docPartBody>
    </w:docPart>
    <w:docPart>
      <w:docPartPr>
        <w:name w:val="{9ce77380-feed-4472-b289-006b62e96e0e}"/>
        <w:style w:val=""/>
        <w:category>
          <w:name w:val="常规"/>
          <w:gallery w:val="placeholder"/>
        </w:category>
        <w:types>
          <w:type w:val="bbPlcHdr"/>
        </w:types>
        <w:behaviors>
          <w:behavior w:val="content"/>
        </w:behaviors>
        <w:description w:val=""/>
        <w:guid w:val="{9ce77380-feed-4472-b289-006b62e96e0e}"/>
      </w:docPartPr>
      <w:docPartBody>
        <w:p>
          <w:r>
            <w:rPr>
              <w:color w:val="808080"/>
            </w:rPr>
            <w:t>单击此处输入文字。</w:t>
          </w:r>
        </w:p>
      </w:docPartBody>
    </w:docPart>
    <w:docPart>
      <w:docPartPr>
        <w:name w:val="{d5a6b2ec-11d0-4224-ae68-388032598ffe}"/>
        <w:style w:val=""/>
        <w:category>
          <w:name w:val="常规"/>
          <w:gallery w:val="placeholder"/>
        </w:category>
        <w:types>
          <w:type w:val="bbPlcHdr"/>
        </w:types>
        <w:behaviors>
          <w:behavior w:val="content"/>
        </w:behaviors>
        <w:description w:val=""/>
        <w:guid w:val="{d5a6b2ec-11d0-4224-ae68-388032598ffe}"/>
      </w:docPartPr>
      <w:docPartBody>
        <w:p>
          <w:r>
            <w:rPr>
              <w:color w:val="808080"/>
            </w:rPr>
            <w:t>单击此处输入文字。</w:t>
          </w:r>
        </w:p>
      </w:docPartBody>
    </w:docPart>
    <w:docPart>
      <w:docPartPr>
        <w:name w:val="{299e2a2a-0a2b-44db-9f7b-81e9a699334e}"/>
        <w:style w:val=""/>
        <w:category>
          <w:name w:val="常规"/>
          <w:gallery w:val="placeholder"/>
        </w:category>
        <w:types>
          <w:type w:val="bbPlcHdr"/>
        </w:types>
        <w:behaviors>
          <w:behavior w:val="content"/>
        </w:behaviors>
        <w:description w:val=""/>
        <w:guid w:val="{299e2a2a-0a2b-44db-9f7b-81e9a699334e}"/>
      </w:docPartPr>
      <w:docPartBody>
        <w:p>
          <w:r>
            <w:rPr>
              <w:color w:val="808080"/>
            </w:rPr>
            <w:t>单击此处输入文字。</w:t>
          </w:r>
        </w:p>
      </w:docPartBody>
    </w:docPart>
    <w:docPart>
      <w:docPartPr>
        <w:name w:val="{85df0e5c-c68f-460a-885c-7abfd9939279}"/>
        <w:style w:val=""/>
        <w:category>
          <w:name w:val="常规"/>
          <w:gallery w:val="placeholder"/>
        </w:category>
        <w:types>
          <w:type w:val="bbPlcHdr"/>
        </w:types>
        <w:behaviors>
          <w:behavior w:val="content"/>
        </w:behaviors>
        <w:description w:val=""/>
        <w:guid w:val="{85df0e5c-c68f-460a-885c-7abfd9939279}"/>
      </w:docPartPr>
      <w:docPartBody>
        <w:p>
          <w:r>
            <w:rPr>
              <w:color w:val="808080"/>
            </w:rPr>
            <w:t>单击此处输入文字。</w:t>
          </w:r>
        </w:p>
      </w:docPartBody>
    </w:docPart>
    <w:docPart>
      <w:docPartPr>
        <w:name w:val="{afaf0073-a565-4a25-a001-210fc3bfaec8}"/>
        <w:style w:val=""/>
        <w:category>
          <w:name w:val="常规"/>
          <w:gallery w:val="placeholder"/>
        </w:category>
        <w:types>
          <w:type w:val="bbPlcHdr"/>
        </w:types>
        <w:behaviors>
          <w:behavior w:val="content"/>
        </w:behaviors>
        <w:description w:val=""/>
        <w:guid w:val="{afaf0073-a565-4a25-a001-210fc3bfaec8}"/>
      </w:docPartPr>
      <w:docPartBody>
        <w:p>
          <w:r>
            <w:rPr>
              <w:color w:val="808080"/>
            </w:rPr>
            <w:t>单击此处输入文字。</w:t>
          </w:r>
        </w:p>
      </w:docPartBody>
    </w:docPart>
    <w:docPart>
      <w:docPartPr>
        <w:name w:val="{14782d99-056b-4429-b4a8-99e42990d5bd}"/>
        <w:style w:val=""/>
        <w:category>
          <w:name w:val="常规"/>
          <w:gallery w:val="placeholder"/>
        </w:category>
        <w:types>
          <w:type w:val="bbPlcHdr"/>
        </w:types>
        <w:behaviors>
          <w:behavior w:val="content"/>
        </w:behaviors>
        <w:description w:val=""/>
        <w:guid w:val="{14782d99-056b-4429-b4a8-99e42990d5bd}"/>
      </w:docPartPr>
      <w:docPartBody>
        <w:p>
          <w:r>
            <w:rPr>
              <w:color w:val="808080"/>
            </w:rPr>
            <w:t>单击此处输入文字。</w:t>
          </w:r>
        </w:p>
      </w:docPartBody>
    </w:docPart>
    <w:docPart>
      <w:docPartPr>
        <w:name w:val="{5be83b52-91ae-4b89-97dc-591b69a10efd}"/>
        <w:style w:val=""/>
        <w:category>
          <w:name w:val="常规"/>
          <w:gallery w:val="placeholder"/>
        </w:category>
        <w:types>
          <w:type w:val="bbPlcHdr"/>
        </w:types>
        <w:behaviors>
          <w:behavior w:val="content"/>
        </w:behaviors>
        <w:description w:val=""/>
        <w:guid w:val="{5be83b52-91ae-4b89-97dc-591b69a10efd}"/>
      </w:docPartPr>
      <w:docPartBody>
        <w:p>
          <w:r>
            <w:rPr>
              <w:color w:val="808080"/>
            </w:rPr>
            <w:t>单击此处输入文字。</w:t>
          </w:r>
        </w:p>
      </w:docPartBody>
    </w:docPart>
    <w:docPart>
      <w:docPartPr>
        <w:name w:val="{8515cb47-3e75-42e4-8391-49fddec6bb35}"/>
        <w:style w:val=""/>
        <w:category>
          <w:name w:val="常规"/>
          <w:gallery w:val="placeholder"/>
        </w:category>
        <w:types>
          <w:type w:val="bbPlcHdr"/>
        </w:types>
        <w:behaviors>
          <w:behavior w:val="content"/>
        </w:behaviors>
        <w:description w:val=""/>
        <w:guid w:val="{8515cb47-3e75-42e4-8391-49fddec6bb35}"/>
      </w:docPartPr>
      <w:docPartBody>
        <w:p>
          <w:r>
            <w:rPr>
              <w:color w:val="808080"/>
            </w:rPr>
            <w:t>单击此处输入文字。</w:t>
          </w:r>
        </w:p>
      </w:docPartBody>
    </w:docPart>
    <w:docPart>
      <w:docPartPr>
        <w:name w:val="{39b310b3-0f2b-41de-b8dd-b2da56fe26fe}"/>
        <w:style w:val=""/>
        <w:category>
          <w:name w:val="常规"/>
          <w:gallery w:val="placeholder"/>
        </w:category>
        <w:types>
          <w:type w:val="bbPlcHdr"/>
        </w:types>
        <w:behaviors>
          <w:behavior w:val="content"/>
        </w:behaviors>
        <w:description w:val=""/>
        <w:guid w:val="{39b310b3-0f2b-41de-b8dd-b2da56fe26fe}"/>
      </w:docPartPr>
      <w:docPartBody>
        <w:p>
          <w:r>
            <w:rPr>
              <w:color w:val="808080"/>
            </w:rPr>
            <w:t>单击此处输入文字。</w:t>
          </w:r>
        </w:p>
      </w:docPartBody>
    </w:docPart>
    <w:docPart>
      <w:docPartPr>
        <w:name w:val="{c5049d02-f3a3-4d37-9f26-5d351450efbe}"/>
        <w:style w:val=""/>
        <w:category>
          <w:name w:val="常规"/>
          <w:gallery w:val="placeholder"/>
        </w:category>
        <w:types>
          <w:type w:val="bbPlcHdr"/>
        </w:types>
        <w:behaviors>
          <w:behavior w:val="content"/>
        </w:behaviors>
        <w:description w:val=""/>
        <w:guid w:val="{c5049d02-f3a3-4d37-9f26-5d351450efbe}"/>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自定义 11">
    <a:dk1>
      <a:srgbClr val="000000"/>
    </a:dk1>
    <a:lt1>
      <a:srgbClr val="FFFFFF"/>
    </a:lt1>
    <a:dk2>
      <a:srgbClr val="0E2841"/>
    </a:dk2>
    <a:lt2>
      <a:srgbClr val="E8E8E8"/>
    </a:lt2>
    <a:accent1>
      <a:srgbClr val="0FB0C8"/>
    </a:accent1>
    <a:accent2>
      <a:srgbClr val="FCA768"/>
    </a:accent2>
    <a:accent3>
      <a:srgbClr val="F96F7C"/>
    </a:accent3>
    <a:accent4>
      <a:srgbClr val="8AB1E6"/>
    </a:accent4>
    <a:accent5>
      <a:srgbClr val="FFD13F"/>
    </a:accent5>
    <a:accent6>
      <a:srgbClr val="E18FD7"/>
    </a:accent6>
    <a:hlink>
      <a:srgbClr val="467886"/>
    </a:hlink>
    <a:folHlink>
      <a:srgbClr val="96607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2.xml><?xml version="1.0" encoding="utf-8"?>
<a:themeOverride xmlns:a="http://schemas.openxmlformats.org/drawingml/2006/main">
  <a:clrScheme name="彩色1">
    <a:dk1>
      <a:srgbClr val="000000"/>
    </a:dk1>
    <a:lt1>
      <a:srgbClr val="FFFFFF"/>
    </a:lt1>
    <a:dk2>
      <a:srgbClr val="44546A"/>
    </a:dk2>
    <a:lt2>
      <a:srgbClr val="E7E6E6"/>
    </a:lt2>
    <a:accent1>
      <a:srgbClr val="3F7BF9"/>
    </a:accent1>
    <a:accent2>
      <a:srgbClr val="31BC61"/>
    </a:accent2>
    <a:accent3>
      <a:srgbClr val="FFC800"/>
    </a:accent3>
    <a:accent4>
      <a:srgbClr val="FF920C"/>
    </a:accent4>
    <a:accent5>
      <a:srgbClr val="FF5F69"/>
    </a:accent5>
    <a:accent6>
      <a:srgbClr val="B16EFB"/>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3.xml><?xml version="1.0" encoding="utf-8"?>
<a:themeOverride xmlns:a="http://schemas.openxmlformats.org/drawingml/2006/main">
  <a:clrScheme name="自定义 61">
    <a:dk1>
      <a:srgbClr val="000000"/>
    </a:dk1>
    <a:lt1>
      <a:srgbClr val="FFFFFF"/>
    </a:lt1>
    <a:dk2>
      <a:srgbClr val="44546A"/>
    </a:dk2>
    <a:lt2>
      <a:srgbClr val="E7E6E6"/>
    </a:lt2>
    <a:accent1>
      <a:srgbClr val="60ACFD"/>
    </a:accent1>
    <a:accent2>
      <a:srgbClr val="4072D8"/>
    </a:accent2>
    <a:accent3>
      <a:srgbClr val="8FDEFF"/>
    </a:accent3>
    <a:accent4>
      <a:srgbClr val="53D8A8"/>
    </a:accent4>
    <a:accent5>
      <a:srgbClr val="FFD238"/>
    </a:accent5>
    <a:accent6>
      <a:srgbClr val="B78BF9"/>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4.xml><?xml version="1.0" encoding="utf-8"?>
<a:themeOverride xmlns:a="http://schemas.openxmlformats.org/drawingml/2006/main">
  <a:clrScheme name="自定义 68">
    <a:dk1>
      <a:srgbClr val="000000"/>
    </a:dk1>
    <a:lt1>
      <a:srgbClr val="FFFFFF"/>
    </a:lt1>
    <a:dk2>
      <a:srgbClr val="44546A"/>
    </a:dk2>
    <a:lt2>
      <a:srgbClr val="E7E6E6"/>
    </a:lt2>
    <a:accent1>
      <a:srgbClr val="FE7B89"/>
    </a:accent1>
    <a:accent2>
      <a:srgbClr val="FFCC25"/>
    </a:accent2>
    <a:accent3>
      <a:srgbClr val="83D686"/>
    </a:accent3>
    <a:accent4>
      <a:srgbClr val="50A2F6"/>
    </a:accent4>
    <a:accent5>
      <a:srgbClr val="27CBBB"/>
    </a:accent5>
    <a:accent6>
      <a:srgbClr val="FE9F2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5.xml><?xml version="1.0" encoding="utf-8"?>
<a:themeOverride xmlns:a="http://schemas.openxmlformats.org/drawingml/2006/main">
  <a:clrScheme name="彩色2">
    <a:dk1>
      <a:srgbClr val="000000"/>
    </a:dk1>
    <a:lt1>
      <a:srgbClr val="FFFFFF"/>
    </a:lt1>
    <a:dk2>
      <a:srgbClr val="44546A"/>
    </a:dk2>
    <a:lt2>
      <a:srgbClr val="E7E6E6"/>
    </a:lt2>
    <a:accent1>
      <a:srgbClr val="FF5958"/>
    </a:accent1>
    <a:accent2>
      <a:srgbClr val="FABB00"/>
    </a:accent2>
    <a:accent3>
      <a:srgbClr val="AC68FB"/>
    </a:accent3>
    <a:accent4>
      <a:srgbClr val="F75090"/>
    </a:accent4>
    <a:accent5>
      <a:srgbClr val="FF920C"/>
    </a:accent5>
    <a:accent6>
      <a:srgbClr val="ABD500"/>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6.xml><?xml version="1.0" encoding="utf-8"?>
<a:themeOverride xmlns:a="http://schemas.openxmlformats.org/drawingml/2006/main">
  <a:clrScheme name="彩色8">
    <a:dk1>
      <a:srgbClr val="000000"/>
    </a:dk1>
    <a:lt1>
      <a:srgbClr val="FFFFFF"/>
    </a:lt1>
    <a:dk2>
      <a:srgbClr val="44546A"/>
    </a:dk2>
    <a:lt2>
      <a:srgbClr val="E7E6E6"/>
    </a:lt2>
    <a:accent1>
      <a:srgbClr val="59CFFF"/>
    </a:accent1>
    <a:accent2>
      <a:srgbClr val="8275FF"/>
    </a:accent2>
    <a:accent3>
      <a:srgbClr val="FEB348"/>
    </a:accent3>
    <a:accent4>
      <a:srgbClr val="FE7F7F"/>
    </a:accent4>
    <a:accent5>
      <a:srgbClr val="4165FF"/>
    </a:accent5>
    <a:accent6>
      <a:srgbClr val="48C8AC"/>
    </a:accent6>
    <a:hlink>
      <a:srgbClr val="0026E5"/>
    </a:hlink>
    <a:folHlink>
      <a:srgbClr val="7E1FA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Narrow"/>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28</Pages>
  <Words>1072</Words>
  <Characters>1113</Characters>
  <Lines>61</Lines>
  <Paragraphs>17</Paragraphs>
  <TotalTime>17</TotalTime>
  <ScaleCrop>false</ScaleCrop>
  <LinksUpToDate>false</LinksUpToDate>
  <CharactersWithSpaces>1164</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2020-08-13T01:49:00Z</dcterms:created>
  <dc:creator>曹颖</dc:creator>
  <cp:lastModifiedBy>靜待婲閞</cp:lastModifiedBy>
  <cp:lastPrinted>2025-08-10T09:34:00Z</cp:lastPrinted>
  <dcterms:modified xsi:type="dcterms:W3CDTF">2025-09-17T10:59:49Z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04787F2533EB45DC91BCDE4AB213247F</vt:lpwstr>
  </property>
  <property fmtid="{D5CDD505-2E9C-101B-9397-08002B2CF9AE}" pid="4" name="KSOTemplateDocerSaveRecord">
    <vt:lpwstr>eyJoZGlkIjoiNzg0NmNiM2Y4ODRiZjExMDFjZDJlYmE0ZjI4ODNmNjAiLCJ1c2VySWQiOiIxMDc5MjkwNzI3In0=</vt:lpwstr>
  </property>
</Properties>
</file>