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5647E">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96475"/>
      <w:bookmarkStart w:id="2" w:name="_Toc15396597"/>
      <w:bookmarkStart w:id="3" w:name="_Toc15378441"/>
      <w:bookmarkStart w:id="4" w:name="_Toc15377193"/>
      <w:bookmarkStart w:id="5" w:name="_Toc15306267"/>
    </w:p>
    <w:p w14:paraId="52AD52AD">
      <w:pPr>
        <w:pStyle w:val="2"/>
        <w:rPr>
          <w:rFonts w:hint="eastAsia" w:ascii="Times New Roman" w:hAnsi="Times New Roman" w:eastAsia="方正小标宋简体" w:cs="Times New Roman"/>
          <w:color w:val="auto"/>
          <w:kern w:val="2"/>
          <w:sz w:val="72"/>
          <w:szCs w:val="72"/>
          <w:highlight w:val="none"/>
          <w:lang w:val="en-US" w:eastAsia="zh-CN" w:bidi="ar-SA"/>
        </w:rPr>
      </w:pPr>
    </w:p>
    <w:p w14:paraId="620FEFD9">
      <w:pPr>
        <w:pStyle w:val="2"/>
        <w:rPr>
          <w:rFonts w:hint="eastAsia" w:ascii="Times New Roman" w:hAnsi="Times New Roman" w:eastAsia="方正小标宋简体" w:cs="Times New Roman"/>
          <w:color w:val="auto"/>
          <w:kern w:val="2"/>
          <w:sz w:val="72"/>
          <w:szCs w:val="72"/>
          <w:highlight w:val="none"/>
          <w:lang w:val="en-US" w:eastAsia="zh-CN" w:bidi="ar-SA"/>
        </w:rPr>
      </w:pPr>
    </w:p>
    <w:p w14:paraId="004861DC">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市</w:t>
      </w:r>
      <w:r>
        <w:rPr>
          <w:rFonts w:hint="eastAsia" w:ascii="Times New Roman" w:hAnsi="Times New Roman" w:eastAsia="方正小标宋简体" w:cs="Times New Roman"/>
          <w:color w:val="auto"/>
          <w:kern w:val="2"/>
          <w:sz w:val="44"/>
          <w:szCs w:val="44"/>
          <w:highlight w:val="none"/>
          <w:lang w:val="en-US" w:eastAsia="zh-CN" w:bidi="ar-SA"/>
        </w:rPr>
        <w:t>级</w:t>
      </w: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p>
    <w:p w14:paraId="58068307">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公开文字说明</w:t>
      </w:r>
    </w:p>
    <w:p w14:paraId="5CE42040">
      <w:pPr>
        <w:spacing w:line="600" w:lineRule="exact"/>
        <w:jc w:val="center"/>
        <w:outlineLvl w:val="0"/>
        <w:rPr>
          <w:rFonts w:ascii="Times New Roman" w:hAnsi="Times New Roman" w:eastAsia="方正小标宋简体"/>
          <w:color w:val="auto"/>
          <w:sz w:val="72"/>
          <w:szCs w:val="72"/>
          <w:highlight w:val="none"/>
        </w:rPr>
      </w:pPr>
    </w:p>
    <w:p w14:paraId="74FA17F8">
      <w:pPr>
        <w:pStyle w:val="20"/>
        <w:rPr>
          <w:rFonts w:ascii="Times New Roman" w:hAnsi="Times New Roman"/>
        </w:rPr>
        <w:sectPr>
          <w:headerReference r:id="rId4" w:type="first"/>
          <w:headerReference r:id="rId3" w:type="default"/>
          <w:footerReference r:id="rId5" w:type="default"/>
          <w:pgSz w:w="11906" w:h="16838"/>
          <w:pgMar w:top="1440" w:right="1800" w:bottom="1440" w:left="1800" w:header="851" w:footer="992" w:gutter="0"/>
          <w:pgNumType w:fmt="numberInDash" w:start="1"/>
          <w:cols w:space="425" w:num="1"/>
          <w:titlePg/>
          <w:docGrid w:type="lines" w:linePitch="312" w:charSpace="0"/>
        </w:sectPr>
      </w:pPr>
    </w:p>
    <w:p w14:paraId="16E83A9A">
      <w:pPr>
        <w:rPr>
          <w:rFonts w:ascii="Times New Roman" w:hAnsi="Times New Roman"/>
        </w:rPr>
      </w:pPr>
    </w:p>
    <w:p w14:paraId="709E5E60">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0B8A347E">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32EDF0F7">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14:paraId="115CEDA3">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225C8896">
      <w:pPr>
        <w:pStyle w:val="2"/>
        <w:jc w:val="center"/>
        <w:rPr>
          <w:rFonts w:hint="eastAsia" w:ascii="Times New Roman" w:eastAsia="方正小标宋简体" w:cs="Times New Roman"/>
          <w:color w:val="auto"/>
          <w:kern w:val="2"/>
          <w:sz w:val="44"/>
          <w:szCs w:val="44"/>
          <w:highlight w:val="none"/>
          <w:lang w:val="en-US" w:eastAsia="zh-CN" w:bidi="ar-SA"/>
        </w:rPr>
      </w:pPr>
      <w:bookmarkStart w:id="6" w:name="_Toc15396598"/>
      <w:bookmarkStart w:id="7" w:name="_Toc15377426"/>
      <w:bookmarkStart w:id="8" w:name="_Toc15377194"/>
      <w:bookmarkStart w:id="9" w:name="_Toc15378442"/>
      <w:bookmarkStart w:id="10" w:name="_Toc15396476"/>
      <w:r>
        <w:rPr>
          <w:rFonts w:hint="eastAsia"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攀枝花市社会建设事务中心</w:t>
      </w:r>
    </w:p>
    <w:p w14:paraId="4BC93DE7">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14:paraId="669FD692">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61D0F795">
      <w:pPr>
        <w:widowControl/>
        <w:jc w:val="center"/>
        <w:rPr>
          <w:rFonts w:ascii="Times New Roman" w:hAnsi="Times New Roman" w:eastAsia="黑体" w:cstheme="minorBidi"/>
          <w:color w:val="auto"/>
          <w:sz w:val="28"/>
          <w:szCs w:val="28"/>
          <w:highlight w:val="none"/>
        </w:rPr>
      </w:pPr>
    </w:p>
    <w:p w14:paraId="42BEE0AC">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17</w:t>
      </w:r>
      <w:r>
        <w:rPr>
          <w:rFonts w:hint="eastAsia" w:ascii="Times New Roman" w:hAnsi="Times New Roman" w:eastAsia="仿宋_GB2312" w:cs="仿宋_GB2312"/>
          <w:color w:val="auto"/>
          <w:sz w:val="32"/>
          <w:szCs w:val="32"/>
          <w:highlight w:val="none"/>
        </w:rPr>
        <w:t>日</w:t>
      </w:r>
    </w:p>
    <w:p w14:paraId="5F6BF687">
      <w:pPr>
        <w:rPr>
          <w:rFonts w:ascii="Times New Roman" w:hAnsi="Times New Roman"/>
          <w:color w:val="auto"/>
          <w:highlight w:val="none"/>
        </w:rPr>
      </w:pPr>
    </w:p>
    <w:p w14:paraId="048191DC">
      <w:pPr>
        <w:pStyle w:val="13"/>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r>
        <w:rPr>
          <w:rFonts w:ascii="Times New Roman" w:hAnsi="Times New Roman" w:eastAsia="宋体" w:cs="Times New Roman"/>
          <w:kern w:val="2"/>
          <w:sz w:val="21"/>
          <w:szCs w:val="21"/>
          <w:lang w:val="en-US" w:eastAsia="zh-CN" w:bidi="ar-SA"/>
        </w:rPr>
        <w:t>…………………………………………………………………</w:t>
      </w:r>
      <w:r>
        <w:rPr>
          <w:rFonts w:hint="eastAsia" w:ascii="Times New Roman" w:hAnsi="Times New Roman" w:eastAsia="仿宋_GB2312" w:cs="仿宋_GB2312"/>
          <w:color w:val="auto"/>
          <w:sz w:val="32"/>
          <w:szCs w:val="32"/>
          <w:highlight w:val="none"/>
          <w:lang w:val="en-US" w:eastAsia="zh-CN"/>
        </w:rPr>
        <w:t>1</w:t>
      </w:r>
    </w:p>
    <w:p w14:paraId="2B11D9A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lang w:eastAsia="zh-CN"/>
        </w:rPr>
        <w:t>职责</w:t>
      </w:r>
      <w:r>
        <w:rPr>
          <w:rFonts w:ascii="Times New Roman" w:hAnsi="Times New Roman" w:eastAsia="宋体" w:cs="Times New Roman"/>
          <w:kern w:val="2"/>
          <w:sz w:val="21"/>
          <w:szCs w:val="21"/>
          <w:lang w:val="en-US" w:eastAsia="zh-CN" w:bidi="ar-SA"/>
        </w:rPr>
        <w:t>……………………………………………………………………</w:t>
      </w:r>
      <w:r>
        <w:rPr>
          <w:rFonts w:hint="eastAsia" w:ascii="Times New Roman" w:hAnsi="Times New Roman" w:eastAsia="仿宋_GB2312" w:cs="仿宋_GB2312"/>
          <w:color w:val="auto"/>
          <w:sz w:val="32"/>
          <w:szCs w:val="32"/>
          <w:highlight w:val="none"/>
          <w:lang w:val="en-US" w:eastAsia="zh-CN"/>
        </w:rPr>
        <w:t>1</w:t>
      </w:r>
    </w:p>
    <w:p w14:paraId="57AAAC3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sz w:val="21"/>
          <w:szCs w:val="21"/>
        </w:rPr>
        <w:t>…………………………………………………</w:t>
      </w:r>
      <w:r>
        <w:rPr>
          <w:rFonts w:ascii="Times New Roman" w:hAnsi="Times New Roman" w:eastAsia="宋体" w:cs="Times New Roman"/>
          <w:kern w:val="2"/>
          <w:sz w:val="21"/>
          <w:szCs w:val="21"/>
          <w:lang w:val="en-US" w:eastAsia="zh-CN" w:bidi="ar-SA"/>
        </w:rPr>
        <w:t>……</w:t>
      </w:r>
      <w:r>
        <w:rPr>
          <w:sz w:val="21"/>
          <w:szCs w:val="21"/>
        </w:rPr>
        <w:t>…</w:t>
      </w:r>
      <w:r>
        <w:rPr>
          <w:rFonts w:hint="eastAsia"/>
          <w:sz w:val="21"/>
          <w:szCs w:val="21"/>
          <w:lang w:val="en-US" w:eastAsia="zh-CN"/>
        </w:rPr>
        <w:t>.</w:t>
      </w:r>
      <w:r>
        <w:rPr>
          <w:sz w:val="21"/>
          <w:szCs w:val="21"/>
        </w:rPr>
        <w:t>…………</w:t>
      </w:r>
      <w:r>
        <w:rPr>
          <w:rFonts w:hint="eastAsia" w:ascii="Times New Roman" w:hAnsi="Times New Roman" w:eastAsia="仿宋_GB2312" w:cs="仿宋_GB2312"/>
          <w:color w:val="auto"/>
          <w:sz w:val="32"/>
          <w:szCs w:val="32"/>
          <w:highlight w:val="none"/>
          <w:lang w:val="en-US" w:eastAsia="zh-CN"/>
        </w:rPr>
        <w:t>1</w:t>
      </w:r>
    </w:p>
    <w:p w14:paraId="36AD277B">
      <w:pPr>
        <w:pStyle w:val="13"/>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2024年度单位</w:t>
      </w:r>
      <w:r>
        <w:rPr>
          <w:rFonts w:hint="eastAsia" w:ascii="Times New Roman" w:hAnsi="Times New Roman" w:eastAsia="黑体" w:cs="黑体"/>
          <w:color w:val="auto"/>
          <w:sz w:val="32"/>
          <w:szCs w:val="32"/>
          <w:highlight w:val="none"/>
        </w:rPr>
        <w:t>决算情况说明</w:t>
      </w:r>
      <w:r>
        <w:rPr>
          <w:rFonts w:ascii="Times New Roman" w:hAnsi="Times New Roman" w:eastAsia="宋体" w:cs="Times New Roman"/>
          <w:kern w:val="2"/>
          <w:sz w:val="21"/>
          <w:szCs w:val="21"/>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2</w:t>
      </w:r>
    </w:p>
    <w:p w14:paraId="03AD81A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sz w:val="21"/>
          <w:szCs w:val="21"/>
        </w:rPr>
        <w:t>…………………………</w:t>
      </w:r>
      <w:r>
        <w:rPr>
          <w:rFonts w:hint="eastAsia"/>
          <w:sz w:val="21"/>
          <w:szCs w:val="21"/>
          <w:lang w:val="en-US" w:eastAsia="zh-CN"/>
        </w:rPr>
        <w:t>.</w:t>
      </w:r>
      <w:r>
        <w:rPr>
          <w:sz w:val="21"/>
          <w:szCs w:val="21"/>
        </w:rPr>
        <w:t>…</w:t>
      </w:r>
      <w:r>
        <w:rPr>
          <w:rFonts w:ascii="Times New Roman" w:hAnsi="Times New Roman" w:eastAsia="宋体" w:cs="Times New Roman"/>
          <w:kern w:val="2"/>
          <w:sz w:val="21"/>
          <w:szCs w:val="21"/>
          <w:lang w:val="en-US" w:eastAsia="zh-CN" w:bidi="ar-SA"/>
        </w:rPr>
        <w:t>……</w:t>
      </w:r>
      <w:r>
        <w:rPr>
          <w:sz w:val="21"/>
          <w:szCs w:val="21"/>
        </w:rPr>
        <w:t>…</w:t>
      </w:r>
      <w:r>
        <w:rPr>
          <w:rFonts w:hint="eastAsia" w:ascii="Times New Roman" w:hAnsi="Times New Roman" w:eastAsia="仿宋_GB2312" w:cs="仿宋_GB2312"/>
          <w:color w:val="auto"/>
          <w:kern w:val="2"/>
          <w:sz w:val="32"/>
          <w:szCs w:val="32"/>
          <w:highlight w:val="none"/>
          <w:lang w:val="en-US" w:eastAsia="zh-CN" w:bidi="ar-SA"/>
        </w:rPr>
        <w:t>2</w:t>
      </w:r>
    </w:p>
    <w:p w14:paraId="558FF70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sz w:val="21"/>
          <w:szCs w:val="21"/>
        </w:rPr>
        <w:t>………………………………………</w:t>
      </w:r>
      <w:r>
        <w:rPr>
          <w:rFonts w:ascii="Times New Roman" w:hAnsi="Times New Roman" w:eastAsia="宋体" w:cs="Times New Roman"/>
          <w:kern w:val="2"/>
          <w:sz w:val="21"/>
          <w:szCs w:val="21"/>
          <w:lang w:val="en-US" w:eastAsia="zh-CN" w:bidi="ar-SA"/>
        </w:rPr>
        <w:t>……</w:t>
      </w:r>
      <w:r>
        <w:rPr>
          <w:sz w:val="21"/>
          <w:szCs w:val="21"/>
        </w:rPr>
        <w:t>…</w:t>
      </w:r>
      <w:r>
        <w:rPr>
          <w:rFonts w:hint="eastAsia"/>
          <w:sz w:val="21"/>
          <w:szCs w:val="21"/>
          <w:lang w:val="en-US" w:eastAsia="zh-CN"/>
        </w:rPr>
        <w:t>.</w:t>
      </w:r>
      <w:r>
        <w:rPr>
          <w:sz w:val="21"/>
          <w:szCs w:val="21"/>
        </w:rPr>
        <w:t>……</w:t>
      </w:r>
      <w:r>
        <w:rPr>
          <w:rFonts w:hint="eastAsia" w:ascii="Times New Roman" w:hAnsi="Times New Roman" w:eastAsia="仿宋_GB2312" w:cs="仿宋_GB2312"/>
          <w:color w:val="auto"/>
          <w:kern w:val="2"/>
          <w:sz w:val="32"/>
          <w:szCs w:val="32"/>
          <w:highlight w:val="none"/>
          <w:lang w:val="en-US" w:eastAsia="zh-CN" w:bidi="ar-SA"/>
        </w:rPr>
        <w:t>2</w:t>
      </w:r>
    </w:p>
    <w:p w14:paraId="35D3495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sz w:val="21"/>
          <w:szCs w:val="21"/>
        </w:rPr>
        <w:t>………………………………………</w:t>
      </w:r>
      <w:r>
        <w:rPr>
          <w:rFonts w:ascii="Times New Roman" w:hAnsi="Times New Roman" w:eastAsia="宋体" w:cs="Times New Roman"/>
          <w:kern w:val="2"/>
          <w:sz w:val="21"/>
          <w:szCs w:val="21"/>
          <w:lang w:val="en-US" w:eastAsia="zh-CN" w:bidi="ar-SA"/>
        </w:rPr>
        <w:t>……</w:t>
      </w:r>
      <w:r>
        <w:rPr>
          <w:sz w:val="21"/>
          <w:szCs w:val="21"/>
        </w:rPr>
        <w:t>……</w:t>
      </w:r>
      <w:r>
        <w:rPr>
          <w:rFonts w:hint="eastAsia"/>
          <w:sz w:val="21"/>
          <w:szCs w:val="21"/>
          <w:lang w:val="en-US" w:eastAsia="zh-CN"/>
        </w:rPr>
        <w:t>.</w:t>
      </w:r>
      <w:r>
        <w:rPr>
          <w:sz w:val="21"/>
          <w:szCs w:val="21"/>
        </w:rPr>
        <w:t>…</w:t>
      </w:r>
      <w:r>
        <w:rPr>
          <w:rFonts w:hint="eastAsia" w:ascii="Times New Roman" w:hAnsi="Times New Roman" w:eastAsia="仿宋_GB2312" w:cs="仿宋_GB2312"/>
          <w:color w:val="auto"/>
          <w:kern w:val="2"/>
          <w:sz w:val="32"/>
          <w:szCs w:val="32"/>
          <w:highlight w:val="none"/>
          <w:lang w:val="en-US" w:eastAsia="zh-CN" w:bidi="ar-SA"/>
        </w:rPr>
        <w:t>3</w:t>
      </w:r>
    </w:p>
    <w:p w14:paraId="10A36C9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sz w:val="21"/>
          <w:szCs w:val="21"/>
        </w:rPr>
        <w:t>…………</w:t>
      </w:r>
      <w:r>
        <w:rPr>
          <w:rFonts w:ascii="Times New Roman" w:hAnsi="Times New Roman" w:eastAsia="宋体" w:cs="Times New Roman"/>
          <w:kern w:val="2"/>
          <w:sz w:val="21"/>
          <w:szCs w:val="21"/>
          <w:lang w:val="en-US" w:eastAsia="zh-CN" w:bidi="ar-SA"/>
        </w:rPr>
        <w:t>……</w:t>
      </w:r>
      <w:r>
        <w:rPr>
          <w:sz w:val="21"/>
          <w:szCs w:val="21"/>
        </w:rPr>
        <w:t>…</w:t>
      </w:r>
      <w:r>
        <w:rPr>
          <w:rFonts w:hint="eastAsia"/>
          <w:sz w:val="21"/>
          <w:szCs w:val="21"/>
          <w:lang w:val="en-US" w:eastAsia="zh-CN"/>
        </w:rPr>
        <w:t>.</w:t>
      </w:r>
      <w:r>
        <w:rPr>
          <w:sz w:val="21"/>
          <w:szCs w:val="21"/>
        </w:rPr>
        <w:t>…</w:t>
      </w:r>
      <w:r>
        <w:rPr>
          <w:rFonts w:hint="eastAsia" w:ascii="Times New Roman" w:hAnsi="Times New Roman" w:eastAsia="仿宋_GB2312" w:cs="仿宋_GB2312"/>
          <w:color w:val="auto"/>
          <w:kern w:val="2"/>
          <w:sz w:val="32"/>
          <w:szCs w:val="32"/>
          <w:highlight w:val="none"/>
          <w:lang w:val="en-US" w:eastAsia="zh-CN" w:bidi="ar-SA"/>
        </w:rPr>
        <w:t>4</w:t>
      </w:r>
    </w:p>
    <w:p w14:paraId="7C1E4B9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sz w:val="21"/>
          <w:szCs w:val="21"/>
        </w:rPr>
        <w:t>…</w:t>
      </w:r>
      <w:r>
        <w:rPr>
          <w:rFonts w:ascii="Times New Roman" w:hAnsi="Times New Roman" w:eastAsia="宋体" w:cs="Times New Roman"/>
          <w:kern w:val="2"/>
          <w:sz w:val="21"/>
          <w:szCs w:val="21"/>
          <w:lang w:val="en-US" w:eastAsia="zh-CN" w:bidi="ar-SA"/>
        </w:rPr>
        <w:t>……</w:t>
      </w:r>
      <w:r>
        <w:rPr>
          <w:sz w:val="21"/>
          <w:szCs w:val="21"/>
        </w:rPr>
        <w:t>…</w:t>
      </w:r>
      <w:r>
        <w:rPr>
          <w:rFonts w:hint="eastAsia"/>
          <w:sz w:val="21"/>
          <w:szCs w:val="21"/>
          <w:lang w:val="en-US" w:eastAsia="zh-CN"/>
        </w:rPr>
        <w:t>.</w:t>
      </w:r>
      <w:r>
        <w:rPr>
          <w:sz w:val="21"/>
          <w:szCs w:val="21"/>
        </w:rPr>
        <w:t>…</w:t>
      </w:r>
      <w:r>
        <w:rPr>
          <w:rFonts w:hint="eastAsia" w:ascii="Times New Roman" w:hAnsi="Times New Roman" w:eastAsia="仿宋_GB2312" w:cs="仿宋_GB2312"/>
          <w:color w:val="auto"/>
          <w:kern w:val="2"/>
          <w:sz w:val="32"/>
          <w:szCs w:val="32"/>
          <w:highlight w:val="none"/>
          <w:lang w:val="en-US" w:eastAsia="zh-CN" w:bidi="ar-SA"/>
        </w:rPr>
        <w:t>4</w:t>
      </w:r>
      <w:bookmarkStart w:id="64" w:name="_GoBack"/>
      <w:bookmarkEnd w:id="64"/>
    </w:p>
    <w:p w14:paraId="5A52B6B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sz w:val="21"/>
          <w:szCs w:val="21"/>
        </w:rPr>
        <w:t>……</w:t>
      </w:r>
      <w:r>
        <w:rPr>
          <w:rFonts w:hint="eastAsia" w:ascii="Times New Roman" w:hAnsi="Times New Roman" w:eastAsia="仿宋_GB2312" w:cs="仿宋_GB2312"/>
          <w:color w:val="auto"/>
          <w:kern w:val="2"/>
          <w:sz w:val="32"/>
          <w:szCs w:val="32"/>
          <w:highlight w:val="none"/>
          <w:lang w:val="en-US" w:eastAsia="zh-CN" w:bidi="ar-SA"/>
        </w:rPr>
        <w:t>7</w:t>
      </w:r>
    </w:p>
    <w:p w14:paraId="0E80F06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sz w:val="21"/>
          <w:szCs w:val="21"/>
        </w:rPr>
        <w:t>…</w:t>
      </w:r>
      <w:r>
        <w:rPr>
          <w:rFonts w:ascii="Times New Roman" w:hAnsi="Times New Roman" w:eastAsia="宋体" w:cs="Times New Roman"/>
          <w:kern w:val="2"/>
          <w:sz w:val="21"/>
          <w:szCs w:val="21"/>
          <w:lang w:val="en-US" w:eastAsia="zh-CN" w:bidi="ar-SA"/>
        </w:rPr>
        <w:t>……</w:t>
      </w:r>
      <w:r>
        <w:rPr>
          <w:sz w:val="21"/>
          <w:szCs w:val="21"/>
        </w:rPr>
        <w:t>…</w:t>
      </w:r>
      <w:r>
        <w:rPr>
          <w:rFonts w:hint="eastAsia"/>
          <w:sz w:val="21"/>
          <w:szCs w:val="21"/>
          <w:lang w:val="en-US" w:eastAsia="zh-CN"/>
        </w:rPr>
        <w:t>....</w:t>
      </w:r>
      <w:r>
        <w:rPr>
          <w:rFonts w:hint="eastAsia" w:ascii="Times New Roman" w:hAnsi="Times New Roman" w:eastAsia="仿宋_GB2312" w:cs="仿宋_GB2312"/>
          <w:color w:val="auto"/>
          <w:kern w:val="2"/>
          <w:sz w:val="32"/>
          <w:szCs w:val="32"/>
          <w:highlight w:val="none"/>
          <w:lang w:val="en-US" w:eastAsia="zh-CN" w:bidi="ar-SA"/>
        </w:rPr>
        <w:t>7</w:t>
      </w:r>
    </w:p>
    <w:p w14:paraId="7214F98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eastAsia"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sz w:val="21"/>
          <w:szCs w:val="21"/>
        </w:rPr>
        <w:t>………………</w:t>
      </w:r>
      <w:r>
        <w:rPr>
          <w:rFonts w:ascii="Times New Roman" w:hAnsi="Times New Roman" w:eastAsia="宋体" w:cs="Times New Roman"/>
          <w:kern w:val="2"/>
          <w:sz w:val="21"/>
          <w:szCs w:val="21"/>
          <w:lang w:val="en-US" w:eastAsia="zh-CN" w:bidi="ar-SA"/>
        </w:rPr>
        <w:t>……</w:t>
      </w:r>
      <w:r>
        <w:rPr>
          <w:sz w:val="21"/>
          <w:szCs w:val="21"/>
        </w:rPr>
        <w:t>…</w:t>
      </w:r>
      <w:r>
        <w:rPr>
          <w:rFonts w:hint="eastAsia"/>
          <w:sz w:val="21"/>
          <w:szCs w:val="21"/>
          <w:lang w:val="en-US" w:eastAsia="zh-CN"/>
        </w:rPr>
        <w:t>.</w:t>
      </w:r>
      <w:r>
        <w:rPr>
          <w:rFonts w:eastAsia="宋体"/>
          <w:sz w:val="21"/>
          <w:szCs w:val="21"/>
        </w:rPr>
        <w:t>…</w:t>
      </w:r>
      <w:r>
        <w:rPr>
          <w:rFonts w:hint="eastAsia" w:ascii="Times New Roman" w:hAnsi="Times New Roman" w:eastAsia="仿宋_GB2312" w:cs="仿宋_GB2312"/>
          <w:color w:val="auto"/>
          <w:kern w:val="2"/>
          <w:sz w:val="32"/>
          <w:szCs w:val="32"/>
          <w:highlight w:val="none"/>
          <w:lang w:val="en-US" w:eastAsia="zh-CN" w:bidi="ar-SA"/>
        </w:rPr>
        <w:t>9</w:t>
      </w:r>
    </w:p>
    <w:p w14:paraId="3647E9E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sz w:val="21"/>
          <w:szCs w:val="21"/>
        </w:rPr>
        <w:t>…………</w:t>
      </w:r>
      <w:r>
        <w:rPr>
          <w:rFonts w:ascii="Times New Roman" w:hAnsi="Times New Roman" w:eastAsia="宋体" w:cs="Times New Roman"/>
          <w:kern w:val="2"/>
          <w:sz w:val="21"/>
          <w:szCs w:val="21"/>
          <w:lang w:val="en-US" w:eastAsia="zh-CN" w:bidi="ar-SA"/>
        </w:rPr>
        <w:t>……</w:t>
      </w:r>
      <w:r>
        <w:rPr>
          <w:sz w:val="21"/>
          <w:szCs w:val="21"/>
        </w:rPr>
        <w:t>…</w:t>
      </w:r>
      <w:r>
        <w:rPr>
          <w:rFonts w:hint="eastAsia"/>
          <w:sz w:val="21"/>
          <w:szCs w:val="21"/>
          <w:lang w:val="en-US" w:eastAsia="zh-CN"/>
        </w:rPr>
        <w:t>.....</w:t>
      </w:r>
      <w:r>
        <w:rPr>
          <w:rFonts w:hint="eastAsia" w:eastAsia="仿宋_GB2312" w:cs="仿宋_GB2312"/>
          <w:color w:val="auto"/>
          <w:kern w:val="2"/>
          <w:sz w:val="32"/>
          <w:szCs w:val="32"/>
          <w:highlight w:val="none"/>
          <w:lang w:val="en-US" w:eastAsia="zh-CN" w:bidi="ar-SA"/>
        </w:rPr>
        <w:t>9</w:t>
      </w:r>
    </w:p>
    <w:p w14:paraId="370CB86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distribute"/>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sz w:val="21"/>
          <w:szCs w:val="21"/>
        </w:rPr>
        <w:t>…………………</w:t>
      </w:r>
      <w:r>
        <w:rPr>
          <w:rFonts w:hint="default" w:ascii="Times New Roman" w:hAnsi="Times New Roman" w:cs="Times New Roman"/>
          <w:sz w:val="21"/>
          <w:szCs w:val="21"/>
        </w:rPr>
        <w:t>……</w:t>
      </w:r>
      <w:r>
        <w:rPr>
          <w:sz w:val="21"/>
          <w:szCs w:val="21"/>
        </w:rPr>
        <w:t>………</w:t>
      </w:r>
      <w:r>
        <w:rPr>
          <w:rFonts w:hint="eastAsia"/>
          <w:sz w:val="21"/>
          <w:szCs w:val="21"/>
          <w:lang w:val="en-US" w:eastAsia="zh-CN"/>
        </w:rPr>
        <w:t>...</w:t>
      </w:r>
      <w:r>
        <w:rPr>
          <w:sz w:val="21"/>
          <w:szCs w:val="21"/>
        </w:rPr>
        <w:t>…</w:t>
      </w:r>
      <w:r>
        <w:rPr>
          <w:rFonts w:hint="eastAsia"/>
          <w:sz w:val="21"/>
          <w:szCs w:val="21"/>
          <w:lang w:val="en-US" w:eastAsia="zh-CN"/>
        </w:rPr>
        <w:t>..</w:t>
      </w:r>
      <w:r>
        <w:rPr>
          <w:sz w:val="21"/>
          <w:szCs w:val="21"/>
        </w:rPr>
        <w:t>…</w:t>
      </w:r>
      <w:r>
        <w:rPr>
          <w:rFonts w:hint="eastAsia"/>
          <w:sz w:val="21"/>
          <w:szCs w:val="21"/>
          <w:lang w:val="en-US" w:eastAsia="zh-CN"/>
        </w:rPr>
        <w:t>..</w:t>
      </w:r>
      <w:r>
        <w:rPr>
          <w:rFonts w:hint="eastAsia" w:eastAsia="仿宋_GB2312" w:cs="仿宋_GB2312"/>
          <w:color w:val="auto"/>
          <w:kern w:val="2"/>
          <w:sz w:val="32"/>
          <w:szCs w:val="32"/>
          <w:highlight w:val="none"/>
          <w:lang w:val="en-US" w:eastAsia="zh-CN" w:bidi="ar-SA"/>
        </w:rPr>
        <w:t>9</w:t>
      </w:r>
    </w:p>
    <w:p w14:paraId="2BEDD85E">
      <w:pPr>
        <w:pStyle w:val="13"/>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default" w:ascii="Times New Roman" w:hAnsi="Times New Roman" w:cs="Times New Roman"/>
          <w:sz w:val="21"/>
          <w:szCs w:val="21"/>
        </w:rPr>
        <w:t>…………………………………………………………………</w:t>
      </w:r>
      <w:r>
        <w:rPr>
          <w:rFonts w:hint="eastAsia" w:ascii="Times New Roman" w:hAnsi="Times New Roman" w:eastAsia="仿宋_GB2312" w:cs="仿宋_GB2312"/>
          <w:color w:val="auto"/>
          <w:kern w:val="2"/>
          <w:sz w:val="32"/>
          <w:szCs w:val="32"/>
          <w:highlight w:val="none"/>
          <w:lang w:val="en-US" w:eastAsia="zh-CN" w:bidi="ar-SA"/>
        </w:rPr>
        <w:t>11</w:t>
      </w:r>
    </w:p>
    <w:p w14:paraId="720713DA">
      <w:pPr>
        <w:pStyle w:val="13"/>
        <w:keepNext w:val="0"/>
        <w:keepLines w:val="0"/>
        <w:pageBreakBefore w:val="0"/>
        <w:kinsoku/>
        <w:wordWrap/>
        <w:overflowPunct/>
        <w:topLinePunct w:val="0"/>
        <w:autoSpaceDE/>
        <w:autoSpaceDN/>
        <w:bidi w:val="0"/>
        <w:adjustRightInd w:val="0"/>
        <w:snapToGrid w:val="0"/>
        <w:spacing w:before="0" w:line="560" w:lineRule="exact"/>
        <w:jc w:val="distribute"/>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default" w:ascii="Times New Roman" w:hAnsi="Times New Roman" w:cs="Times New Roman"/>
          <w:sz w:val="21"/>
          <w:szCs w:val="21"/>
        </w:rPr>
        <w:t>……………………</w:t>
      </w:r>
      <w:r>
        <w:rPr>
          <w:rFonts w:hint="default" w:ascii="Times New Roman" w:hAnsi="Times New Roman" w:cs="Times New Roman"/>
          <w:sz w:val="21"/>
          <w:szCs w:val="21"/>
          <w:lang w:eastAsia="zh-CN"/>
        </w:rPr>
        <w:t>……………………………………………</w:t>
      </w:r>
      <w:r>
        <w:rPr>
          <w:rFonts w:hint="default" w:ascii="Times New Roman" w:hAnsi="Times New Roman" w:cs="Times New Roman"/>
          <w:sz w:val="21"/>
          <w:szCs w:val="21"/>
        </w:rPr>
        <w:t>………</w:t>
      </w:r>
      <w:r>
        <w:rPr>
          <w:rFonts w:hint="eastAsia" w:ascii="Times New Roman" w:hAnsi="Times New Roman" w:eastAsia="仿宋_GB2312" w:cs="仿宋_GB2312"/>
          <w:color w:val="auto"/>
          <w:kern w:val="2"/>
          <w:sz w:val="32"/>
          <w:szCs w:val="32"/>
          <w:highlight w:val="none"/>
          <w:lang w:val="en-US" w:eastAsia="zh-CN" w:bidi="ar-SA"/>
        </w:rPr>
        <w:t>14</w:t>
      </w:r>
      <w:r>
        <w:rPr>
          <w:rFonts w:hint="eastAsia" w:ascii="Times New Roman" w:hAnsi="Times New Roman" w:eastAsia="黑体" w:cs="黑体"/>
          <w:color w:val="auto"/>
          <w:sz w:val="32"/>
          <w:szCs w:val="32"/>
          <w:highlight w:val="none"/>
        </w:rPr>
        <w:t>第五部分 附表</w:t>
      </w:r>
      <w:r>
        <w:rPr>
          <w:rFonts w:hint="default" w:ascii="Times New Roman" w:hAnsi="Times New Roman" w:cs="Times New Roman"/>
          <w:sz w:val="21"/>
          <w:szCs w:val="21"/>
        </w:rPr>
        <w:t>…………………………</w:t>
      </w:r>
      <w:r>
        <w:rPr>
          <w:rFonts w:hint="default" w:ascii="Times New Roman" w:hAnsi="Times New Roman" w:cs="Times New Roman"/>
          <w:sz w:val="21"/>
          <w:szCs w:val="21"/>
          <w:lang w:eastAsia="zh-CN"/>
        </w:rPr>
        <w:t>……………………………………………</w:t>
      </w:r>
      <w:r>
        <w:rPr>
          <w:rFonts w:hint="default" w:ascii="Times New Roman" w:hAnsi="Times New Roman" w:cs="Times New Roman"/>
          <w:sz w:val="21"/>
          <w:szCs w:val="21"/>
        </w:rPr>
        <w:t>…</w:t>
      </w:r>
      <w:r>
        <w:rPr>
          <w:rFonts w:hint="eastAsia" w:ascii="Times New Roman" w:hAnsi="Times New Roman" w:eastAsia="仿宋_GB2312" w:cs="仿宋_GB2312"/>
          <w:color w:val="auto"/>
          <w:kern w:val="2"/>
          <w:sz w:val="32"/>
          <w:szCs w:val="32"/>
          <w:highlight w:val="none"/>
          <w:lang w:val="en-US" w:eastAsia="zh-CN" w:bidi="ar-SA"/>
        </w:rPr>
        <w:t>15</w:t>
      </w:r>
    </w:p>
    <w:p w14:paraId="6B4F419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Times New Roman" w:hAnsi="Times New Roman" w:eastAsia="仿宋_GB2312" w:cs="仿宋_GB2312"/>
          <w:b/>
          <w:bCs/>
          <w:color w:val="auto"/>
          <w:sz w:val="32"/>
          <w:szCs w:val="32"/>
          <w:highlight w:val="none"/>
          <w:lang w:eastAsia="zh-CN"/>
        </w:rPr>
      </w:pPr>
    </w:p>
    <w:p w14:paraId="22A6BFA6">
      <w:pPr>
        <w:rPr>
          <w:rFonts w:hint="eastAsia" w:ascii="Times New Roman" w:hAnsi="Times New Roman" w:eastAsia="方正小标宋简体" w:cs="方正小标宋简体"/>
          <w:b w:val="0"/>
          <w:color w:val="auto"/>
          <w:highlight w:val="none"/>
        </w:rPr>
      </w:pPr>
      <w:bookmarkStart w:id="12" w:name="_Toc15396599"/>
      <w:bookmarkStart w:id="13" w:name="_Toc15377196"/>
    </w:p>
    <w:p w14:paraId="1DC0DF5C">
      <w:pPr>
        <w:pStyle w:val="3"/>
        <w:bidi w:val="0"/>
        <w:outlineLvl w:val="0"/>
        <w:rPr>
          <w:rFonts w:hint="eastAsia"/>
        </w:rPr>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pPr>
    </w:p>
    <w:p w14:paraId="7193F45A">
      <w:pPr>
        <w:pStyle w:val="3"/>
        <w:jc w:val="center"/>
        <w:rPr>
          <w:rStyle w:val="29"/>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eastAsia="方正小标宋简体" w:cs="方正小标宋简体"/>
          <w:b w:val="0"/>
          <w:bCs w:val="0"/>
          <w:color w:val="auto"/>
          <w:highlight w:val="none"/>
          <w:lang w:eastAsia="zh-CN"/>
        </w:rPr>
        <w:t>单位</w:t>
      </w:r>
      <w:r>
        <w:rPr>
          <w:rStyle w:val="29"/>
          <w:rFonts w:hint="eastAsia" w:ascii="Times New Roman" w:hAnsi="Times New Roman" w:eastAsia="方正小标宋简体" w:cs="方正小标宋简体"/>
          <w:b w:val="0"/>
          <w:bCs w:val="0"/>
          <w:color w:val="auto"/>
          <w:highlight w:val="none"/>
        </w:rPr>
        <w:t>概况</w:t>
      </w:r>
      <w:bookmarkEnd w:id="12"/>
      <w:bookmarkEnd w:id="13"/>
    </w:p>
    <w:p w14:paraId="2C5C628E">
      <w:pPr>
        <w:widowControl/>
        <w:jc w:val="left"/>
        <w:rPr>
          <w:rFonts w:ascii="Times New Roman" w:hAnsi="Times New Roman" w:eastAsia="黑体"/>
          <w:color w:val="auto"/>
          <w:sz w:val="32"/>
          <w:szCs w:val="32"/>
          <w:highlight w:val="none"/>
        </w:rPr>
      </w:pPr>
    </w:p>
    <w:p w14:paraId="677836F6">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单位职责</w:t>
      </w:r>
    </w:p>
    <w:p w14:paraId="1EE4518E">
      <w:pPr>
        <w:ind w:firstLine="800" w:firstLineChars="25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负责高质量发展建设共同富裕试验区</w:t>
      </w:r>
      <w:r>
        <w:rPr>
          <w:rFonts w:hint="eastAsia" w:ascii="仿宋_GB2312" w:hAnsi="仿宋_GB2312" w:eastAsia="仿宋_GB2312" w:cs="仿宋_GB2312"/>
          <w:color w:val="auto"/>
          <w:sz w:val="32"/>
          <w:szCs w:val="32"/>
          <w:highlight w:val="none"/>
          <w:lang w:val="en-US" w:eastAsia="zh-CN"/>
        </w:rPr>
        <w:t>的日常事务性工作</w:t>
      </w:r>
      <w:r>
        <w:rPr>
          <w:rFonts w:hint="eastAsia" w:ascii="仿宋_GB2312" w:hAnsi="仿宋_GB2312" w:eastAsia="仿宋_GB2312" w:cs="仿宋_GB2312"/>
          <w:color w:val="auto"/>
          <w:sz w:val="32"/>
          <w:szCs w:val="32"/>
          <w:highlight w:val="none"/>
        </w:rPr>
        <w:t>，参与建设共同富裕试验区发展战略、中长期规划和年度计划的组织实施，协助开展相关重点工作、重大项目、重要活动。</w:t>
      </w:r>
      <w:r>
        <w:rPr>
          <w:rFonts w:hint="eastAsia" w:ascii="仿宋_GB2312" w:hAnsi="仿宋_GB2312" w:eastAsia="仿宋_GB2312" w:cs="仿宋_GB2312"/>
          <w:color w:val="auto"/>
          <w:sz w:val="32"/>
          <w:szCs w:val="32"/>
          <w:highlight w:val="none"/>
          <w:lang w:val="en-US" w:eastAsia="zh-CN"/>
        </w:rPr>
        <w:t>负责市民生工作推进相关的政策研究、信息调研、情况分析、数据统计等工作。</w:t>
      </w:r>
    </w:p>
    <w:p w14:paraId="19F70886">
      <w:pPr>
        <w:pStyle w:val="4"/>
        <w:rPr>
          <w:rStyle w:val="30"/>
          <w:rFonts w:ascii="Times New Roman" w:hAnsi="Times New Roman"/>
          <w:b w:val="0"/>
          <w:bCs w:val="0"/>
          <w:color w:val="auto"/>
          <w:highlight w:val="none"/>
        </w:rPr>
      </w:pPr>
      <w:bookmarkStart w:id="14" w:name="_Toc15377200"/>
      <w:bookmarkStart w:id="15" w:name="_Toc15396601"/>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4"/>
      <w:bookmarkEnd w:id="15"/>
    </w:p>
    <w:p w14:paraId="68693971">
      <w:pPr>
        <w:ind w:firstLine="800" w:firstLineChars="250"/>
        <w:rPr>
          <w:rFonts w:hint="eastAsia"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攀枝花市社会建设事务中心为一级预算管理独立核算单位。为市</w:t>
      </w:r>
      <w:r>
        <w:rPr>
          <w:rFonts w:hint="eastAsia" w:ascii="仿宋_GB2312" w:hAnsi="仿宋_GB2312" w:eastAsia="仿宋_GB2312" w:cs="仿宋_GB2312"/>
          <w:color w:val="auto"/>
          <w:sz w:val="32"/>
          <w:szCs w:val="32"/>
          <w:highlight w:val="none"/>
          <w:lang w:val="en-US" w:eastAsia="zh-CN"/>
        </w:rPr>
        <w:t>委</w:t>
      </w:r>
      <w:r>
        <w:rPr>
          <w:rFonts w:hint="eastAsia" w:ascii="仿宋_GB2312" w:hAnsi="仿宋_GB2312" w:eastAsia="仿宋_GB2312" w:cs="仿宋_GB2312"/>
          <w:color w:val="auto"/>
          <w:sz w:val="32"/>
          <w:szCs w:val="32"/>
          <w:highlight w:val="none"/>
        </w:rPr>
        <w:t>直属公益一类事业单位，由市</w:t>
      </w:r>
      <w:r>
        <w:rPr>
          <w:rFonts w:hint="eastAsia" w:ascii="仿宋_GB2312" w:hAnsi="仿宋_GB2312" w:eastAsia="仿宋_GB2312" w:cs="仿宋_GB2312"/>
          <w:color w:val="auto"/>
          <w:sz w:val="32"/>
          <w:szCs w:val="32"/>
          <w:highlight w:val="none"/>
          <w:lang w:val="en-US" w:eastAsia="zh-CN"/>
        </w:rPr>
        <w:t>委共富办</w:t>
      </w:r>
      <w:r>
        <w:rPr>
          <w:rFonts w:hint="eastAsia" w:ascii="仿宋_GB2312" w:hAnsi="仿宋_GB2312" w:eastAsia="仿宋_GB2312" w:cs="仿宋_GB2312"/>
          <w:color w:val="auto"/>
          <w:sz w:val="32"/>
          <w:szCs w:val="32"/>
          <w:highlight w:val="none"/>
        </w:rPr>
        <w:t>代管。设置内设机构</w:t>
      </w:r>
      <w:r>
        <w:rPr>
          <w:rFonts w:hint="default"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个，具体为：综合科、</w:t>
      </w:r>
      <w:r>
        <w:rPr>
          <w:rFonts w:hint="eastAsia" w:ascii="仿宋_GB2312" w:hAnsi="仿宋_GB2312" w:eastAsia="仿宋_GB2312" w:cs="仿宋_GB2312"/>
          <w:color w:val="auto"/>
          <w:sz w:val="32"/>
          <w:szCs w:val="32"/>
          <w:highlight w:val="none"/>
          <w:lang w:val="en-US" w:eastAsia="zh-CN"/>
        </w:rPr>
        <w:t>共富一科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共富二科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共富三科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共富四科、共富五科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无</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eastAsia="zh-CN"/>
        </w:rPr>
        <w:t>。</w:t>
      </w:r>
    </w:p>
    <w:p w14:paraId="74F37460">
      <w:pPr>
        <w:ind w:firstLine="800" w:firstLineChars="250"/>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t>纳入攀枝花市社会建设事务中心2024年度</w:t>
      </w:r>
      <w:r>
        <w:rPr>
          <w:rFonts w:hint="eastAsia" w:eastAsia="仿宋"/>
          <w:color w:val="auto"/>
          <w:sz w:val="32"/>
          <w:szCs w:val="32"/>
          <w:highlight w:val="none"/>
          <w:lang w:eastAsia="zh-CN"/>
        </w:rPr>
        <w:t>单位</w:t>
      </w:r>
      <w:r>
        <w:rPr>
          <w:rFonts w:ascii="Times New Roman" w:hAnsi="Times New Roman" w:eastAsia="仿宋"/>
          <w:color w:val="auto"/>
          <w:sz w:val="32"/>
          <w:szCs w:val="32"/>
          <w:highlight w:val="none"/>
        </w:rPr>
        <w:t>决算编制范围的二级预算单位无。</w:t>
      </w:r>
      <w:r>
        <w:rPr>
          <w:rFonts w:ascii="Times New Roman" w:hAnsi="Times New Roman" w:eastAsia="仿宋"/>
          <w:color w:val="auto"/>
          <w:sz w:val="32"/>
          <w:szCs w:val="32"/>
          <w:highlight w:val="none"/>
        </w:rPr>
        <w:br w:type="page"/>
      </w:r>
    </w:p>
    <w:p w14:paraId="396D8C63">
      <w:pPr>
        <w:pStyle w:val="3"/>
        <w:jc w:val="center"/>
        <w:rPr>
          <w:rFonts w:hint="eastAsia" w:ascii="Times New Roman" w:hAnsi="Times New Roman" w:eastAsia="方正小标宋简体" w:cs="方正小标宋简体"/>
          <w:b w:val="0"/>
          <w:color w:val="auto"/>
          <w:highlight w:val="none"/>
        </w:rPr>
      </w:pPr>
      <w:bookmarkStart w:id="16" w:name="_Toc15377204"/>
      <w:bookmarkStart w:id="17"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16"/>
      <w:bookmarkEnd w:id="17"/>
    </w:p>
    <w:p w14:paraId="175C9ED4">
      <w:pPr>
        <w:rPr>
          <w:rFonts w:ascii="Times New Roman" w:hAnsi="Times New Roman"/>
          <w:color w:val="auto"/>
          <w:highlight w:val="none"/>
        </w:rPr>
      </w:pPr>
    </w:p>
    <w:p w14:paraId="4DCF0501">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8" w:name="_Toc15396603"/>
      <w:bookmarkStart w:id="19"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8"/>
      <w:bookmarkEnd w:id="19"/>
    </w:p>
    <w:p w14:paraId="5C27B4A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2024年度收入、支出总计均为364.33万元。与2023年度相比，收入、支出总计各增加52.54万元，增长16.85%。主要变动原因是人员经费及项目支出增加。主要原因为每年</w:t>
      </w:r>
      <w:r>
        <w:rPr>
          <w:rFonts w:hint="eastAsia" w:eastAsia="仿宋_GB2312" w:cs="仿宋_GB2312"/>
          <w:color w:val="auto"/>
          <w:sz w:val="32"/>
          <w:szCs w:val="32"/>
          <w:highlight w:val="none"/>
          <w:lang w:val="en-US" w:eastAsia="zh-CN"/>
        </w:rPr>
        <w:t>事业人员薪级</w:t>
      </w:r>
      <w:r>
        <w:rPr>
          <w:rFonts w:hint="eastAsia" w:ascii="Times New Roman" w:hAnsi="Times New Roman" w:eastAsia="仿宋_GB2312" w:cs="仿宋_GB2312"/>
          <w:color w:val="auto"/>
          <w:sz w:val="32"/>
          <w:szCs w:val="32"/>
          <w:highlight w:val="none"/>
          <w:lang w:eastAsia="zh-CN"/>
        </w:rPr>
        <w:t>工资晋升、社保递增及我单位202</w:t>
      </w:r>
      <w:r>
        <w:rPr>
          <w:rFonts w:hint="eastAsia"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eastAsia="zh-CN"/>
        </w:rPr>
        <w:t>年人员增加</w:t>
      </w: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eastAsia="zh-CN"/>
        </w:rPr>
        <w:t>人，相应工资社保等相关费用增加。</w:t>
      </w:r>
    </w:p>
    <w:p w14:paraId="63B4B734">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黑体"/>
          <w:color w:val="auto"/>
          <w:sz w:val="32"/>
          <w:szCs w:val="32"/>
          <w:highlight w:val="none"/>
          <w:lang w:eastAsia="zh-CN"/>
        </w:rPr>
      </w:pPr>
      <w:bookmarkStart w:id="20" w:name="_Toc15396604"/>
      <w:bookmarkStart w:id="21" w:name="_Toc15377206"/>
      <w:r>
        <w:rPr>
          <w:rFonts w:hint="eastAsia" w:ascii="Times New Roman" w:hAnsi="Times New Roman" w:eastAsia="仿宋_GB2312" w:cs="仿宋_GB2312"/>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444500</wp:posOffset>
            </wp:positionH>
            <wp:positionV relativeFrom="paragraph">
              <wp:posOffset>93980</wp:posOffset>
            </wp:positionV>
            <wp:extent cx="4686300" cy="2928620"/>
            <wp:effectExtent l="4445" t="5080" r="14605" b="19050"/>
            <wp:wrapTopAndBottom/>
            <wp:docPr id="3" name="图表 3" descr="7b0a202020202263686172745265734964223a2022343631303335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eastAsia="仿宋_GB2312" w:cs="仿宋_GB2312"/>
          <w:color w:val="auto"/>
          <w:sz w:val="32"/>
          <w:szCs w:val="32"/>
        </w:rPr>
        <w:t>图1：收入、支出决算总计变动情况图</w:t>
      </w:r>
    </w:p>
    <w:p w14:paraId="72C8ADCF">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20"/>
      <w:bookmarkEnd w:id="21"/>
    </w:p>
    <w:p w14:paraId="0CCD20CC">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lang w:eastAsia="zh-CN"/>
        </w:rPr>
        <w:t>年度本年收入合计</w:t>
      </w:r>
      <w:r>
        <w:rPr>
          <w:rFonts w:hint="eastAsia" w:ascii="Times New Roman" w:hAnsi="Times New Roman" w:eastAsia="仿宋_GB2312" w:cs="仿宋_GB2312"/>
          <w:color w:val="auto"/>
          <w:sz w:val="32"/>
          <w:szCs w:val="32"/>
          <w:highlight w:val="none"/>
          <w:lang w:eastAsia="zh-CN"/>
        </w:rPr>
        <w:t>364.33</w:t>
      </w:r>
      <w:r>
        <w:rPr>
          <w:rFonts w:hint="eastAsia" w:ascii="仿宋_GB2312" w:hAnsi="仿宋_GB2312" w:eastAsia="仿宋_GB2312" w:cs="仿宋_GB2312"/>
          <w:sz w:val="32"/>
          <w:szCs w:val="32"/>
        </w:rPr>
        <w:t>万元，其中：一般公共预算财政拨款收入</w:t>
      </w:r>
      <w:r>
        <w:rPr>
          <w:rFonts w:hint="eastAsia" w:ascii="Times New Roman" w:hAnsi="Times New Roman" w:eastAsia="仿宋_GB2312" w:cs="仿宋_GB2312"/>
          <w:color w:val="auto"/>
          <w:sz w:val="32"/>
          <w:szCs w:val="32"/>
          <w:highlight w:val="none"/>
          <w:lang w:eastAsia="zh-CN"/>
        </w:rPr>
        <w:t>364.33</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；上级补助收入</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；事业收</w:t>
      </w:r>
      <w:r>
        <w:rPr>
          <w:rFonts w:hint="eastAsia" w:ascii="Times New Roman" w:hAnsi="Times New Roman" w:eastAsia="仿宋_GB2312" w:cs="仿宋_GB2312"/>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453390</wp:posOffset>
            </wp:positionH>
            <wp:positionV relativeFrom="paragraph">
              <wp:posOffset>506095</wp:posOffset>
            </wp:positionV>
            <wp:extent cx="4650105" cy="3014980"/>
            <wp:effectExtent l="4445" t="4445" r="1270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color w:val="auto"/>
          <w:sz w:val="32"/>
          <w:szCs w:val="32"/>
          <w:highlight w:val="none"/>
          <w:lang w:eastAsia="zh-CN"/>
        </w:rPr>
        <w:t>入</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；其他收入</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w:t>
      </w:r>
    </w:p>
    <w:p w14:paraId="487F2A01">
      <w:pPr>
        <w:spacing w:beforeLines="0" w:afterLines="0"/>
        <w:jc w:val="center"/>
        <w:rPr>
          <w:rFonts w:hint="eastAsia" w:ascii="Times New Roman" w:hAnsi="Times New Roman" w:eastAsia="黑体"/>
          <w:color w:val="auto"/>
          <w:sz w:val="32"/>
          <w:szCs w:val="32"/>
          <w:highlight w:val="none"/>
          <w:lang w:eastAsia="zh-CN"/>
        </w:rPr>
      </w:pPr>
      <w:bookmarkStart w:id="22" w:name="_Toc15396605"/>
      <w:bookmarkStart w:id="23" w:name="_Toc15377207"/>
      <w:r>
        <w:rPr>
          <w:rFonts w:hint="eastAsia" w:eastAsia="仿宋_GB2312" w:cs="仿宋_GB2312"/>
          <w:color w:val="auto"/>
          <w:sz w:val="32"/>
          <w:szCs w:val="32"/>
        </w:rPr>
        <w:t>图2：收入决算结构图</w:t>
      </w:r>
    </w:p>
    <w:p w14:paraId="2FA9593C">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22"/>
      <w:bookmarkEnd w:id="23"/>
    </w:p>
    <w:p w14:paraId="018D4606">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lang w:eastAsia="zh-CN"/>
        </w:rPr>
        <w:t>年度本年支出合计</w:t>
      </w:r>
      <w:r>
        <w:rPr>
          <w:rFonts w:hint="eastAsia" w:ascii="Times New Roman" w:hAnsi="Times New Roman" w:eastAsia="仿宋_GB2312" w:cs="仿宋_GB2312"/>
          <w:color w:val="auto"/>
          <w:sz w:val="32"/>
          <w:szCs w:val="32"/>
          <w:highlight w:val="none"/>
          <w:lang w:eastAsia="zh-CN"/>
        </w:rPr>
        <w:t>364.33</w:t>
      </w:r>
      <w:r>
        <w:rPr>
          <w:rFonts w:hint="eastAsia" w:ascii="仿宋_GB2312" w:hAnsi="仿宋_GB2312" w:eastAsia="仿宋_GB2312" w:cs="仿宋_GB2312"/>
          <w:color w:val="auto"/>
          <w:sz w:val="32"/>
          <w:szCs w:val="32"/>
          <w:highlight w:val="none"/>
          <w:lang w:eastAsia="zh-CN"/>
        </w:rPr>
        <w:t>万元，其中：基本支出</w:t>
      </w:r>
      <w:r>
        <w:rPr>
          <w:rFonts w:hint="eastAsia" w:ascii="Times New Roman" w:hAnsi="Times New Roman" w:eastAsia="仿宋_GB2312" w:cs="仿宋_GB2312"/>
          <w:color w:val="auto"/>
          <w:sz w:val="32"/>
          <w:szCs w:val="32"/>
          <w:highlight w:val="none"/>
          <w:lang w:eastAsia="zh-CN"/>
        </w:rPr>
        <w:t>290.2</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79.65%</w:t>
      </w:r>
      <w:r>
        <w:rPr>
          <w:rFonts w:hint="eastAsia" w:ascii="仿宋_GB2312" w:hAnsi="仿宋_GB2312" w:eastAsia="仿宋_GB2312" w:cs="仿宋_GB2312"/>
          <w:color w:val="auto"/>
          <w:sz w:val="32"/>
          <w:szCs w:val="32"/>
          <w:highlight w:val="none"/>
          <w:lang w:eastAsia="zh-CN"/>
        </w:rPr>
        <w:t>；项目支出</w:t>
      </w:r>
      <w:r>
        <w:rPr>
          <w:rFonts w:hint="eastAsia" w:ascii="Times New Roman" w:hAnsi="Times New Roman" w:eastAsia="仿宋_GB2312" w:cs="仿宋_GB2312"/>
          <w:color w:val="auto"/>
          <w:sz w:val="32"/>
          <w:szCs w:val="32"/>
          <w:highlight w:val="none"/>
          <w:lang w:eastAsia="zh-CN"/>
        </w:rPr>
        <w:t>74.13</w:t>
      </w:r>
      <w:r>
        <w:rPr>
          <w:rFonts w:hint="eastAsia" w:ascii="仿宋_GB2312" w:hAnsi="仿宋_GB2312" w:eastAsia="仿宋_GB2312" w:cs="仿宋_GB2312"/>
          <w:color w:val="auto"/>
          <w:sz w:val="32"/>
          <w:szCs w:val="32"/>
          <w:highlight w:val="none"/>
          <w:lang w:eastAsia="zh-CN"/>
        </w:rPr>
        <w:t>万元，占</w:t>
      </w:r>
      <w:r>
        <w:rPr>
          <w:rFonts w:hint="eastAsia" w:ascii="Times New Roman" w:hAnsi="Times New Roman" w:eastAsia="仿宋_GB2312" w:cs="仿宋_GB2312"/>
          <w:color w:val="auto"/>
          <w:sz w:val="32"/>
          <w:szCs w:val="32"/>
          <w:highlight w:val="none"/>
          <w:lang w:eastAsia="zh-CN"/>
        </w:rPr>
        <w:t>20.35%</w:t>
      </w:r>
      <w:r>
        <w:rPr>
          <w:rFonts w:hint="eastAsia"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上缴上级支出</w:t>
      </w:r>
      <w:r>
        <w:rPr>
          <w:rFonts w:hint="eastAsia" w:ascii="Times New Roman" w:hAnsi="Times New Roman" w:eastAsia="仿宋_GB2312" w:cs="仿宋_GB2312"/>
          <w:color w:val="auto"/>
          <w:sz w:val="32"/>
          <w:szCs w:val="32"/>
          <w:highlight w:val="none"/>
          <w:lang w:eastAsia="zh-CN"/>
        </w:rPr>
        <w:t>0</w:t>
      </w:r>
      <w:r>
        <w:rPr>
          <w:rFonts w:hint="eastAsia" w:ascii="仿宋_GB2312" w:hAnsi="仿宋_GB2312" w:eastAsia="仿宋_GB2312" w:cs="仿宋_GB2312"/>
          <w:color w:val="auto"/>
          <w:sz w:val="32"/>
          <w:szCs w:val="32"/>
          <w:highlight w:val="none"/>
          <w:lang w:eastAsia="zh-CN"/>
        </w:rPr>
        <w:t>万元。</w:t>
      </w:r>
    </w:p>
    <w:p w14:paraId="71D1A6E0">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4690745" cy="2785110"/>
            <wp:effectExtent l="4445" t="5080" r="16510" b="1651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1722FE">
      <w:pPr>
        <w:jc w:val="center"/>
        <w:rPr>
          <w:rFonts w:hint="eastAsia" w:ascii="Times New Roman" w:hAnsi="Times New Roman" w:eastAsia="黑体"/>
          <w:color w:val="auto"/>
          <w:sz w:val="32"/>
          <w:szCs w:val="32"/>
          <w:highlight w:val="none"/>
        </w:rPr>
      </w:pPr>
      <w:bookmarkStart w:id="24" w:name="_Toc15377208"/>
      <w:bookmarkStart w:id="25" w:name="_Toc15396606"/>
      <w:r>
        <w:rPr>
          <w:rFonts w:hint="eastAsia" w:ascii="Times New Roman" w:hAnsi="Times New Roman" w:eastAsia="仿宋_GB2312" w:cs="仿宋_GB2312"/>
          <w:color w:val="auto"/>
          <w:sz w:val="32"/>
          <w:szCs w:val="32"/>
          <w:highlight w:val="none"/>
          <w:lang w:eastAsia="zh-CN"/>
        </w:rPr>
        <w:t>图3：支出决算结构图</w:t>
      </w:r>
    </w:p>
    <w:p w14:paraId="3C8ADFCB">
      <w:pPr>
        <w:spacing w:line="600" w:lineRule="exact"/>
        <w:ind w:firstLine="640" w:firstLineChars="200"/>
        <w:outlineLvl w:val="1"/>
        <w:rPr>
          <w:rStyle w:val="30"/>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24"/>
      <w:bookmarkEnd w:id="25"/>
    </w:p>
    <w:p w14:paraId="2A49CC2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2024年度财政拨款收入、支出总计均为364.33万元。与2023年度相比，财政拨款收入总计、支出总计各增加52.54万元，增长16.85%。</w:t>
      </w:r>
      <w:r>
        <w:rPr>
          <w:rFonts w:hint="eastAsia" w:ascii="Times New Roman" w:hAnsi="Times New Roman" w:eastAsia="仿宋_GB2312" w:cs="仿宋_GB2312"/>
          <w:color w:val="auto"/>
          <w:sz w:val="32"/>
          <w:szCs w:val="32"/>
          <w:highlight w:val="none"/>
          <w:lang w:eastAsia="zh-CN"/>
        </w:rPr>
        <w:t>主要原因为每年</w:t>
      </w:r>
      <w:r>
        <w:rPr>
          <w:rFonts w:hint="eastAsia" w:eastAsia="仿宋_GB2312" w:cs="仿宋_GB2312"/>
          <w:color w:val="auto"/>
          <w:sz w:val="32"/>
          <w:szCs w:val="32"/>
          <w:highlight w:val="none"/>
          <w:lang w:val="en-US" w:eastAsia="zh-CN"/>
        </w:rPr>
        <w:t>事业人员薪级</w:t>
      </w:r>
      <w:r>
        <w:rPr>
          <w:rFonts w:hint="eastAsia" w:ascii="Times New Roman" w:hAnsi="Times New Roman" w:eastAsia="仿宋_GB2312" w:cs="仿宋_GB2312"/>
          <w:color w:val="auto"/>
          <w:sz w:val="32"/>
          <w:szCs w:val="32"/>
          <w:highlight w:val="none"/>
          <w:lang w:eastAsia="zh-CN"/>
        </w:rPr>
        <w:t>工资晋升、社保递增及我单位202</w:t>
      </w:r>
      <w:r>
        <w:rPr>
          <w:rFonts w:hint="eastAsia"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eastAsia="zh-CN"/>
        </w:rPr>
        <w:t>年人员增加</w:t>
      </w: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eastAsia="zh-CN"/>
        </w:rPr>
        <w:t>人，相应工资社保等相关费用增加。</w:t>
      </w:r>
    </w:p>
    <w:p w14:paraId="0FA65B50">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60288" behindDoc="0" locked="0" layoutInCell="1" allowOverlap="1">
            <wp:simplePos x="0" y="0"/>
            <wp:positionH relativeFrom="column">
              <wp:posOffset>315595</wp:posOffset>
            </wp:positionH>
            <wp:positionV relativeFrom="paragraph">
              <wp:posOffset>121285</wp:posOffset>
            </wp:positionV>
            <wp:extent cx="4709160" cy="2849880"/>
            <wp:effectExtent l="4445" t="4445" r="10795" b="1587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14:paraId="56CE70EC">
      <w:pPr>
        <w:spacing w:line="600" w:lineRule="exact"/>
        <w:ind w:firstLine="640" w:firstLineChars="200"/>
        <w:outlineLvl w:val="1"/>
        <w:rPr>
          <w:rStyle w:val="30"/>
          <w:rFonts w:ascii="Times New Roman" w:hAnsi="Times New Roman" w:eastAsia="黑体"/>
          <w:b w:val="0"/>
          <w:color w:val="auto"/>
          <w:highlight w:val="none"/>
        </w:rPr>
      </w:pPr>
      <w:bookmarkStart w:id="26" w:name="_Toc15377209"/>
      <w:bookmarkStart w:id="27"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26"/>
      <w:bookmarkEnd w:id="27"/>
    </w:p>
    <w:p w14:paraId="33F0515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01A73146">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2024年度一般公共预算财政拨款支出364.33万元，占本年支出合计的100%。与2023年度相比，一般公共预算财政拨款支出增加52.54万元，增长16.85%。主要原因为每年事业人员薪级工资晋升、社保递增及我单位2024年人员增加5人，相应工资社保等相关费用增加。</w:t>
      </w:r>
    </w:p>
    <w:p w14:paraId="7D58D494">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61312" behindDoc="0" locked="0" layoutInCell="1" allowOverlap="1">
            <wp:simplePos x="0" y="0"/>
            <wp:positionH relativeFrom="column">
              <wp:posOffset>138430</wp:posOffset>
            </wp:positionH>
            <wp:positionV relativeFrom="paragraph">
              <wp:posOffset>89535</wp:posOffset>
            </wp:positionV>
            <wp:extent cx="4688840" cy="2677795"/>
            <wp:effectExtent l="4445" t="4445" r="5715" b="1016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14:paraId="3768F24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0F9B29A5">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 年度一般公共预算财政拨款支出364.33万元，主要用于以下方面：一般公共服务支出292.72万元，占80.34%；社会保障和就业支出29.36万元，占8.06%；卫生健康支出18.07万元，占4.96%；住房保障支出24.19 万元，占6.64%</w:t>
      </w:r>
      <w:r>
        <w:rPr>
          <w:rFonts w:hint="eastAsia" w:eastAsia="仿宋_GB2312" w:cs="仿宋_GB2312"/>
          <w:color w:val="auto"/>
          <w:kern w:val="2"/>
          <w:sz w:val="32"/>
          <w:szCs w:val="32"/>
          <w:highlight w:val="none"/>
          <w:lang w:val="en-US" w:eastAsia="zh-CN" w:bidi="ar-SA"/>
        </w:rPr>
        <w:t>，（因收舍原因，明细比决算报表总数多0.01万元）</w:t>
      </w:r>
      <w:r>
        <w:rPr>
          <w:rFonts w:hint="eastAsia" w:ascii="Times New Roman" w:hAnsi="Times New Roman" w:eastAsia="仿宋_GB2312" w:cs="仿宋_GB2312"/>
          <w:color w:val="auto"/>
          <w:kern w:val="2"/>
          <w:sz w:val="32"/>
          <w:szCs w:val="32"/>
          <w:highlight w:val="none"/>
          <w:lang w:val="en-US" w:eastAsia="zh-CN" w:bidi="ar-SA"/>
        </w:rPr>
        <w:t>。</w:t>
      </w:r>
    </w:p>
    <w:p w14:paraId="5C38375B">
      <w:pPr>
        <w:spacing w:line="600" w:lineRule="exact"/>
        <w:ind w:firstLine="64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62336" behindDoc="0" locked="0" layoutInCell="1" allowOverlap="1">
            <wp:simplePos x="0" y="0"/>
            <wp:positionH relativeFrom="column">
              <wp:posOffset>223520</wp:posOffset>
            </wp:positionH>
            <wp:positionV relativeFrom="paragraph">
              <wp:posOffset>51435</wp:posOffset>
            </wp:positionV>
            <wp:extent cx="4708525" cy="2578100"/>
            <wp:effectExtent l="4445" t="4445" r="11430" b="825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14:paraId="0CBAC77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50EE5EC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2024年度一般公共预算财政拨款支出决算数为364.33万元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p>
    <w:p w14:paraId="528FB4F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一般公共服务（类）政府办公厅（室）及相关机构事务（款）事业运行（项）：支出决算为218.58万元，主要用于单位日常运转的人员经费和公用经费等。</w:t>
      </w:r>
    </w:p>
    <w:p w14:paraId="4E15813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一般公共服务（类）政府办公厅（室）及相关机构事务（款）其他政府办公厅（室）及相关机构事务支出（项）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支出决算为55.12万元，主要用于开展专项工作的项目支出。</w:t>
      </w:r>
    </w:p>
    <w:p w14:paraId="600CD6B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一般公共服务（类）党委办公厅（室）及相关机构事务（款）其他党委办公厅（室）及相关机构事务支出（项）：支出决算为19.01万元，主要用于相关专项工作支出。</w:t>
      </w:r>
    </w:p>
    <w:p w14:paraId="4648035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社会保障和就业（类）行政事业单位养老支出（款）机关事业单位基本养老保险缴费支出（项）：支出决算为29.36万元，完成预算100%，主要用于单位人员基本养老保险缴费。</w:t>
      </w:r>
    </w:p>
    <w:p w14:paraId="4ABB170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卫生健康（类）行政事业单位医疗（款）事业单位医疗（项）：支出决算为16.09万元，主要用于单位人员基本医疗保险缴费。</w:t>
      </w:r>
    </w:p>
    <w:p w14:paraId="3AE0CD3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卫生健康（类）行政事业单位医疗（款）公务员医疗补助（项）：支出决算为1.98万元，主要用于单位人员公务员医疗补助缴费。</w:t>
      </w:r>
    </w:p>
    <w:p w14:paraId="41B26E77">
      <w:pPr>
        <w:spacing w:line="600" w:lineRule="exact"/>
        <w:ind w:firstLine="640"/>
        <w:rPr>
          <w:rFonts w:hint="eastAsia"/>
          <w:lang w:val="en-US" w:eastAsia="zh-CN"/>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住房保障（类）住房改革支出（款）住房公积金（项）：支出决算为24.19万元，主要用于单位人员住房公积金缴费。</w:t>
      </w:r>
    </w:p>
    <w:p w14:paraId="25472610">
      <w:pPr>
        <w:tabs>
          <w:tab w:val="right" w:pos="8306"/>
        </w:tabs>
        <w:spacing w:line="600" w:lineRule="exact"/>
        <w:ind w:firstLine="640"/>
        <w:outlineLvl w:val="1"/>
        <w:rPr>
          <w:rStyle w:val="30"/>
          <w:rFonts w:ascii="Times New Roman" w:hAnsi="Times New Roman"/>
          <w:color w:val="auto"/>
          <w:highlight w:val="none"/>
        </w:rPr>
      </w:pPr>
      <w:bookmarkStart w:id="31" w:name="_Toc15377214"/>
      <w:bookmarkStart w:id="32"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31"/>
      <w:bookmarkEnd w:id="32"/>
      <w:r>
        <w:rPr>
          <w:rStyle w:val="30"/>
          <w:rFonts w:ascii="Times New Roman" w:hAnsi="Times New Roman" w:eastAsia="黑体"/>
          <w:b w:val="0"/>
          <w:color w:val="auto"/>
          <w:highlight w:val="none"/>
        </w:rPr>
        <w:tab/>
      </w:r>
    </w:p>
    <w:p w14:paraId="2D517C6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 年度一般公共预算财政拨款基本支出290.2万元，其中：</w:t>
      </w:r>
    </w:p>
    <w:p w14:paraId="5BA2BAA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人员经费264.86万元，主要包括：基本工资、津贴补贴、绩效工资、机关事业单位基本养老保险缴费、职工基本医疗保险缴费、公务员医疗补助缴费、其他社会保障缴费、住房公积金、医疗费。</w:t>
      </w:r>
    </w:p>
    <w:p w14:paraId="237780E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公用经费25.34万元，主要包括：办公费、水费、电费、邮电费、物业管理费、差旅费、租赁费、公务接待费、委托业务费、工会经费、福利费、其他交通费用、其他商品和服务支出。</w:t>
      </w:r>
    </w:p>
    <w:p w14:paraId="123DA90F">
      <w:pPr>
        <w:spacing w:line="600" w:lineRule="exact"/>
        <w:ind w:firstLine="640"/>
        <w:outlineLvl w:val="1"/>
        <w:rPr>
          <w:rStyle w:val="30"/>
          <w:rFonts w:ascii="Times New Roman" w:hAnsi="Times New Roman" w:eastAsia="黑体"/>
          <w:b w:val="0"/>
          <w:color w:val="auto"/>
          <w:highlight w:val="none"/>
        </w:rPr>
      </w:pPr>
      <w:bookmarkStart w:id="33" w:name="_Toc15396609"/>
      <w:bookmarkStart w:id="34"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33"/>
      <w:bookmarkEnd w:id="34"/>
    </w:p>
    <w:p w14:paraId="0F5D764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5"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5"/>
    </w:p>
    <w:p w14:paraId="17A9BCFA">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 年度“三公”经费财政拨款支出决算为1.58万元，完成预算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%，较上年度增加0.61万元，增长62.89%。较上年度增长的主要原因是</w:t>
      </w:r>
      <w:r>
        <w:rPr>
          <w:rFonts w:hint="eastAsia" w:eastAsia="仿宋_GB2312" w:cs="仿宋_GB2312"/>
          <w:color w:val="auto"/>
          <w:kern w:val="2"/>
          <w:sz w:val="32"/>
          <w:szCs w:val="32"/>
          <w:highlight w:val="none"/>
          <w:lang w:val="en-US" w:eastAsia="zh-CN" w:bidi="ar-SA"/>
        </w:rPr>
        <w:t>单位职能职责变化导致</w:t>
      </w:r>
      <w:r>
        <w:rPr>
          <w:rFonts w:hint="eastAsia" w:ascii="Times New Roman" w:hAnsi="Times New Roman" w:eastAsia="仿宋_GB2312" w:cs="仿宋_GB2312"/>
          <w:color w:val="auto"/>
          <w:kern w:val="2"/>
          <w:sz w:val="32"/>
          <w:szCs w:val="32"/>
          <w:highlight w:val="none"/>
          <w:lang w:val="en-US" w:eastAsia="zh-CN" w:bidi="ar-SA"/>
        </w:rPr>
        <w:t>本年度公务接待次数和人数略有增加。决算数与预算数持平。</w:t>
      </w:r>
    </w:p>
    <w:p w14:paraId="19F0300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6"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6"/>
    </w:p>
    <w:p w14:paraId="25E8AED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2024年度“三公”经费财政拨款支出决算中，因公出国（境）费支出决算0万元，占0%；公务用车购置及运行维护费支出决算0万元，占0%；公务接待费支出决算1.58万元，占100%。具体情况如下：</w:t>
      </w:r>
    </w:p>
    <w:p w14:paraId="54339348">
      <w:pPr>
        <w:spacing w:line="600" w:lineRule="exact"/>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anchor distT="0" distB="0" distL="114300" distR="114300" simplePos="0" relativeHeight="251665408" behindDoc="0" locked="0" layoutInCell="1" allowOverlap="1">
            <wp:simplePos x="0" y="0"/>
            <wp:positionH relativeFrom="column">
              <wp:posOffset>53340</wp:posOffset>
            </wp:positionH>
            <wp:positionV relativeFrom="paragraph">
              <wp:posOffset>161925</wp:posOffset>
            </wp:positionV>
            <wp:extent cx="4874895" cy="2964815"/>
            <wp:effectExtent l="4445" t="4445" r="16510" b="2159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Times New Roman" w:hAnsi="Times New Roman" w:eastAsia="仿宋_GB2312" w:cs="仿宋_GB2312"/>
          <w:color w:val="auto"/>
          <w:kern w:val="2"/>
          <w:sz w:val="32"/>
          <w:szCs w:val="32"/>
          <w:highlight w:val="none"/>
          <w:lang w:val="en-US" w:eastAsia="zh-CN" w:bidi="ar-SA"/>
        </w:rPr>
        <w:t>图7：“三公”经费财政拨款支出结构</w:t>
      </w:r>
    </w:p>
    <w:p w14:paraId="699BA86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1.因公出国（境）经费支出</w:t>
      </w:r>
      <w:r>
        <w:rPr>
          <w:rFonts w:hint="eastAsia" w:eastAsia="仿宋_GB2312" w:cs="仿宋_GB2312"/>
          <w:b w:val="0"/>
          <w:bCs w:val="0"/>
          <w:color w:val="auto"/>
          <w:kern w:val="2"/>
          <w:sz w:val="32"/>
          <w:szCs w:val="32"/>
          <w:highlight w:val="none"/>
          <w:lang w:val="en-US" w:eastAsia="zh-CN" w:bidi="ar-SA"/>
        </w:rPr>
        <w:t>0</w:t>
      </w:r>
      <w:r>
        <w:rPr>
          <w:rFonts w:hint="eastAsia" w:ascii="Times New Roman" w:hAnsi="Times New Roman" w:eastAsia="仿宋_GB2312" w:cs="仿宋_GB2312"/>
          <w:b w:val="0"/>
          <w:bCs w:val="0"/>
          <w:color w:val="auto"/>
          <w:kern w:val="2"/>
          <w:sz w:val="32"/>
          <w:szCs w:val="32"/>
          <w:highlight w:val="none"/>
          <w:lang w:val="en-US" w:eastAsia="zh-CN" w:bidi="ar-SA"/>
        </w:rPr>
        <w:t>万元，完成预算</w:t>
      </w:r>
      <w:r>
        <w:rPr>
          <w:rFonts w:hint="eastAsia" w:eastAsia="仿宋_GB2312" w:cs="仿宋_GB2312"/>
          <w:b w:val="0"/>
          <w:bCs w:val="0"/>
          <w:color w:val="auto"/>
          <w:kern w:val="2"/>
          <w:sz w:val="32"/>
          <w:szCs w:val="32"/>
          <w:highlight w:val="none"/>
          <w:lang w:val="en-US" w:eastAsia="zh-CN" w:bidi="ar-SA"/>
        </w:rPr>
        <w:t>0</w:t>
      </w:r>
      <w:r>
        <w:rPr>
          <w:rFonts w:hint="eastAsia" w:ascii="Times New Roman" w:hAnsi="Times New Roman" w:eastAsia="仿宋_GB2312" w:cs="仿宋_GB2312"/>
          <w:b w:val="0"/>
          <w:bCs w:val="0"/>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全年安排因公出国（境）团组0次，出国（境）0人。因公出国（境）支出决算与2023年持平。我单位2023年度未发生因公出国支出。</w:t>
      </w:r>
    </w:p>
    <w:p w14:paraId="1F42B20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2.公务用车购置及运行维护费支出0万元，完成预算0%。公务用车购置及运行维护费支出决算与2023年度持平。我单位未发生公车用车购置及运行维护费。</w:t>
      </w:r>
    </w:p>
    <w:p w14:paraId="785DB44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0万元。全年按规定更新购置公务用车0辆，其中：轿车0辆、金额0万元，越野车0辆、金额0万元，载客汽车0辆、金额0万元，我单位2024年未购置公务用车。截至2024年12月31日，单位共有公务用车0辆，其中：轿车0辆、越野车0辆、载客汽车0辆。</w:t>
      </w:r>
    </w:p>
    <w:p w14:paraId="1CDC615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0万元。</w:t>
      </w:r>
    </w:p>
    <w:p w14:paraId="465C6F0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3.公务接待费支出1.58万元，完成预算100%。公务接待费支出决算比2023年度增加0.61万元，增长62.89%。主要原因是各单位来攀调研共同富裕试验区建设事宜次数较2023年增加。其中：</w:t>
      </w:r>
    </w:p>
    <w:p w14:paraId="2A3C2B7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国内公务接待支出1.58万元，主要用于执行公务、开展业务活动开支的用餐费用等。国内公务接待10批次，68人次（不包括陪同人员），共计支出1.58万元。具体内容包括：调研康养事宜、共富试验区建设事宜、共同富裕课题调研数据事宜、考察共富试验区康养产业银发产业项目事宜、考察交流“攀枝花共同富裕指数监测评估大数据平台”事宜等</w:t>
      </w:r>
      <w:r>
        <w:rPr>
          <w:rFonts w:hint="eastAsia" w:ascii="Times New Roman" w:hAnsi="Times New Roman" w:eastAsia="仿宋_GB2312" w:cs="仿宋_GB2312"/>
          <w:color w:val="auto"/>
          <w:kern w:val="2"/>
          <w:sz w:val="32"/>
          <w:szCs w:val="32"/>
          <w:highlight w:val="none"/>
          <w:lang w:val="en-US" w:eastAsia="zh-CN" w:bidi="ar-SA"/>
        </w:rPr>
        <w:t>。</w:t>
      </w:r>
    </w:p>
    <w:p w14:paraId="23CF217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外事接待支出0万元。外事接待0批次，0人次（不包括陪同人员），共计支出0万元。</w:t>
      </w:r>
      <w:bookmarkStart w:id="37" w:name="_Toc15377218"/>
      <w:bookmarkStart w:id="38" w:name="_Toc15396610"/>
    </w:p>
    <w:p w14:paraId="74E7B5BE">
      <w:pPr>
        <w:spacing w:line="600" w:lineRule="exact"/>
        <w:ind w:firstLine="640"/>
        <w:outlineLvl w:val="1"/>
        <w:rPr>
          <w:rStyle w:val="30"/>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37"/>
      <w:bookmarkEnd w:id="38"/>
    </w:p>
    <w:p w14:paraId="50473C04">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2024年度政府性基金预算财政拨款支出0万元，占本年支出合计的0%。与2023年度相比，支出数与上年持平。</w:t>
      </w:r>
    </w:p>
    <w:p w14:paraId="4C54452D">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39" w:name="_Toc15396611"/>
      <w:bookmarkStart w:id="40" w:name="_Toc15377219"/>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39"/>
      <w:bookmarkEnd w:id="40"/>
    </w:p>
    <w:p w14:paraId="43B3B0C6">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2024年度国有资本经营预算财政拨款支出0万元，占本年支出合计的0%。与2023年度相比，支出数与上年持平。</w:t>
      </w:r>
    </w:p>
    <w:p w14:paraId="1174357A">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41" w:name="_Toc15377221"/>
      <w:bookmarkStart w:id="42" w:name="_Toc15396612"/>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41"/>
      <w:bookmarkEnd w:id="42"/>
    </w:p>
    <w:p w14:paraId="1735DA4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3" w:name="_Toc15377222"/>
      <w:r>
        <w:rPr>
          <w:rFonts w:hint="eastAsia" w:ascii="Times New Roman" w:hAnsi="Times New Roman" w:eastAsia="楷体_GB2312" w:cs="楷体_GB2312"/>
          <w:b/>
          <w:color w:val="auto"/>
          <w:sz w:val="32"/>
          <w:szCs w:val="32"/>
          <w:highlight w:val="none"/>
        </w:rPr>
        <w:t>（一）机关运行经费支出情况</w:t>
      </w:r>
      <w:bookmarkEnd w:id="43"/>
    </w:p>
    <w:p w14:paraId="0B452BF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2024年度，攀枝花市社会建设事务中心机关运行经费支出25.34万元，比2023年度增加1.57万元，增长6.6%。主要原因为我单位2024年人员增加、相应公用经费支出增加。</w:t>
      </w:r>
    </w:p>
    <w:p w14:paraId="625D555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4" w:name="_Toc15377223"/>
      <w:r>
        <w:rPr>
          <w:rFonts w:hint="eastAsia" w:ascii="Times New Roman" w:hAnsi="Times New Roman" w:eastAsia="楷体_GB2312" w:cs="楷体_GB2312"/>
          <w:b/>
          <w:color w:val="auto"/>
          <w:sz w:val="32"/>
          <w:szCs w:val="32"/>
          <w:highlight w:val="none"/>
        </w:rPr>
        <w:t>（二）政府采购支出情况</w:t>
      </w:r>
      <w:bookmarkEnd w:id="44"/>
    </w:p>
    <w:p w14:paraId="2216B47D">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攀枝花市社会建设事务中心政府采购支出总额276.56万元，其中：政府采购货物支出50.56万元、政府采购工程支出0万元、政府采购服务支出226万元。主要用于开展攀枝花共同富裕发展研究院文化打造采购项目、办公场所打造所需的货物和服务采购。授予中小企业合同金额232.6万元，占政府采购支出总额的84.10%，其中：授予小微企业合同金额43.96万元，占政府采购支出总额的15.90%。</w:t>
      </w:r>
    </w:p>
    <w:p w14:paraId="3A09120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5" w:name="_Toc15377224"/>
      <w:r>
        <w:rPr>
          <w:rFonts w:hint="eastAsia" w:ascii="Times New Roman" w:hAnsi="Times New Roman" w:eastAsia="楷体_GB2312" w:cs="楷体_GB2312"/>
          <w:b/>
          <w:color w:val="auto"/>
          <w:sz w:val="32"/>
          <w:szCs w:val="32"/>
          <w:highlight w:val="none"/>
        </w:rPr>
        <w:t>（三）国有资产占有使用情况</w:t>
      </w:r>
      <w:bookmarkEnd w:id="45"/>
    </w:p>
    <w:p w14:paraId="79E1112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年12月31日，攀枝花市社会建设事务中心共有车辆0辆，其中：主要领导干部用车0辆、机要通信用车0辆、应急保障用车0辆、其他用车0辆，其他用车主要是用于。单价100万元以上设备（不含车辆）0台（套）。</w:t>
      </w:r>
    </w:p>
    <w:p w14:paraId="35B2000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4653052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本部门</w:t>
      </w:r>
      <w:r>
        <w:rPr>
          <w:rFonts w:hint="eastAsia" w:ascii="Times New Roman" w:hAnsi="Times New Roman" w:eastAsia="仿宋_GB2312" w:cs="仿宋_GB2312"/>
          <w:color w:val="auto"/>
          <w:kern w:val="2"/>
          <w:sz w:val="32"/>
          <w:szCs w:val="32"/>
          <w:highlight w:val="none"/>
          <w:lang w:val="en-US" w:eastAsia="zh-CN" w:bidi="ar-SA"/>
        </w:rPr>
        <w:t>在2024年度预算编制阶段，组织对攀枝花高质量发展建设共同富裕试验区工作运行经费</w:t>
      </w:r>
      <w:r>
        <w:rPr>
          <w:rFonts w:hint="eastAsia" w:eastAsia="仿宋_GB2312" w:cs="仿宋_GB2312"/>
          <w:color w:val="auto"/>
          <w:kern w:val="2"/>
          <w:sz w:val="32"/>
          <w:szCs w:val="32"/>
          <w:highlight w:val="none"/>
          <w:lang w:val="en-US" w:eastAsia="zh-CN" w:bidi="ar-SA"/>
        </w:rPr>
        <w:t>、攀枝花市在线督查系统运行维护费、攀枝花市在线督查系统运行维护费</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36EC7B7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7E7BCA3">
      <w:pPr>
        <w:pStyle w:val="14"/>
        <w:rPr>
          <w:rFonts w:hint="eastAsia" w:ascii="Times New Roman" w:hAnsi="Times New Roman" w:eastAsia="仿宋_GB2312" w:cs="仿宋_GB2312"/>
          <w:color w:val="auto"/>
          <w:kern w:val="2"/>
          <w:sz w:val="32"/>
          <w:szCs w:val="32"/>
          <w:highlight w:val="none"/>
          <w:lang w:val="en-US" w:eastAsia="zh-CN" w:bidi="ar-SA"/>
        </w:rPr>
      </w:pPr>
    </w:p>
    <w:p w14:paraId="22013EC7">
      <w:pPr>
        <w:pStyle w:val="8"/>
        <w:ind w:left="0" w:leftChars="0" w:firstLine="0" w:firstLineChars="0"/>
        <w:rPr>
          <w:rFonts w:hint="eastAsia" w:ascii="Times New Roman" w:hAnsi="Times New Roman" w:eastAsia="仿宋_GB2312" w:cs="仿宋_GB2312"/>
          <w:color w:val="auto"/>
          <w:kern w:val="2"/>
          <w:sz w:val="32"/>
          <w:szCs w:val="32"/>
          <w:highlight w:val="none"/>
          <w:lang w:val="en-US" w:eastAsia="zh-CN" w:bidi="ar-SA"/>
        </w:rPr>
      </w:pPr>
    </w:p>
    <w:p w14:paraId="53854E3A">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6" w:name="_Toc15396613"/>
      <w:bookmarkStart w:id="47"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6"/>
      <w:bookmarkEnd w:id="47"/>
    </w:p>
    <w:p w14:paraId="101B9A05">
      <w:pPr>
        <w:spacing w:line="600" w:lineRule="exact"/>
        <w:jc w:val="left"/>
        <w:rPr>
          <w:rFonts w:ascii="Times New Roman" w:hAnsi="Times New Roman"/>
          <w:b/>
          <w:color w:val="auto"/>
          <w:sz w:val="44"/>
          <w:szCs w:val="44"/>
          <w:highlight w:val="none"/>
        </w:rPr>
      </w:pPr>
    </w:p>
    <w:p w14:paraId="1D0D470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财政拨款收入：指单位从同级财政部门取得的财政预算资金。</w:t>
      </w:r>
    </w:p>
    <w:p w14:paraId="0B9D7AFC">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2.事业收入：指事业单位开展专业业务活动及辅助活动取得的收入。</w:t>
      </w:r>
    </w:p>
    <w:p w14:paraId="652920CD">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14:paraId="10A9A78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4.其他收入：指单位取得的除上述收入以外的各项收入。 </w:t>
      </w:r>
    </w:p>
    <w:p w14:paraId="646E342F">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14:paraId="0E4A426D">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14:paraId="23D56676">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4D31278B">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8.年末结转和结余：指单位按有关规定结转到下年或以后年度继续使用的资金。</w:t>
      </w:r>
    </w:p>
    <w:p w14:paraId="2AE0F6D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一般公共服务（类）政府办公厅（室）及相关机构事务（款）事业运行（项）：指事业单位的基本支出。</w:t>
      </w:r>
    </w:p>
    <w:p w14:paraId="6787CA7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一般公共服务（类）政府办公厅（室）及相关机构事务（款）其他政府办公厅（室）及相关机构事务支出（项）：指除上述项目以外的其他政府办公厅（室）及相关机构事务支出。</w:t>
      </w:r>
    </w:p>
    <w:p w14:paraId="5077C64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一般公共服务（类）党委办公厅（室）及相关机构事务（款）其他党委办公厅（室）及相关机构事务支出（项）：指除上述项目以外的其他党委办公厅（室）及相关机构事务支出。</w:t>
      </w:r>
    </w:p>
    <w:p w14:paraId="00AB6ED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社会保障和就业（类）行政事业单位养老支出（款）机关事业单位基本养老保险缴费支出（项）：指反映机关事业单位实施养老保险制度由单位缴纳的基本养老保险费支出。</w:t>
      </w:r>
    </w:p>
    <w:p w14:paraId="1E5D8F9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卫生健康（类）行政事业单位医疗（款）事业单位医疗（项）：指反映财政部门安排的事业单位基本医疗保险缴费经费，未参加医疗保险的事业单位的公费医疗经费，按国家规定享受离休人员待遇的医疗经费。</w:t>
      </w:r>
    </w:p>
    <w:p w14:paraId="62F116D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卫生健康（类）行政事业单位医疗（款）公务员医疗补助（项）：指反映财政部门安排的公务员医疗补助经费。</w:t>
      </w:r>
    </w:p>
    <w:p w14:paraId="2C50FC95">
      <w:pPr>
        <w:spacing w:line="600" w:lineRule="exact"/>
        <w:ind w:firstLine="640"/>
        <w:rPr>
          <w:rFonts w:hint="eastAsia"/>
          <w:lang w:val="en-US" w:eastAsia="zh-CN"/>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住房保障（类）住房改革支出（款）住房公积金（项）：指反映行政事业单位按人力资源和社会保障部、财政部规定的基本工资和津贴补贴以及规定比例为职工缴纳的住房公积金。</w:t>
      </w:r>
    </w:p>
    <w:p w14:paraId="55E9F5D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6FA81A3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2658629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707374B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923468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719F19">
      <w:pPr>
        <w:spacing w:line="600" w:lineRule="exact"/>
        <w:jc w:val="center"/>
        <w:rPr>
          <w:rStyle w:val="29"/>
          <w:rFonts w:hint="eastAsia" w:ascii="Times New Roman" w:hAnsi="Times New Roman" w:eastAsia="黑体"/>
          <w:b w:val="0"/>
          <w:color w:val="auto"/>
          <w:highlight w:val="none"/>
          <w:lang w:eastAsia="zh-CN"/>
        </w:rPr>
      </w:pPr>
      <w:bookmarkStart w:id="48"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9"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9"/>
    </w:p>
    <w:p w14:paraId="190A7255">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eastAsia="仿宋_GB2312" w:cs="Times New Roman"/>
          <w:kern w:val="2"/>
          <w:sz w:val="32"/>
          <w:szCs w:val="32"/>
          <w:u w:val="none"/>
          <w:lang w:val="zh-CN" w:eastAsia="zh-CN" w:bidi="ar"/>
        </w:rPr>
      </w:pPr>
    </w:p>
    <w:p w14:paraId="323FBEDF">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14:paraId="2623482D">
      <w:pPr>
        <w:pStyle w:val="2"/>
        <w:rPr>
          <w:rFonts w:hint="eastAsia" w:ascii="Times New Roman" w:hAnsi="Times New Roman" w:eastAsia="黑体" w:cs="黑体"/>
          <w:color w:val="auto"/>
          <w:kern w:val="0"/>
          <w:sz w:val="32"/>
          <w:szCs w:val="32"/>
          <w:highlight w:val="none"/>
          <w:shd w:val="clear" w:color="auto" w:fill="FFFFFF"/>
          <w:lang w:val="zh-CN"/>
        </w:rPr>
      </w:pPr>
    </w:p>
    <w:p w14:paraId="2D6062E7">
      <w:pPr>
        <w:pStyle w:val="2"/>
        <w:rPr>
          <w:rFonts w:hint="eastAsia" w:ascii="Times New Roman" w:hAnsi="Times New Roman" w:eastAsia="黑体" w:cs="黑体"/>
          <w:color w:val="auto"/>
          <w:kern w:val="0"/>
          <w:sz w:val="32"/>
          <w:szCs w:val="32"/>
          <w:highlight w:val="none"/>
          <w:shd w:val="clear" w:color="auto" w:fill="FFFFFF"/>
          <w:lang w:val="zh-CN"/>
        </w:rPr>
      </w:pPr>
    </w:p>
    <w:p w14:paraId="391C0932">
      <w:pPr>
        <w:pStyle w:val="2"/>
        <w:rPr>
          <w:rFonts w:hint="eastAsia" w:ascii="Times New Roman" w:hAnsi="Times New Roman" w:eastAsia="黑体" w:cs="黑体"/>
          <w:color w:val="auto"/>
          <w:kern w:val="0"/>
          <w:sz w:val="32"/>
          <w:szCs w:val="32"/>
          <w:highlight w:val="none"/>
          <w:shd w:val="clear" w:color="auto" w:fill="FFFFFF"/>
          <w:lang w:val="zh-CN"/>
        </w:rPr>
      </w:pPr>
    </w:p>
    <w:p w14:paraId="262AF800">
      <w:pPr>
        <w:pStyle w:val="2"/>
        <w:rPr>
          <w:rFonts w:hint="eastAsia" w:ascii="Times New Roman" w:hAnsi="Times New Roman" w:eastAsia="黑体" w:cs="黑体"/>
          <w:color w:val="auto"/>
          <w:kern w:val="0"/>
          <w:sz w:val="32"/>
          <w:szCs w:val="32"/>
          <w:highlight w:val="none"/>
          <w:shd w:val="clear" w:color="auto" w:fill="FFFFFF"/>
          <w:lang w:val="zh-CN"/>
        </w:rPr>
      </w:pPr>
    </w:p>
    <w:p w14:paraId="3BDCD84E">
      <w:pPr>
        <w:pStyle w:val="2"/>
        <w:rPr>
          <w:rFonts w:hint="eastAsia" w:ascii="Times New Roman" w:hAnsi="Times New Roman" w:eastAsia="黑体" w:cs="黑体"/>
          <w:color w:val="auto"/>
          <w:kern w:val="0"/>
          <w:sz w:val="32"/>
          <w:szCs w:val="32"/>
          <w:highlight w:val="none"/>
          <w:shd w:val="clear" w:color="auto" w:fill="FFFFFF"/>
          <w:lang w:val="zh-CN"/>
        </w:rPr>
      </w:pPr>
    </w:p>
    <w:p w14:paraId="4A290965">
      <w:pPr>
        <w:pStyle w:val="2"/>
        <w:rPr>
          <w:rFonts w:hint="eastAsia" w:ascii="Times New Roman" w:hAnsi="Times New Roman" w:eastAsia="黑体" w:cs="黑体"/>
          <w:color w:val="auto"/>
          <w:kern w:val="0"/>
          <w:sz w:val="32"/>
          <w:szCs w:val="32"/>
          <w:highlight w:val="none"/>
          <w:shd w:val="clear" w:color="auto" w:fill="FFFFFF"/>
          <w:lang w:val="zh-CN"/>
        </w:rPr>
      </w:pPr>
    </w:p>
    <w:p w14:paraId="06721939">
      <w:pPr>
        <w:pStyle w:val="2"/>
        <w:rPr>
          <w:rFonts w:hint="eastAsia" w:ascii="Times New Roman" w:hAnsi="Times New Roman" w:eastAsia="黑体" w:cs="黑体"/>
          <w:color w:val="auto"/>
          <w:kern w:val="0"/>
          <w:sz w:val="32"/>
          <w:szCs w:val="32"/>
          <w:highlight w:val="none"/>
          <w:shd w:val="clear" w:color="auto" w:fill="FFFFFF"/>
          <w:lang w:val="zh-CN"/>
        </w:rPr>
      </w:pPr>
    </w:p>
    <w:p w14:paraId="78EE6D7E">
      <w:pPr>
        <w:pStyle w:val="2"/>
        <w:rPr>
          <w:rFonts w:hint="eastAsia" w:ascii="Times New Roman" w:hAnsi="Times New Roman" w:eastAsia="黑体" w:cs="黑体"/>
          <w:color w:val="auto"/>
          <w:kern w:val="0"/>
          <w:sz w:val="32"/>
          <w:szCs w:val="32"/>
          <w:highlight w:val="none"/>
          <w:shd w:val="clear" w:color="auto" w:fill="FFFFFF"/>
          <w:lang w:val="zh-CN"/>
        </w:rPr>
      </w:pPr>
    </w:p>
    <w:p w14:paraId="1B1BCD4C">
      <w:pPr>
        <w:pStyle w:val="2"/>
        <w:rPr>
          <w:rFonts w:hint="eastAsia" w:ascii="Times New Roman" w:hAnsi="Times New Roman" w:eastAsia="黑体" w:cs="黑体"/>
          <w:color w:val="auto"/>
          <w:kern w:val="0"/>
          <w:sz w:val="32"/>
          <w:szCs w:val="32"/>
          <w:highlight w:val="none"/>
          <w:shd w:val="clear" w:color="auto" w:fill="FFFFFF"/>
          <w:lang w:val="zh-CN"/>
        </w:rPr>
      </w:pPr>
    </w:p>
    <w:p w14:paraId="6233E529">
      <w:pPr>
        <w:pStyle w:val="2"/>
        <w:rPr>
          <w:rFonts w:hint="eastAsia" w:ascii="Times New Roman" w:hAnsi="Times New Roman" w:eastAsia="黑体" w:cs="黑体"/>
          <w:color w:val="auto"/>
          <w:kern w:val="0"/>
          <w:sz w:val="32"/>
          <w:szCs w:val="32"/>
          <w:highlight w:val="none"/>
          <w:shd w:val="clear" w:color="auto" w:fill="FFFFFF"/>
          <w:lang w:val="zh-CN"/>
        </w:rPr>
      </w:pPr>
    </w:p>
    <w:p w14:paraId="39B824F7">
      <w:pPr>
        <w:pStyle w:val="2"/>
        <w:rPr>
          <w:rFonts w:hint="eastAsia" w:ascii="Times New Roman" w:hAnsi="Times New Roman" w:eastAsia="黑体" w:cs="黑体"/>
          <w:color w:val="auto"/>
          <w:kern w:val="0"/>
          <w:sz w:val="32"/>
          <w:szCs w:val="32"/>
          <w:highlight w:val="none"/>
          <w:shd w:val="clear" w:color="auto" w:fill="FFFFFF"/>
          <w:lang w:val="zh-CN"/>
        </w:rPr>
      </w:pPr>
    </w:p>
    <w:p w14:paraId="771ABD73">
      <w:pPr>
        <w:pStyle w:val="3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Times New Roman" w:hAnsi="Times New Roman"/>
          <w:color w:val="auto"/>
          <w:kern w:val="2"/>
          <w:sz w:val="32"/>
          <w:szCs w:val="32"/>
          <w:highlight w:val="none"/>
        </w:rPr>
      </w:pPr>
    </w:p>
    <w:p w14:paraId="55AF665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50" w:name="_Toc15396618"/>
    </w:p>
    <w:p w14:paraId="06503D93">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32D05D2B">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6B0F11D8">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41FDA9CB">
      <w:pPr>
        <w:pStyle w:val="2"/>
        <w:rPr>
          <w:rFonts w:hint="eastAsia" w:ascii="Times New Roman" w:hAnsi="Times New Roman" w:eastAsia="仿宋_GB2312" w:cs="仿宋_GB2312"/>
          <w:b w:val="0"/>
          <w:bCs w:val="0"/>
          <w:kern w:val="0"/>
          <w:position w:val="0"/>
          <w:sz w:val="32"/>
          <w:szCs w:val="32"/>
          <w:highlight w:val="none"/>
          <w:lang w:val="en-US" w:eastAsia="zh-CN" w:bidi="ar-SA"/>
        </w:rPr>
      </w:pPr>
    </w:p>
    <w:p w14:paraId="0999633B">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48"/>
      <w:bookmarkEnd w:id="50"/>
      <w:bookmarkStart w:id="51" w:name="_Toc15396619"/>
    </w:p>
    <w:p w14:paraId="2F80C27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19C41F0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1"/>
    </w:p>
    <w:p w14:paraId="6908BC7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0"/>
      <w:r>
        <w:rPr>
          <w:rFonts w:hint="eastAsia" w:ascii="Times New Roman" w:hAnsi="Times New Roman" w:eastAsia="仿宋_GB2312" w:cs="仿宋_GB2312"/>
          <w:color w:val="auto"/>
          <w:sz w:val="32"/>
          <w:szCs w:val="32"/>
          <w:highlight w:val="none"/>
        </w:rPr>
        <w:t>二、收入决算表</w:t>
      </w:r>
      <w:bookmarkEnd w:id="52"/>
    </w:p>
    <w:p w14:paraId="4CDA079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3" w:name="_Toc15396621"/>
      <w:r>
        <w:rPr>
          <w:rFonts w:hint="eastAsia" w:ascii="Times New Roman" w:hAnsi="Times New Roman" w:eastAsia="仿宋_GB2312" w:cs="仿宋_GB2312"/>
          <w:color w:val="auto"/>
          <w:sz w:val="32"/>
          <w:szCs w:val="32"/>
          <w:highlight w:val="none"/>
        </w:rPr>
        <w:t>三、支出决算表</w:t>
      </w:r>
      <w:bookmarkEnd w:id="53"/>
    </w:p>
    <w:p w14:paraId="558F7E2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2"/>
      <w:r>
        <w:rPr>
          <w:rFonts w:hint="eastAsia" w:ascii="Times New Roman" w:hAnsi="Times New Roman" w:eastAsia="仿宋_GB2312" w:cs="仿宋_GB2312"/>
          <w:color w:val="auto"/>
          <w:sz w:val="32"/>
          <w:szCs w:val="32"/>
          <w:highlight w:val="none"/>
        </w:rPr>
        <w:t>四、财政拨款收入支出决算总表</w:t>
      </w:r>
      <w:bookmarkEnd w:id="54"/>
    </w:p>
    <w:p w14:paraId="1F8E215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3"/>
      <w:r>
        <w:rPr>
          <w:rFonts w:hint="eastAsia" w:ascii="Times New Roman" w:hAnsi="Times New Roman" w:eastAsia="仿宋_GB2312" w:cs="仿宋_GB2312"/>
          <w:color w:val="auto"/>
          <w:sz w:val="32"/>
          <w:szCs w:val="32"/>
          <w:highlight w:val="none"/>
        </w:rPr>
        <w:t>五、财政拨款支出决算明细表</w:t>
      </w:r>
      <w:bookmarkEnd w:id="55"/>
      <w:bookmarkStart w:id="56" w:name="_Toc15396624"/>
    </w:p>
    <w:p w14:paraId="2096F34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6"/>
    </w:p>
    <w:p w14:paraId="17B1120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5"/>
      <w:r>
        <w:rPr>
          <w:rFonts w:hint="eastAsia" w:ascii="Times New Roman" w:hAnsi="Times New Roman" w:eastAsia="仿宋_GB2312" w:cs="仿宋_GB2312"/>
          <w:color w:val="auto"/>
          <w:sz w:val="32"/>
          <w:szCs w:val="32"/>
          <w:highlight w:val="none"/>
        </w:rPr>
        <w:t>七、一般公共预算财政拨款支出决算明细表</w:t>
      </w:r>
      <w:bookmarkEnd w:id="57"/>
    </w:p>
    <w:p w14:paraId="4054B5F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6"/>
      <w:r>
        <w:rPr>
          <w:rFonts w:hint="eastAsia" w:ascii="Times New Roman" w:hAnsi="Times New Roman" w:eastAsia="仿宋_GB2312" w:cs="仿宋_GB2312"/>
          <w:color w:val="auto"/>
          <w:sz w:val="32"/>
          <w:szCs w:val="32"/>
          <w:highlight w:val="none"/>
        </w:rPr>
        <w:t>八、一般公共预算财政拨款基本支出决算表</w:t>
      </w:r>
      <w:bookmarkEnd w:id="58"/>
    </w:p>
    <w:p w14:paraId="2F15F79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7"/>
      <w:r>
        <w:rPr>
          <w:rFonts w:hint="eastAsia" w:ascii="Times New Roman" w:hAnsi="Times New Roman" w:eastAsia="仿宋_GB2312" w:cs="仿宋_GB2312"/>
          <w:color w:val="auto"/>
          <w:sz w:val="32"/>
          <w:szCs w:val="32"/>
          <w:highlight w:val="none"/>
        </w:rPr>
        <w:t>九、一般公共预算财政拨款项目支出决算表</w:t>
      </w:r>
      <w:bookmarkEnd w:id="59"/>
    </w:p>
    <w:p w14:paraId="6A725FC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8"/>
      <w:r>
        <w:rPr>
          <w:rFonts w:hint="eastAsia" w:ascii="Times New Roman" w:hAnsi="Times New Roman" w:eastAsia="仿宋_GB2312" w:cs="仿宋_GB2312"/>
          <w:color w:val="auto"/>
          <w:sz w:val="32"/>
          <w:szCs w:val="32"/>
          <w:highlight w:val="none"/>
        </w:rPr>
        <w:t>十、</w:t>
      </w:r>
      <w:bookmarkEnd w:id="60"/>
      <w:r>
        <w:rPr>
          <w:rFonts w:hint="eastAsia" w:ascii="Times New Roman" w:hAnsi="Times New Roman" w:eastAsia="仿宋_GB2312" w:cs="仿宋_GB2312"/>
          <w:color w:val="auto"/>
          <w:sz w:val="32"/>
          <w:szCs w:val="32"/>
          <w:highlight w:val="none"/>
        </w:rPr>
        <w:t>政府性基金预算财政拨款收入支出决算表</w:t>
      </w:r>
    </w:p>
    <w:p w14:paraId="1E2014B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9"/>
      <w:r>
        <w:rPr>
          <w:rFonts w:hint="eastAsia" w:ascii="Times New Roman" w:hAnsi="Times New Roman" w:eastAsia="仿宋_GB2312" w:cs="仿宋_GB2312"/>
          <w:color w:val="auto"/>
          <w:sz w:val="32"/>
          <w:szCs w:val="32"/>
          <w:highlight w:val="none"/>
        </w:rPr>
        <w:t>十一、</w:t>
      </w:r>
      <w:bookmarkEnd w:id="61"/>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52B9A9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30"/>
      <w:r>
        <w:rPr>
          <w:rFonts w:hint="eastAsia" w:ascii="Times New Roman" w:hAnsi="Times New Roman" w:eastAsia="仿宋_GB2312" w:cs="仿宋_GB2312"/>
          <w:color w:val="auto"/>
          <w:sz w:val="32"/>
          <w:szCs w:val="32"/>
          <w:highlight w:val="none"/>
        </w:rPr>
        <w:t>十二、</w:t>
      </w:r>
      <w:bookmarkEnd w:id="62"/>
      <w:r>
        <w:rPr>
          <w:rFonts w:hint="eastAsia" w:ascii="Times New Roman" w:hAnsi="Times New Roman" w:eastAsia="仿宋_GB2312" w:cs="仿宋_GB2312"/>
          <w:color w:val="auto"/>
          <w:sz w:val="32"/>
          <w:szCs w:val="32"/>
          <w:highlight w:val="none"/>
          <w:lang w:eastAsia="zh-CN"/>
        </w:rPr>
        <w:t>国有资本经营预算财政拨款支出决算表</w:t>
      </w:r>
    </w:p>
    <w:p w14:paraId="3B78C4B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3" w:name="_Toc15396631"/>
      <w:r>
        <w:rPr>
          <w:rFonts w:hint="eastAsia" w:ascii="Times New Roman" w:hAnsi="Times New Roman" w:eastAsia="仿宋_GB2312" w:cs="仿宋_GB2312"/>
          <w:color w:val="auto"/>
          <w:sz w:val="32"/>
          <w:szCs w:val="32"/>
          <w:highlight w:val="none"/>
        </w:rPr>
        <w:t>十三、</w:t>
      </w:r>
      <w:bookmarkEnd w:id="63"/>
      <w:r>
        <w:rPr>
          <w:rFonts w:hint="eastAsia" w:ascii="Times New Roman" w:hAnsi="Times New Roman" w:eastAsia="仿宋_GB2312" w:cs="仿宋_GB2312"/>
          <w:color w:val="auto"/>
          <w:sz w:val="32"/>
          <w:szCs w:val="32"/>
          <w:highlight w:val="none"/>
          <w:lang w:eastAsia="zh-CN"/>
        </w:rPr>
        <w:t>财政拨款“三公”经费支出决算表</w:t>
      </w:r>
    </w:p>
    <w:p w14:paraId="5E4C79DE">
      <w:pPr>
        <w:rPr>
          <w:rFonts w:hint="eastAsia" w:ascii="Times New Roman" w:hAnsi="Times New Roman"/>
          <w:lang w:eastAsia="zh-CN"/>
        </w:rPr>
      </w:pPr>
    </w:p>
    <w:sectPr>
      <w:footerReference r:id="rId9" w:type="first"/>
      <w:footerReference r:id="rId8"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Directive Four">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26E4C">
    <w:pPr>
      <w:pStyle w:val="11"/>
      <w:jc w:val="center"/>
    </w:pPr>
  </w:p>
  <w:p w14:paraId="310BAC3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CCF1">
    <w:pPr>
      <w:pStyle w:val="11"/>
      <w:jc w:val="center"/>
    </w:pPr>
  </w:p>
  <w:p w14:paraId="57403BD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981F">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90A0">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2114550</wp:posOffset>
              </wp:positionH>
              <wp:positionV relativeFrom="paragraph">
                <wp:posOffset>-31750</wp:posOffset>
              </wp:positionV>
              <wp:extent cx="975995" cy="234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5995"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CD3F7">
                          <w:pPr>
                            <w:pStyle w:val="11"/>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6.5pt;margin-top:-2.5pt;height:18.5pt;width:76.85pt;mso-position-horizontal-relative:margin;z-index:251659264;mso-width-relative:page;mso-height-relative:page;" filled="f" stroked="f" coordsize="21600,21600" o:gfxdata="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t56iB2AAAAAkBAAAPAAAAAAAAAAEAIAAAACIAAABkcnMvZG93bnJl&#10;di54bWxQSwECFAAUAAAACACHTuJAxSLLBzYCAABhBAAADgAAAAAAAAABACAAAAAnAQAAZHJzL2Uy&#10;b0RvYy54bWxQSwUGAAAAAAYABgBZAQAAzwUAAAAA&#10;">
              <v:fill on="f" focussize="0,0"/>
              <v:stroke on="f" weight="0.5pt"/>
              <v:imagedata o:title=""/>
              <o:lock v:ext="edit" aspectratio="f"/>
              <v:textbox inset="0mm,0mm,0mm,0mm">
                <w:txbxContent>
                  <w:p w14:paraId="4C6CD3F7">
                    <w:pPr>
                      <w:pStyle w:val="11"/>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p w14:paraId="17330EF3">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7443">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A8259">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AA8259">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78E4A">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9C5C">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27A75"/>
    <w:multiLevelType w:val="singleLevel"/>
    <w:tmpl w:val="AB927A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5645"/>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5AA4"/>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4A40"/>
    <w:rsid w:val="00585B33"/>
    <w:rsid w:val="0059014D"/>
    <w:rsid w:val="005B5C64"/>
    <w:rsid w:val="005C5337"/>
    <w:rsid w:val="005C6ADC"/>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2E6D"/>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2BA0"/>
    <w:rsid w:val="00B310B9"/>
    <w:rsid w:val="00B35F3F"/>
    <w:rsid w:val="00B36CBB"/>
    <w:rsid w:val="00B425E0"/>
    <w:rsid w:val="00B440AA"/>
    <w:rsid w:val="00B44B70"/>
    <w:rsid w:val="00B53C56"/>
    <w:rsid w:val="00B57DAF"/>
    <w:rsid w:val="00B77EA6"/>
    <w:rsid w:val="00B81598"/>
    <w:rsid w:val="00B841F1"/>
    <w:rsid w:val="00B944D6"/>
    <w:rsid w:val="00BA1A55"/>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3486"/>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47153B"/>
    <w:rsid w:val="015975B8"/>
    <w:rsid w:val="0196601E"/>
    <w:rsid w:val="01F64D0F"/>
    <w:rsid w:val="0233386D"/>
    <w:rsid w:val="029307AF"/>
    <w:rsid w:val="02DE7C7D"/>
    <w:rsid w:val="02F05C02"/>
    <w:rsid w:val="02F7430E"/>
    <w:rsid w:val="02FEBE30"/>
    <w:rsid w:val="030B47EA"/>
    <w:rsid w:val="03863E70"/>
    <w:rsid w:val="03C52BEB"/>
    <w:rsid w:val="04043713"/>
    <w:rsid w:val="044E0E32"/>
    <w:rsid w:val="04697A1A"/>
    <w:rsid w:val="04916F1E"/>
    <w:rsid w:val="04A647CA"/>
    <w:rsid w:val="04BD7D66"/>
    <w:rsid w:val="055E32F7"/>
    <w:rsid w:val="057C377D"/>
    <w:rsid w:val="05DE1D42"/>
    <w:rsid w:val="061E35DE"/>
    <w:rsid w:val="062F259D"/>
    <w:rsid w:val="0639341C"/>
    <w:rsid w:val="065A3ABE"/>
    <w:rsid w:val="066C775E"/>
    <w:rsid w:val="066E0107"/>
    <w:rsid w:val="067D77AC"/>
    <w:rsid w:val="0680104B"/>
    <w:rsid w:val="06EC048E"/>
    <w:rsid w:val="07117EF5"/>
    <w:rsid w:val="07247C28"/>
    <w:rsid w:val="073F0F06"/>
    <w:rsid w:val="073F2CB4"/>
    <w:rsid w:val="074327A4"/>
    <w:rsid w:val="077D479D"/>
    <w:rsid w:val="07893F2F"/>
    <w:rsid w:val="079923C4"/>
    <w:rsid w:val="07996F6E"/>
    <w:rsid w:val="079E3E7E"/>
    <w:rsid w:val="07CB4548"/>
    <w:rsid w:val="07DFD8BA"/>
    <w:rsid w:val="07E07FF3"/>
    <w:rsid w:val="07F65A68"/>
    <w:rsid w:val="08002443"/>
    <w:rsid w:val="08601134"/>
    <w:rsid w:val="09012917"/>
    <w:rsid w:val="090917CB"/>
    <w:rsid w:val="095742E5"/>
    <w:rsid w:val="09867E8F"/>
    <w:rsid w:val="09F00295"/>
    <w:rsid w:val="0A0D0E47"/>
    <w:rsid w:val="0A2032A3"/>
    <w:rsid w:val="0A337B3E"/>
    <w:rsid w:val="0A4F76B2"/>
    <w:rsid w:val="0AD61B81"/>
    <w:rsid w:val="0ADD081A"/>
    <w:rsid w:val="0B097861"/>
    <w:rsid w:val="0B1A1A6E"/>
    <w:rsid w:val="0B536D2E"/>
    <w:rsid w:val="0B6B22C9"/>
    <w:rsid w:val="0B9510F4"/>
    <w:rsid w:val="0BC77F22"/>
    <w:rsid w:val="0C2A5CE1"/>
    <w:rsid w:val="0C304E24"/>
    <w:rsid w:val="0C452B1A"/>
    <w:rsid w:val="0C7B02EA"/>
    <w:rsid w:val="0CA8290A"/>
    <w:rsid w:val="0CC53C5B"/>
    <w:rsid w:val="0CCF4631"/>
    <w:rsid w:val="0CDB347F"/>
    <w:rsid w:val="0CEA5470"/>
    <w:rsid w:val="0CEE31B2"/>
    <w:rsid w:val="0D35B1ED"/>
    <w:rsid w:val="0D464D9C"/>
    <w:rsid w:val="0D605732"/>
    <w:rsid w:val="0D77A438"/>
    <w:rsid w:val="0D7D62E4"/>
    <w:rsid w:val="0DAD6BC9"/>
    <w:rsid w:val="0DB5782C"/>
    <w:rsid w:val="0DE87C01"/>
    <w:rsid w:val="0DED6FC6"/>
    <w:rsid w:val="0E211365"/>
    <w:rsid w:val="0E252C04"/>
    <w:rsid w:val="0E254B6B"/>
    <w:rsid w:val="0E3A41D5"/>
    <w:rsid w:val="0E460DCC"/>
    <w:rsid w:val="0E4B63E2"/>
    <w:rsid w:val="0EA174D3"/>
    <w:rsid w:val="0EB83A78"/>
    <w:rsid w:val="0ED62150"/>
    <w:rsid w:val="0F334EAC"/>
    <w:rsid w:val="0F7B4AA5"/>
    <w:rsid w:val="0F8E2A2A"/>
    <w:rsid w:val="0F98263C"/>
    <w:rsid w:val="0FD22917"/>
    <w:rsid w:val="0FE34B24"/>
    <w:rsid w:val="0FE64614"/>
    <w:rsid w:val="0FE663C2"/>
    <w:rsid w:val="0FF705D0"/>
    <w:rsid w:val="101860EC"/>
    <w:rsid w:val="101F47CC"/>
    <w:rsid w:val="10967DE9"/>
    <w:rsid w:val="10C055FF"/>
    <w:rsid w:val="10E70644"/>
    <w:rsid w:val="1111121D"/>
    <w:rsid w:val="1122167C"/>
    <w:rsid w:val="112C42A9"/>
    <w:rsid w:val="11694EBD"/>
    <w:rsid w:val="11772AA4"/>
    <w:rsid w:val="118107EC"/>
    <w:rsid w:val="11BA7B07"/>
    <w:rsid w:val="11C97D4A"/>
    <w:rsid w:val="11D230A2"/>
    <w:rsid w:val="11D72467"/>
    <w:rsid w:val="11F33019"/>
    <w:rsid w:val="11FF551A"/>
    <w:rsid w:val="121F796A"/>
    <w:rsid w:val="12274A70"/>
    <w:rsid w:val="123A47A4"/>
    <w:rsid w:val="12706417"/>
    <w:rsid w:val="12BE53D5"/>
    <w:rsid w:val="12CC7AF2"/>
    <w:rsid w:val="12E24EE2"/>
    <w:rsid w:val="12F157AA"/>
    <w:rsid w:val="131D034D"/>
    <w:rsid w:val="132F0080"/>
    <w:rsid w:val="13337B71"/>
    <w:rsid w:val="135F0966"/>
    <w:rsid w:val="138008DC"/>
    <w:rsid w:val="13D50BC4"/>
    <w:rsid w:val="13E0771A"/>
    <w:rsid w:val="140A39B3"/>
    <w:rsid w:val="143A4F2F"/>
    <w:rsid w:val="1457788F"/>
    <w:rsid w:val="1461070D"/>
    <w:rsid w:val="14B17F78"/>
    <w:rsid w:val="14B7032D"/>
    <w:rsid w:val="14CB202B"/>
    <w:rsid w:val="14DC7231"/>
    <w:rsid w:val="14F43330"/>
    <w:rsid w:val="14F90946"/>
    <w:rsid w:val="15170DCC"/>
    <w:rsid w:val="15237771"/>
    <w:rsid w:val="15453B8B"/>
    <w:rsid w:val="15787ABD"/>
    <w:rsid w:val="159348F7"/>
    <w:rsid w:val="15E72E94"/>
    <w:rsid w:val="161A6DC6"/>
    <w:rsid w:val="161D0664"/>
    <w:rsid w:val="165E0673"/>
    <w:rsid w:val="16B831D5"/>
    <w:rsid w:val="16BB723D"/>
    <w:rsid w:val="16CF7BB0"/>
    <w:rsid w:val="16D231FD"/>
    <w:rsid w:val="17233A58"/>
    <w:rsid w:val="17514A69"/>
    <w:rsid w:val="1752258F"/>
    <w:rsid w:val="1752433D"/>
    <w:rsid w:val="17936E30"/>
    <w:rsid w:val="17C36FE9"/>
    <w:rsid w:val="17C70888"/>
    <w:rsid w:val="17D86F39"/>
    <w:rsid w:val="17E50567"/>
    <w:rsid w:val="1821268E"/>
    <w:rsid w:val="18356139"/>
    <w:rsid w:val="18475E6C"/>
    <w:rsid w:val="186504BB"/>
    <w:rsid w:val="18AB63FB"/>
    <w:rsid w:val="18C64FE3"/>
    <w:rsid w:val="192A37C4"/>
    <w:rsid w:val="197607B7"/>
    <w:rsid w:val="197E58BE"/>
    <w:rsid w:val="19874772"/>
    <w:rsid w:val="19A215AC"/>
    <w:rsid w:val="19A445FC"/>
    <w:rsid w:val="1A023DF9"/>
    <w:rsid w:val="1A1D6E85"/>
    <w:rsid w:val="1A6A7BF0"/>
    <w:rsid w:val="1AC13CB4"/>
    <w:rsid w:val="1AC90DBB"/>
    <w:rsid w:val="1AD5150D"/>
    <w:rsid w:val="1B7B5AD5"/>
    <w:rsid w:val="1BA3160C"/>
    <w:rsid w:val="1BAD248A"/>
    <w:rsid w:val="1BB35E28"/>
    <w:rsid w:val="1BE8440E"/>
    <w:rsid w:val="1C16002F"/>
    <w:rsid w:val="1C2F4C4D"/>
    <w:rsid w:val="1C330BE1"/>
    <w:rsid w:val="1C44694B"/>
    <w:rsid w:val="1C5D7A0C"/>
    <w:rsid w:val="1C694603"/>
    <w:rsid w:val="1CC161ED"/>
    <w:rsid w:val="1D155CEE"/>
    <w:rsid w:val="1D1638FE"/>
    <w:rsid w:val="1D37025D"/>
    <w:rsid w:val="1D44297A"/>
    <w:rsid w:val="1D6923E1"/>
    <w:rsid w:val="1DA376A1"/>
    <w:rsid w:val="1DA578BD"/>
    <w:rsid w:val="1E081BFA"/>
    <w:rsid w:val="1E2D1660"/>
    <w:rsid w:val="1E312DEB"/>
    <w:rsid w:val="1E472722"/>
    <w:rsid w:val="1E601A36"/>
    <w:rsid w:val="1E6908EA"/>
    <w:rsid w:val="1E7352C5"/>
    <w:rsid w:val="1E740ACF"/>
    <w:rsid w:val="1ED85A70"/>
    <w:rsid w:val="1EFA7794"/>
    <w:rsid w:val="1FF35744"/>
    <w:rsid w:val="1FF3757C"/>
    <w:rsid w:val="1FF6BC77"/>
    <w:rsid w:val="20084133"/>
    <w:rsid w:val="20170100"/>
    <w:rsid w:val="205253AE"/>
    <w:rsid w:val="20895274"/>
    <w:rsid w:val="20A40DCE"/>
    <w:rsid w:val="20B120D5"/>
    <w:rsid w:val="20BD4F1E"/>
    <w:rsid w:val="20EA55E7"/>
    <w:rsid w:val="210668C5"/>
    <w:rsid w:val="211508B6"/>
    <w:rsid w:val="211D776A"/>
    <w:rsid w:val="213B5E42"/>
    <w:rsid w:val="215533A8"/>
    <w:rsid w:val="21667363"/>
    <w:rsid w:val="2186353C"/>
    <w:rsid w:val="21E8421C"/>
    <w:rsid w:val="21FE57EE"/>
    <w:rsid w:val="221E379A"/>
    <w:rsid w:val="222A213F"/>
    <w:rsid w:val="222D7E81"/>
    <w:rsid w:val="225418B2"/>
    <w:rsid w:val="22DD5403"/>
    <w:rsid w:val="22F97D63"/>
    <w:rsid w:val="230E1A60"/>
    <w:rsid w:val="23641680"/>
    <w:rsid w:val="23810484"/>
    <w:rsid w:val="23860B96"/>
    <w:rsid w:val="239D1036"/>
    <w:rsid w:val="23DE2A6A"/>
    <w:rsid w:val="240371BF"/>
    <w:rsid w:val="24082954"/>
    <w:rsid w:val="24303C58"/>
    <w:rsid w:val="244F3473"/>
    <w:rsid w:val="24C97D99"/>
    <w:rsid w:val="24E567F1"/>
    <w:rsid w:val="24F84776"/>
    <w:rsid w:val="24FE5B05"/>
    <w:rsid w:val="25205A7B"/>
    <w:rsid w:val="25421E95"/>
    <w:rsid w:val="257007B0"/>
    <w:rsid w:val="258E6E89"/>
    <w:rsid w:val="25950217"/>
    <w:rsid w:val="259A75DB"/>
    <w:rsid w:val="25A718F0"/>
    <w:rsid w:val="25BB59F6"/>
    <w:rsid w:val="25CD2005"/>
    <w:rsid w:val="25DA20CE"/>
    <w:rsid w:val="260F557C"/>
    <w:rsid w:val="26217CFD"/>
    <w:rsid w:val="26235823"/>
    <w:rsid w:val="266B71CA"/>
    <w:rsid w:val="26970054"/>
    <w:rsid w:val="26993D37"/>
    <w:rsid w:val="26CD578F"/>
    <w:rsid w:val="26E2748C"/>
    <w:rsid w:val="270F7B55"/>
    <w:rsid w:val="27117D71"/>
    <w:rsid w:val="273D2914"/>
    <w:rsid w:val="27482C18"/>
    <w:rsid w:val="27716A62"/>
    <w:rsid w:val="27750300"/>
    <w:rsid w:val="27A961FC"/>
    <w:rsid w:val="27B01338"/>
    <w:rsid w:val="281408E2"/>
    <w:rsid w:val="2818512F"/>
    <w:rsid w:val="28B9246E"/>
    <w:rsid w:val="28C01A4F"/>
    <w:rsid w:val="29023E15"/>
    <w:rsid w:val="292024ED"/>
    <w:rsid w:val="29BF5862"/>
    <w:rsid w:val="29F6324E"/>
    <w:rsid w:val="29FD04D3"/>
    <w:rsid w:val="2A092F82"/>
    <w:rsid w:val="2A6D3510"/>
    <w:rsid w:val="2A84085A"/>
    <w:rsid w:val="2A88659C"/>
    <w:rsid w:val="2AA9206F"/>
    <w:rsid w:val="2AB32EED"/>
    <w:rsid w:val="2AED28A3"/>
    <w:rsid w:val="2B147E30"/>
    <w:rsid w:val="2B177920"/>
    <w:rsid w:val="2B1E2A5D"/>
    <w:rsid w:val="2B717030"/>
    <w:rsid w:val="2B911481"/>
    <w:rsid w:val="2BBE1B4A"/>
    <w:rsid w:val="2BFA7026"/>
    <w:rsid w:val="2BFF7BC6"/>
    <w:rsid w:val="2BFFE3FE"/>
    <w:rsid w:val="2C5801F0"/>
    <w:rsid w:val="2C8763E0"/>
    <w:rsid w:val="2C8965FC"/>
    <w:rsid w:val="2C8A61B5"/>
    <w:rsid w:val="2CD77367"/>
    <w:rsid w:val="2D19172E"/>
    <w:rsid w:val="2D6230D5"/>
    <w:rsid w:val="2D713318"/>
    <w:rsid w:val="2DA07DEB"/>
    <w:rsid w:val="2DF04E50"/>
    <w:rsid w:val="2E586DFA"/>
    <w:rsid w:val="2E642E7C"/>
    <w:rsid w:val="2EB57234"/>
    <w:rsid w:val="2F040D46"/>
    <w:rsid w:val="2F2820FC"/>
    <w:rsid w:val="2F37233F"/>
    <w:rsid w:val="2F611A30"/>
    <w:rsid w:val="2F6B035B"/>
    <w:rsid w:val="2FAE5751"/>
    <w:rsid w:val="2FB1A395"/>
    <w:rsid w:val="2FD9A7D8"/>
    <w:rsid w:val="2FDBF714"/>
    <w:rsid w:val="2FFFC29F"/>
    <w:rsid w:val="30AB6865"/>
    <w:rsid w:val="30C6397A"/>
    <w:rsid w:val="30DA11D4"/>
    <w:rsid w:val="30F32296"/>
    <w:rsid w:val="315E1E05"/>
    <w:rsid w:val="31813D45"/>
    <w:rsid w:val="31833619"/>
    <w:rsid w:val="319F7F4E"/>
    <w:rsid w:val="31AB2B70"/>
    <w:rsid w:val="31B163D9"/>
    <w:rsid w:val="31D64091"/>
    <w:rsid w:val="31FE0EF2"/>
    <w:rsid w:val="320E382B"/>
    <w:rsid w:val="322F72FD"/>
    <w:rsid w:val="32755658"/>
    <w:rsid w:val="32BD1EF1"/>
    <w:rsid w:val="32EB1476"/>
    <w:rsid w:val="3304709D"/>
    <w:rsid w:val="334F40FB"/>
    <w:rsid w:val="339064C2"/>
    <w:rsid w:val="33A45AC9"/>
    <w:rsid w:val="33A773CB"/>
    <w:rsid w:val="349D6851"/>
    <w:rsid w:val="34AF4725"/>
    <w:rsid w:val="34D4418C"/>
    <w:rsid w:val="34F75F1F"/>
    <w:rsid w:val="34F8431E"/>
    <w:rsid w:val="35134CB4"/>
    <w:rsid w:val="35683252"/>
    <w:rsid w:val="36062A6B"/>
    <w:rsid w:val="360A4309"/>
    <w:rsid w:val="36280C33"/>
    <w:rsid w:val="36681030"/>
    <w:rsid w:val="36AA5135"/>
    <w:rsid w:val="36BE0DA7"/>
    <w:rsid w:val="36F11025"/>
    <w:rsid w:val="37092813"/>
    <w:rsid w:val="37135440"/>
    <w:rsid w:val="372D1AA0"/>
    <w:rsid w:val="376B6AA6"/>
    <w:rsid w:val="376D39B2"/>
    <w:rsid w:val="376F0A86"/>
    <w:rsid w:val="37797999"/>
    <w:rsid w:val="3787198A"/>
    <w:rsid w:val="379B110E"/>
    <w:rsid w:val="37B0756F"/>
    <w:rsid w:val="37BA1D5F"/>
    <w:rsid w:val="37DC0EC1"/>
    <w:rsid w:val="37E16F03"/>
    <w:rsid w:val="37F53A3B"/>
    <w:rsid w:val="37FE7E9E"/>
    <w:rsid w:val="3805122C"/>
    <w:rsid w:val="38367638"/>
    <w:rsid w:val="384D2BD3"/>
    <w:rsid w:val="38651CCB"/>
    <w:rsid w:val="387FE69A"/>
    <w:rsid w:val="389A0BB8"/>
    <w:rsid w:val="389B6C89"/>
    <w:rsid w:val="38C06F01"/>
    <w:rsid w:val="38D469F0"/>
    <w:rsid w:val="39131727"/>
    <w:rsid w:val="393A3157"/>
    <w:rsid w:val="39627CCD"/>
    <w:rsid w:val="397BAF1F"/>
    <w:rsid w:val="3982065B"/>
    <w:rsid w:val="39DC420F"/>
    <w:rsid w:val="3A287454"/>
    <w:rsid w:val="3A465B2C"/>
    <w:rsid w:val="3A606BEE"/>
    <w:rsid w:val="3AB26D1E"/>
    <w:rsid w:val="3AB79AF3"/>
    <w:rsid w:val="3AE834C0"/>
    <w:rsid w:val="3AEC66D3"/>
    <w:rsid w:val="3AFB2473"/>
    <w:rsid w:val="3B1B0D67"/>
    <w:rsid w:val="3B617CFF"/>
    <w:rsid w:val="3B6C15C2"/>
    <w:rsid w:val="3B7EF35A"/>
    <w:rsid w:val="3B9FDB6C"/>
    <w:rsid w:val="3BAB0637"/>
    <w:rsid w:val="3BE86E9B"/>
    <w:rsid w:val="3BF5BC2F"/>
    <w:rsid w:val="3C131A3E"/>
    <w:rsid w:val="3C1E0B0E"/>
    <w:rsid w:val="3C303181"/>
    <w:rsid w:val="3CAF24F9"/>
    <w:rsid w:val="3CCB2319"/>
    <w:rsid w:val="3CEBA265"/>
    <w:rsid w:val="3D5B18EE"/>
    <w:rsid w:val="3D934BE4"/>
    <w:rsid w:val="3D94095C"/>
    <w:rsid w:val="3D98207C"/>
    <w:rsid w:val="3D9B7F3D"/>
    <w:rsid w:val="3DA908AC"/>
    <w:rsid w:val="3DBB413B"/>
    <w:rsid w:val="3DD11BB1"/>
    <w:rsid w:val="3DEE7CF3"/>
    <w:rsid w:val="3E027FBC"/>
    <w:rsid w:val="3E111FAD"/>
    <w:rsid w:val="3E151A9D"/>
    <w:rsid w:val="3E740A63"/>
    <w:rsid w:val="3E78745D"/>
    <w:rsid w:val="3EA01CAF"/>
    <w:rsid w:val="3EAF1EF2"/>
    <w:rsid w:val="3EC82FB3"/>
    <w:rsid w:val="3ED01E68"/>
    <w:rsid w:val="3EE17838"/>
    <w:rsid w:val="3EF142B8"/>
    <w:rsid w:val="3F247041"/>
    <w:rsid w:val="3F3423F7"/>
    <w:rsid w:val="3F55381A"/>
    <w:rsid w:val="3F632CDC"/>
    <w:rsid w:val="3F7F7599"/>
    <w:rsid w:val="3FB84DD6"/>
    <w:rsid w:val="3FC574F3"/>
    <w:rsid w:val="3FE060DB"/>
    <w:rsid w:val="3FF4CAE0"/>
    <w:rsid w:val="3FF7B227"/>
    <w:rsid w:val="3FFA9612"/>
    <w:rsid w:val="407677EE"/>
    <w:rsid w:val="411A73CB"/>
    <w:rsid w:val="413C37E5"/>
    <w:rsid w:val="41652D3C"/>
    <w:rsid w:val="41DD0B24"/>
    <w:rsid w:val="41DF9206"/>
    <w:rsid w:val="420662CD"/>
    <w:rsid w:val="425F3C2F"/>
    <w:rsid w:val="426E5C20"/>
    <w:rsid w:val="42786A9F"/>
    <w:rsid w:val="43BF2BD7"/>
    <w:rsid w:val="43DE2931"/>
    <w:rsid w:val="43E73EDC"/>
    <w:rsid w:val="43F839F3"/>
    <w:rsid w:val="440305EA"/>
    <w:rsid w:val="442944F4"/>
    <w:rsid w:val="445B21D4"/>
    <w:rsid w:val="44CB735A"/>
    <w:rsid w:val="44E268DA"/>
    <w:rsid w:val="450D13D7"/>
    <w:rsid w:val="45260A34"/>
    <w:rsid w:val="45506656"/>
    <w:rsid w:val="45742769"/>
    <w:rsid w:val="45AD6A5F"/>
    <w:rsid w:val="46162856"/>
    <w:rsid w:val="462211FB"/>
    <w:rsid w:val="464C0026"/>
    <w:rsid w:val="46DB2BB3"/>
    <w:rsid w:val="46F50B99"/>
    <w:rsid w:val="471A0124"/>
    <w:rsid w:val="47226FD9"/>
    <w:rsid w:val="47705F96"/>
    <w:rsid w:val="47775577"/>
    <w:rsid w:val="477B540D"/>
    <w:rsid w:val="47906638"/>
    <w:rsid w:val="47B24801"/>
    <w:rsid w:val="47DB5B06"/>
    <w:rsid w:val="48223734"/>
    <w:rsid w:val="48270D4B"/>
    <w:rsid w:val="48382F58"/>
    <w:rsid w:val="48492255"/>
    <w:rsid w:val="485811E2"/>
    <w:rsid w:val="486A6C7A"/>
    <w:rsid w:val="48904B42"/>
    <w:rsid w:val="48A05D81"/>
    <w:rsid w:val="48E94252"/>
    <w:rsid w:val="491868E5"/>
    <w:rsid w:val="49374FBE"/>
    <w:rsid w:val="4A121601"/>
    <w:rsid w:val="4A627F82"/>
    <w:rsid w:val="4A987CDE"/>
    <w:rsid w:val="4ABB577A"/>
    <w:rsid w:val="4ADA02F6"/>
    <w:rsid w:val="4AE72A13"/>
    <w:rsid w:val="4B0E749A"/>
    <w:rsid w:val="4B1B3C2D"/>
    <w:rsid w:val="4B2477C4"/>
    <w:rsid w:val="4B3C4B0D"/>
    <w:rsid w:val="4B4F25DA"/>
    <w:rsid w:val="4B524331"/>
    <w:rsid w:val="4B55797D"/>
    <w:rsid w:val="4B8B7441"/>
    <w:rsid w:val="4BA17066"/>
    <w:rsid w:val="4BDE5BC4"/>
    <w:rsid w:val="4BE068DB"/>
    <w:rsid w:val="4BFA0524"/>
    <w:rsid w:val="4C2832E3"/>
    <w:rsid w:val="4C4A325A"/>
    <w:rsid w:val="4C4D2D4A"/>
    <w:rsid w:val="4C59349D"/>
    <w:rsid w:val="4C716A38"/>
    <w:rsid w:val="4CBD57DA"/>
    <w:rsid w:val="4CDB30A5"/>
    <w:rsid w:val="4D577224"/>
    <w:rsid w:val="4D583754"/>
    <w:rsid w:val="4D6C7200"/>
    <w:rsid w:val="4D7F5185"/>
    <w:rsid w:val="4DBF1CEB"/>
    <w:rsid w:val="4DCD5EF0"/>
    <w:rsid w:val="4DDA060D"/>
    <w:rsid w:val="4DF0007C"/>
    <w:rsid w:val="4E1A4EAE"/>
    <w:rsid w:val="4E3221F7"/>
    <w:rsid w:val="4E45017D"/>
    <w:rsid w:val="4E9ECFBB"/>
    <w:rsid w:val="4EA330F5"/>
    <w:rsid w:val="4EAB630A"/>
    <w:rsid w:val="4ECE2238"/>
    <w:rsid w:val="4EE31744"/>
    <w:rsid w:val="4F1418FD"/>
    <w:rsid w:val="4F1B712F"/>
    <w:rsid w:val="4F833267"/>
    <w:rsid w:val="4F9547EC"/>
    <w:rsid w:val="4FA72771"/>
    <w:rsid w:val="4FAD422B"/>
    <w:rsid w:val="4FE15C83"/>
    <w:rsid w:val="4FE3904F"/>
    <w:rsid w:val="4FE9BD67"/>
    <w:rsid w:val="4FF57980"/>
    <w:rsid w:val="4FFA0AF3"/>
    <w:rsid w:val="4FFB052F"/>
    <w:rsid w:val="503009B9"/>
    <w:rsid w:val="50305F10"/>
    <w:rsid w:val="50334005"/>
    <w:rsid w:val="505E72D4"/>
    <w:rsid w:val="507E34D2"/>
    <w:rsid w:val="50AA42C7"/>
    <w:rsid w:val="50AF7B2F"/>
    <w:rsid w:val="50B05655"/>
    <w:rsid w:val="50C40DD7"/>
    <w:rsid w:val="50CC248F"/>
    <w:rsid w:val="50F639B0"/>
    <w:rsid w:val="51024103"/>
    <w:rsid w:val="513444D8"/>
    <w:rsid w:val="51870AAC"/>
    <w:rsid w:val="518B234A"/>
    <w:rsid w:val="51B3364F"/>
    <w:rsid w:val="51DA6E2E"/>
    <w:rsid w:val="51E23F34"/>
    <w:rsid w:val="529E7E5B"/>
    <w:rsid w:val="52EA3848"/>
    <w:rsid w:val="53195185"/>
    <w:rsid w:val="533407C0"/>
    <w:rsid w:val="53590226"/>
    <w:rsid w:val="53672943"/>
    <w:rsid w:val="536C1531"/>
    <w:rsid w:val="537E6D0A"/>
    <w:rsid w:val="53E45D42"/>
    <w:rsid w:val="53F32429"/>
    <w:rsid w:val="53F74C96"/>
    <w:rsid w:val="54401FF4"/>
    <w:rsid w:val="54574766"/>
    <w:rsid w:val="545A4256"/>
    <w:rsid w:val="54DE4E87"/>
    <w:rsid w:val="55170BA8"/>
    <w:rsid w:val="552A59D6"/>
    <w:rsid w:val="553218C9"/>
    <w:rsid w:val="55592760"/>
    <w:rsid w:val="556A04C9"/>
    <w:rsid w:val="567E1AA5"/>
    <w:rsid w:val="5684380C"/>
    <w:rsid w:val="56E47B74"/>
    <w:rsid w:val="57087F99"/>
    <w:rsid w:val="571050A0"/>
    <w:rsid w:val="57175D52"/>
    <w:rsid w:val="57BD3DD4"/>
    <w:rsid w:val="57C06AC6"/>
    <w:rsid w:val="57CC546B"/>
    <w:rsid w:val="5829466B"/>
    <w:rsid w:val="585B059D"/>
    <w:rsid w:val="5866766D"/>
    <w:rsid w:val="58922210"/>
    <w:rsid w:val="58D04AE7"/>
    <w:rsid w:val="58DE5456"/>
    <w:rsid w:val="58E660B8"/>
    <w:rsid w:val="590D7AE9"/>
    <w:rsid w:val="593037D7"/>
    <w:rsid w:val="59A55F73"/>
    <w:rsid w:val="59D357AF"/>
    <w:rsid w:val="59E62B92"/>
    <w:rsid w:val="59F30596"/>
    <w:rsid w:val="5AB126F6"/>
    <w:rsid w:val="5AB26B9A"/>
    <w:rsid w:val="5AD07020"/>
    <w:rsid w:val="5AD22D98"/>
    <w:rsid w:val="5AF92295"/>
    <w:rsid w:val="5B250254"/>
    <w:rsid w:val="5B3D3F8A"/>
    <w:rsid w:val="5B77749C"/>
    <w:rsid w:val="5BCC5A39"/>
    <w:rsid w:val="5BDD79E6"/>
    <w:rsid w:val="5BF561CA"/>
    <w:rsid w:val="5BFF5DFC"/>
    <w:rsid w:val="5C007491"/>
    <w:rsid w:val="5C1D44E7"/>
    <w:rsid w:val="5C1E200D"/>
    <w:rsid w:val="5C653798"/>
    <w:rsid w:val="5C981DBF"/>
    <w:rsid w:val="5CBD1826"/>
    <w:rsid w:val="5CCB3F43"/>
    <w:rsid w:val="5CD71FC4"/>
    <w:rsid w:val="5D123920"/>
    <w:rsid w:val="5D1F11B5"/>
    <w:rsid w:val="5D4E18AD"/>
    <w:rsid w:val="5D5E6B65"/>
    <w:rsid w:val="5D63AFF9"/>
    <w:rsid w:val="5D695134"/>
    <w:rsid w:val="5DA64068"/>
    <w:rsid w:val="5DAE1B18"/>
    <w:rsid w:val="5DCF7A63"/>
    <w:rsid w:val="5DD76917"/>
    <w:rsid w:val="5DDE7CA6"/>
    <w:rsid w:val="5DE7D9E5"/>
    <w:rsid w:val="5E56783C"/>
    <w:rsid w:val="5E59557E"/>
    <w:rsid w:val="5E5D506F"/>
    <w:rsid w:val="5E7B54F5"/>
    <w:rsid w:val="5EB01642"/>
    <w:rsid w:val="5ECEC941"/>
    <w:rsid w:val="5F2E2567"/>
    <w:rsid w:val="5F7C7776"/>
    <w:rsid w:val="5F875640"/>
    <w:rsid w:val="5FBF9FF3"/>
    <w:rsid w:val="5FCD4E2C"/>
    <w:rsid w:val="5FD255E8"/>
    <w:rsid w:val="5FE07D05"/>
    <w:rsid w:val="5FE570CA"/>
    <w:rsid w:val="5FE84E0C"/>
    <w:rsid w:val="5FED2942"/>
    <w:rsid w:val="5FEF394A"/>
    <w:rsid w:val="5FF67715"/>
    <w:rsid w:val="5FFEE090"/>
    <w:rsid w:val="606C77EB"/>
    <w:rsid w:val="610B0DB2"/>
    <w:rsid w:val="612260FC"/>
    <w:rsid w:val="615547CC"/>
    <w:rsid w:val="61834DEC"/>
    <w:rsid w:val="61BA4586"/>
    <w:rsid w:val="61CB5C2B"/>
    <w:rsid w:val="6211064A"/>
    <w:rsid w:val="622A34BA"/>
    <w:rsid w:val="624D71A8"/>
    <w:rsid w:val="62BF3928"/>
    <w:rsid w:val="62EC4C13"/>
    <w:rsid w:val="62FD297C"/>
    <w:rsid w:val="635A392B"/>
    <w:rsid w:val="639130C5"/>
    <w:rsid w:val="63B3701E"/>
    <w:rsid w:val="63D76E8E"/>
    <w:rsid w:val="64012DCD"/>
    <w:rsid w:val="64032214"/>
    <w:rsid w:val="64061D04"/>
    <w:rsid w:val="64175CC0"/>
    <w:rsid w:val="6428738B"/>
    <w:rsid w:val="64502F80"/>
    <w:rsid w:val="647F5392"/>
    <w:rsid w:val="64EF2799"/>
    <w:rsid w:val="65384140"/>
    <w:rsid w:val="65953340"/>
    <w:rsid w:val="65E322FD"/>
    <w:rsid w:val="65E66580"/>
    <w:rsid w:val="664B1D71"/>
    <w:rsid w:val="664B4E8E"/>
    <w:rsid w:val="664F7993"/>
    <w:rsid w:val="666351EC"/>
    <w:rsid w:val="66666A8A"/>
    <w:rsid w:val="666B40A1"/>
    <w:rsid w:val="66A51361"/>
    <w:rsid w:val="66F347C2"/>
    <w:rsid w:val="670D5158"/>
    <w:rsid w:val="67277B67"/>
    <w:rsid w:val="673F17B5"/>
    <w:rsid w:val="67AA3209"/>
    <w:rsid w:val="67BF631A"/>
    <w:rsid w:val="67C24194"/>
    <w:rsid w:val="68802085"/>
    <w:rsid w:val="68CF4DBB"/>
    <w:rsid w:val="69076303"/>
    <w:rsid w:val="69140A20"/>
    <w:rsid w:val="692F7608"/>
    <w:rsid w:val="6985191D"/>
    <w:rsid w:val="698D0931"/>
    <w:rsid w:val="69A73642"/>
    <w:rsid w:val="6A70612A"/>
    <w:rsid w:val="6A7FE5F3"/>
    <w:rsid w:val="6AA61B4B"/>
    <w:rsid w:val="6AA87D10"/>
    <w:rsid w:val="6AB9187F"/>
    <w:rsid w:val="6ACD70D8"/>
    <w:rsid w:val="6AD9782B"/>
    <w:rsid w:val="6ADE7537"/>
    <w:rsid w:val="6B053271"/>
    <w:rsid w:val="6B15282D"/>
    <w:rsid w:val="6B43383E"/>
    <w:rsid w:val="6B451364"/>
    <w:rsid w:val="6BAC3191"/>
    <w:rsid w:val="6BDD78B3"/>
    <w:rsid w:val="6C2471CC"/>
    <w:rsid w:val="6C4258A4"/>
    <w:rsid w:val="6C4A05C8"/>
    <w:rsid w:val="6C6E0447"/>
    <w:rsid w:val="6C8742B8"/>
    <w:rsid w:val="6D8C5028"/>
    <w:rsid w:val="6D9E2022"/>
    <w:rsid w:val="6DB4457F"/>
    <w:rsid w:val="6DBF5E93"/>
    <w:rsid w:val="6DCA3DA3"/>
    <w:rsid w:val="6DEF3809"/>
    <w:rsid w:val="6DFF077E"/>
    <w:rsid w:val="6E153270"/>
    <w:rsid w:val="6E714EF0"/>
    <w:rsid w:val="6E777A87"/>
    <w:rsid w:val="6E7E3605"/>
    <w:rsid w:val="6E7FDCC7"/>
    <w:rsid w:val="6E9817AB"/>
    <w:rsid w:val="6EB7656E"/>
    <w:rsid w:val="6ED6A62E"/>
    <w:rsid w:val="6EE00B15"/>
    <w:rsid w:val="6F6FB3EB"/>
    <w:rsid w:val="6F8731EA"/>
    <w:rsid w:val="6FCD1928"/>
    <w:rsid w:val="6FCE6052"/>
    <w:rsid w:val="6FD57C00"/>
    <w:rsid w:val="6FDF6080"/>
    <w:rsid w:val="6FEFFFD8"/>
    <w:rsid w:val="6FF5CC65"/>
    <w:rsid w:val="6FFB47EC"/>
    <w:rsid w:val="6FFF034A"/>
    <w:rsid w:val="70484440"/>
    <w:rsid w:val="70741DA4"/>
    <w:rsid w:val="70934920"/>
    <w:rsid w:val="70A24B63"/>
    <w:rsid w:val="70F353BF"/>
    <w:rsid w:val="70FD7FEB"/>
    <w:rsid w:val="71105F71"/>
    <w:rsid w:val="712A28F1"/>
    <w:rsid w:val="715C0E4B"/>
    <w:rsid w:val="717B788E"/>
    <w:rsid w:val="71992E7C"/>
    <w:rsid w:val="71A97DB6"/>
    <w:rsid w:val="71DD22F7"/>
    <w:rsid w:val="72225F5B"/>
    <w:rsid w:val="72233669"/>
    <w:rsid w:val="72734D90"/>
    <w:rsid w:val="72AE7D81"/>
    <w:rsid w:val="72B15531"/>
    <w:rsid w:val="72DA6836"/>
    <w:rsid w:val="72DC25AE"/>
    <w:rsid w:val="72DF209E"/>
    <w:rsid w:val="73160E6D"/>
    <w:rsid w:val="7332FE48"/>
    <w:rsid w:val="7399224D"/>
    <w:rsid w:val="73A330CC"/>
    <w:rsid w:val="73AB61DA"/>
    <w:rsid w:val="73AD73D5"/>
    <w:rsid w:val="73B6EB34"/>
    <w:rsid w:val="73D70FC8"/>
    <w:rsid w:val="73F76F74"/>
    <w:rsid w:val="73FA497D"/>
    <w:rsid w:val="74471CA9"/>
    <w:rsid w:val="744731E5"/>
    <w:rsid w:val="74634609"/>
    <w:rsid w:val="74884070"/>
    <w:rsid w:val="74A013B9"/>
    <w:rsid w:val="74BBD01D"/>
    <w:rsid w:val="74C257D4"/>
    <w:rsid w:val="74E53270"/>
    <w:rsid w:val="74ED5379"/>
    <w:rsid w:val="752913AF"/>
    <w:rsid w:val="753F0BD2"/>
    <w:rsid w:val="75483F2B"/>
    <w:rsid w:val="755723C0"/>
    <w:rsid w:val="758331B5"/>
    <w:rsid w:val="75A35605"/>
    <w:rsid w:val="75CB690A"/>
    <w:rsid w:val="75D78F44"/>
    <w:rsid w:val="75DEEEC2"/>
    <w:rsid w:val="75E32345"/>
    <w:rsid w:val="75F419BD"/>
    <w:rsid w:val="75F55735"/>
    <w:rsid w:val="76004806"/>
    <w:rsid w:val="76045978"/>
    <w:rsid w:val="76312C11"/>
    <w:rsid w:val="76592168"/>
    <w:rsid w:val="766E04DB"/>
    <w:rsid w:val="768A2321"/>
    <w:rsid w:val="768E1E11"/>
    <w:rsid w:val="76B63116"/>
    <w:rsid w:val="76D35A76"/>
    <w:rsid w:val="76E3355F"/>
    <w:rsid w:val="76E45ED5"/>
    <w:rsid w:val="76FAADA2"/>
    <w:rsid w:val="76FF5125"/>
    <w:rsid w:val="77000835"/>
    <w:rsid w:val="77356731"/>
    <w:rsid w:val="776D5ECB"/>
    <w:rsid w:val="776F6FFA"/>
    <w:rsid w:val="778769C8"/>
    <w:rsid w:val="778F488A"/>
    <w:rsid w:val="77A75DCA"/>
    <w:rsid w:val="77B60095"/>
    <w:rsid w:val="77D71596"/>
    <w:rsid w:val="77DC22F5"/>
    <w:rsid w:val="78067B81"/>
    <w:rsid w:val="783E271A"/>
    <w:rsid w:val="78616DE9"/>
    <w:rsid w:val="78743289"/>
    <w:rsid w:val="78E875D7"/>
    <w:rsid w:val="79086DAD"/>
    <w:rsid w:val="79181E66"/>
    <w:rsid w:val="793022A4"/>
    <w:rsid w:val="798E3ED6"/>
    <w:rsid w:val="79A74F98"/>
    <w:rsid w:val="79C124FE"/>
    <w:rsid w:val="79D7FD79"/>
    <w:rsid w:val="79EE5BA4"/>
    <w:rsid w:val="79F71A7C"/>
    <w:rsid w:val="7A236D15"/>
    <w:rsid w:val="7A342CD0"/>
    <w:rsid w:val="7A635363"/>
    <w:rsid w:val="7A6A4943"/>
    <w:rsid w:val="7A7C4677"/>
    <w:rsid w:val="7A811C8D"/>
    <w:rsid w:val="7A894339"/>
    <w:rsid w:val="7AA37E55"/>
    <w:rsid w:val="7AD284E8"/>
    <w:rsid w:val="7AF83CFD"/>
    <w:rsid w:val="7AFF7572"/>
    <w:rsid w:val="7B276391"/>
    <w:rsid w:val="7B2C7E4B"/>
    <w:rsid w:val="7B6C7DFB"/>
    <w:rsid w:val="7B9854E0"/>
    <w:rsid w:val="7B9A4DB4"/>
    <w:rsid w:val="7BBFBED0"/>
    <w:rsid w:val="7BC3E394"/>
    <w:rsid w:val="7C091F3A"/>
    <w:rsid w:val="7C127041"/>
    <w:rsid w:val="7C1F3737"/>
    <w:rsid w:val="7C3A0345"/>
    <w:rsid w:val="7C52568F"/>
    <w:rsid w:val="7C574A54"/>
    <w:rsid w:val="7C773348"/>
    <w:rsid w:val="7CBFC87B"/>
    <w:rsid w:val="7CFD384D"/>
    <w:rsid w:val="7CFE0F48"/>
    <w:rsid w:val="7D056BA5"/>
    <w:rsid w:val="7D272ABC"/>
    <w:rsid w:val="7D7EC23E"/>
    <w:rsid w:val="7DAB14FB"/>
    <w:rsid w:val="7DE92023"/>
    <w:rsid w:val="7E386B07"/>
    <w:rsid w:val="7E5020A2"/>
    <w:rsid w:val="7E585886"/>
    <w:rsid w:val="7E681777"/>
    <w:rsid w:val="7E760353"/>
    <w:rsid w:val="7E8ADEBF"/>
    <w:rsid w:val="7E8D29AE"/>
    <w:rsid w:val="7E8F4979"/>
    <w:rsid w:val="7EB02B41"/>
    <w:rsid w:val="7EE76F0F"/>
    <w:rsid w:val="7EEF11D3"/>
    <w:rsid w:val="7EFE4840"/>
    <w:rsid w:val="7F0971A6"/>
    <w:rsid w:val="7F127358"/>
    <w:rsid w:val="7F1D62E7"/>
    <w:rsid w:val="7F1E5CFC"/>
    <w:rsid w:val="7F3F679B"/>
    <w:rsid w:val="7F4FC4EF"/>
    <w:rsid w:val="7F5E4D54"/>
    <w:rsid w:val="7F606315"/>
    <w:rsid w:val="7F6E0135"/>
    <w:rsid w:val="7F79F205"/>
    <w:rsid w:val="7F842003"/>
    <w:rsid w:val="7FA30C79"/>
    <w:rsid w:val="7FA79C44"/>
    <w:rsid w:val="7FABB4AD"/>
    <w:rsid w:val="7FAF8ABF"/>
    <w:rsid w:val="7FB7269E"/>
    <w:rsid w:val="7FBA3C77"/>
    <w:rsid w:val="7FBD5515"/>
    <w:rsid w:val="7FC71EF0"/>
    <w:rsid w:val="7FC96657"/>
    <w:rsid w:val="7FD3857D"/>
    <w:rsid w:val="7FD665D7"/>
    <w:rsid w:val="7FDA9588"/>
    <w:rsid w:val="7FDF220F"/>
    <w:rsid w:val="7FDF548C"/>
    <w:rsid w:val="7FE94C3B"/>
    <w:rsid w:val="7FEB2083"/>
    <w:rsid w:val="7FEDC5F7"/>
    <w:rsid w:val="7FEDD9DE"/>
    <w:rsid w:val="7FF5890D"/>
    <w:rsid w:val="7FF93490"/>
    <w:rsid w:val="9637A849"/>
    <w:rsid w:val="99FF2014"/>
    <w:rsid w:val="9EDFB33E"/>
    <w:rsid w:val="9FDEA028"/>
    <w:rsid w:val="9FFFDE89"/>
    <w:rsid w:val="A6DD0D7F"/>
    <w:rsid w:val="ACFF4FBB"/>
    <w:rsid w:val="ADC6F725"/>
    <w:rsid w:val="AFC779A3"/>
    <w:rsid w:val="B7CF06AB"/>
    <w:rsid w:val="B7CFA926"/>
    <w:rsid w:val="B7F8786B"/>
    <w:rsid w:val="BABB6AA1"/>
    <w:rsid w:val="BB2F4199"/>
    <w:rsid w:val="BB6EE666"/>
    <w:rsid w:val="BB7D6E0E"/>
    <w:rsid w:val="BC3B5F89"/>
    <w:rsid w:val="BCDEB592"/>
    <w:rsid w:val="BCFFB442"/>
    <w:rsid w:val="BD079C78"/>
    <w:rsid w:val="BD733540"/>
    <w:rsid w:val="BE8F4103"/>
    <w:rsid w:val="BF3735D5"/>
    <w:rsid w:val="BF7F09AC"/>
    <w:rsid w:val="BFD475C3"/>
    <w:rsid w:val="BFDE5EA6"/>
    <w:rsid w:val="BFFB7F4E"/>
    <w:rsid w:val="CF6FC6F3"/>
    <w:rsid w:val="CFD3D3D7"/>
    <w:rsid w:val="CFDB47C3"/>
    <w:rsid w:val="CFDF1009"/>
    <w:rsid w:val="D5EBBBF7"/>
    <w:rsid w:val="D7D7B16A"/>
    <w:rsid w:val="D7FFD860"/>
    <w:rsid w:val="D8D6DB89"/>
    <w:rsid w:val="DAD3C5F5"/>
    <w:rsid w:val="DB6F4CAB"/>
    <w:rsid w:val="DB777682"/>
    <w:rsid w:val="DC6B7C60"/>
    <w:rsid w:val="DD1FB521"/>
    <w:rsid w:val="DDF85DF1"/>
    <w:rsid w:val="DED309C3"/>
    <w:rsid w:val="DEFBFEAE"/>
    <w:rsid w:val="DF1F3B80"/>
    <w:rsid w:val="DF6F9789"/>
    <w:rsid w:val="DF7FA60F"/>
    <w:rsid w:val="DFE9BE81"/>
    <w:rsid w:val="DFEECA79"/>
    <w:rsid w:val="DFFFA9E8"/>
    <w:rsid w:val="E5F4E9DC"/>
    <w:rsid w:val="E70FE695"/>
    <w:rsid w:val="E7DF71C1"/>
    <w:rsid w:val="EB2E368B"/>
    <w:rsid w:val="EB5B2770"/>
    <w:rsid w:val="EB5FCA8F"/>
    <w:rsid w:val="ECFED1BC"/>
    <w:rsid w:val="ED1D69BB"/>
    <w:rsid w:val="ED7FD312"/>
    <w:rsid w:val="EE3A18F2"/>
    <w:rsid w:val="EF2E1AC6"/>
    <w:rsid w:val="EF53993F"/>
    <w:rsid w:val="EF6FD633"/>
    <w:rsid w:val="EFBFB2F4"/>
    <w:rsid w:val="EFBFFA21"/>
    <w:rsid w:val="F2BEBCB8"/>
    <w:rsid w:val="F36FB518"/>
    <w:rsid w:val="F3DE1A04"/>
    <w:rsid w:val="F3F722E5"/>
    <w:rsid w:val="F3F955B2"/>
    <w:rsid w:val="F4FBCD07"/>
    <w:rsid w:val="F5FE70DA"/>
    <w:rsid w:val="F7FE79B1"/>
    <w:rsid w:val="FA5F1E70"/>
    <w:rsid w:val="FA5FDB97"/>
    <w:rsid w:val="FA9F6BBE"/>
    <w:rsid w:val="FAD77317"/>
    <w:rsid w:val="FB3DF4DF"/>
    <w:rsid w:val="FB7F486A"/>
    <w:rsid w:val="FBEB43AB"/>
    <w:rsid w:val="FBFF5B2E"/>
    <w:rsid w:val="FCDF3679"/>
    <w:rsid w:val="FD7FFE2B"/>
    <w:rsid w:val="FDDE8561"/>
    <w:rsid w:val="FDEE196B"/>
    <w:rsid w:val="FDFCED3B"/>
    <w:rsid w:val="FDFE6575"/>
    <w:rsid w:val="FEDFDDC2"/>
    <w:rsid w:val="FEED32F6"/>
    <w:rsid w:val="FEEDC79A"/>
    <w:rsid w:val="FEF781DD"/>
    <w:rsid w:val="FF1FE672"/>
    <w:rsid w:val="FF3F7E3F"/>
    <w:rsid w:val="FF76572C"/>
    <w:rsid w:val="FFBA12D7"/>
    <w:rsid w:val="FFCBD314"/>
    <w:rsid w:val="FFDFF91C"/>
    <w:rsid w:val="FFDFFAEE"/>
    <w:rsid w:val="FFEF6777"/>
    <w:rsid w:val="FFF3988A"/>
    <w:rsid w:val="FFF9B57B"/>
    <w:rsid w:val="FFFD61D9"/>
    <w:rsid w:val="FFFD8F59"/>
    <w:rsid w:val="FFFF2BB1"/>
    <w:rsid w:val="FFFF45B4"/>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Sheet1!$B$2:$B$3</c:f>
              <c:numCache>
                <c:formatCode>General</c:formatCode>
                <c:ptCount val="2"/>
                <c:pt idx="0">
                  <c:v>311.79</c:v>
                </c:pt>
                <c:pt idx="1">
                  <c:v>311.79</c:v>
                </c:pt>
              </c:numCache>
            </c:numRef>
          </c:val>
        </c:ser>
        <c:ser>
          <c:idx val="1"/>
          <c:order val="1"/>
          <c:tx>
            <c:strRef>
              <c:f>Sheet1!$C$1</c:f>
              <c:strCache>
                <c:ptCount val="1"/>
                <c:pt idx="0">
                  <c:v>2024年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Sheet1!$C$2:$C$3</c:f>
              <c:numCache>
                <c:formatCode>General</c:formatCode>
                <c:ptCount val="2"/>
                <c:pt idx="0">
                  <c:v>364.33</c:v>
                </c:pt>
                <c:pt idx="1">
                  <c:v>364.33</c:v>
                </c:pt>
              </c:numCache>
            </c:numRef>
          </c:val>
        </c:ser>
        <c:dLbls>
          <c:showLegendKey val="0"/>
          <c:showVal val="1"/>
          <c:showCatName val="0"/>
          <c:showSerName val="0"/>
          <c:showPercent val="0"/>
          <c:showBubbleSize val="0"/>
        </c:dLbls>
        <c:gapWidth val="246"/>
        <c:overlap val="-28"/>
        <c:axId val="254029773"/>
        <c:axId val="816231007"/>
      </c:barChart>
      <c:catAx>
        <c:axId val="25402977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231007"/>
        <c:crosses val="autoZero"/>
        <c:auto val="1"/>
        <c:lblAlgn val="ctr"/>
        <c:lblOffset val="100"/>
        <c:noMultiLvlLbl val="0"/>
      </c:catAx>
      <c:valAx>
        <c:axId val="81623100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0297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b2eef82-b574-4690-bf8e-99fdb57f783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列2</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一般公共预算财政拨款收入（万元） </c:v>
                </c:pt>
                <c:pt idx="1">
                  <c:v>政府性基金预算财政拨款收入（万元）</c:v>
                </c:pt>
                <c:pt idx="2">
                  <c:v>国有资本经营预算财政拨款收入（万元）</c:v>
                </c:pt>
                <c:pt idx="3">
                  <c:v>上级补助收入（万元）</c:v>
                </c:pt>
                <c:pt idx="4">
                  <c:v>事业收入（万元）</c:v>
                </c:pt>
                <c:pt idx="5">
                  <c:v>其他收入（万元）</c:v>
                </c:pt>
              </c:strCache>
            </c:strRef>
          </c:cat>
          <c:val>
            <c:numRef>
              <c:f>Sheet1!$B$2:$B$7</c:f>
              <c:numCache>
                <c:formatCode>General</c:formatCode>
                <c:ptCount val="6"/>
                <c:pt idx="0">
                  <c:v>364.33</c:v>
                </c:pt>
                <c:pt idx="1">
                  <c:v>0</c:v>
                </c:pt>
                <c:pt idx="2">
                  <c:v>0</c:v>
                </c:pt>
                <c:pt idx="3">
                  <c:v>0</c:v>
                </c:pt>
                <c:pt idx="4">
                  <c:v>0</c:v>
                </c:pt>
                <c:pt idx="5">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ecc3b57-b487-4c4c-8dba-a5e50f23961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基本支出（万元）</c:v>
                </c:pt>
                <c:pt idx="1">
                  <c:v>项目支出（万元）</c:v>
                </c:pt>
                <c:pt idx="2">
                  <c:v>上缴上级支出（万元）</c:v>
                </c:pt>
              </c:strCache>
            </c:strRef>
          </c:cat>
          <c:val>
            <c:numRef>
              <c:f>Sheet1!$B$2:$B$4</c:f>
              <c:numCache>
                <c:formatCode>General</c:formatCode>
                <c:ptCount val="3"/>
                <c:pt idx="0">
                  <c:v>290.2</c:v>
                </c:pt>
                <c:pt idx="1">
                  <c:v>74.13</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eab3d14-2502-479e-bf71-2c707abe9a3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Sheet1!$B$2:$B$3</c:f>
              <c:numCache>
                <c:formatCode>General</c:formatCode>
                <c:ptCount val="2"/>
                <c:pt idx="0">
                  <c:v>311.79</c:v>
                </c:pt>
                <c:pt idx="1">
                  <c:v>311.79</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Sheet1!$C$2:$C$3</c:f>
              <c:numCache>
                <c:formatCode>General</c:formatCode>
                <c:ptCount val="2"/>
                <c:pt idx="0">
                  <c:v>364.33</c:v>
                </c:pt>
                <c:pt idx="1">
                  <c:v>364.33</c:v>
                </c:pt>
              </c:numCache>
            </c:numRef>
          </c:val>
        </c:ser>
        <c:dLbls>
          <c:showLegendKey val="0"/>
          <c:showVal val="1"/>
          <c:showCatName val="0"/>
          <c:showSerName val="0"/>
          <c:showPercent val="0"/>
          <c:showBubbleSize val="0"/>
        </c:dLbls>
        <c:gapWidth val="246"/>
        <c:overlap val="-28"/>
        <c:axId val="74666693"/>
        <c:axId val="595719577"/>
      </c:barChart>
      <c:catAx>
        <c:axId val="746666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5719577"/>
        <c:crosses val="autoZero"/>
        <c:auto val="1"/>
        <c:lblAlgn val="ctr"/>
        <c:lblOffset val="100"/>
        <c:noMultiLvlLbl val="0"/>
      </c:catAx>
      <c:valAx>
        <c:axId val="59571957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6666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63d7e52-33d4-42b4-9b48-f192a707f1a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一般公共预算财政拨款支出（万元）</c:v>
                </c:pt>
              </c:strCache>
            </c:strRef>
          </c:cat>
          <c:val>
            <c:numRef>
              <c:f>Sheet1!$B$2</c:f>
              <c:numCache>
                <c:formatCode>General</c:formatCode>
                <c:ptCount val="1"/>
                <c:pt idx="0">
                  <c:v>311.79</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一般公共预算财政拨款支出（万元）</c:v>
                </c:pt>
              </c:strCache>
            </c:strRef>
          </c:cat>
          <c:val>
            <c:numRef>
              <c:f>Sheet1!$C$2</c:f>
              <c:numCache>
                <c:formatCode>General</c:formatCode>
                <c:ptCount val="1"/>
                <c:pt idx="0">
                  <c:v>364.33</c:v>
                </c:pt>
              </c:numCache>
            </c:numRef>
          </c:val>
        </c:ser>
        <c:dLbls>
          <c:showLegendKey val="0"/>
          <c:showVal val="1"/>
          <c:showCatName val="0"/>
          <c:showSerName val="0"/>
          <c:showPercent val="0"/>
          <c:showBubbleSize val="0"/>
        </c:dLbls>
        <c:gapWidth val="246"/>
        <c:overlap val="-28"/>
        <c:axId val="592334354"/>
        <c:axId val="933471270"/>
      </c:barChart>
      <c:catAx>
        <c:axId val="5923343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3471270"/>
        <c:crosses val="autoZero"/>
        <c:auto val="1"/>
        <c:lblAlgn val="ctr"/>
        <c:lblOffset val="100"/>
        <c:noMultiLvlLbl val="0"/>
      </c:catAx>
      <c:valAx>
        <c:axId val="93347127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23343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d9ac037-5b29-401c-b9e6-831deb5de96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列2</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一般公共预算财政拨款支出（万元）</c:v>
                </c:pt>
                <c:pt idx="1">
                  <c:v>社会保障和就业支出（万元）</c:v>
                </c:pt>
                <c:pt idx="2">
                  <c:v>卫生健康支出（万元）</c:v>
                </c:pt>
                <c:pt idx="3">
                  <c:v>住房保障支出（万元）</c:v>
                </c:pt>
              </c:strCache>
            </c:strRef>
          </c:cat>
          <c:val>
            <c:numRef>
              <c:f>Sheet1!$B$2:$B$5</c:f>
              <c:numCache>
                <c:formatCode>General</c:formatCode>
                <c:ptCount val="4"/>
                <c:pt idx="0">
                  <c:v>292.72</c:v>
                </c:pt>
                <c:pt idx="1">
                  <c:v>29.36</c:v>
                </c:pt>
                <c:pt idx="2">
                  <c:v>18.07</c:v>
                </c:pt>
                <c:pt idx="3">
                  <c:v>24.19</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f2c5779-e025-41bb-838c-62d97259802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 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因公出国（境）费支出决算（万元）</c:v>
                </c:pt>
                <c:pt idx="1">
                  <c:v>公务用车购置及运行维护费支出决算（万元）</c:v>
                </c:pt>
                <c:pt idx="2">
                  <c:v>公务接待费支出决算（万元）</c:v>
                </c:pt>
              </c:strCache>
            </c:strRef>
          </c:cat>
          <c:val>
            <c:numRef>
              <c:f>Sheet1!$B$2:$B$4</c:f>
              <c:numCache>
                <c:formatCode>General</c:formatCode>
                <c:ptCount val="3"/>
                <c:pt idx="0">
                  <c:v>0</c:v>
                </c:pt>
                <c:pt idx="1">
                  <c:v>0</c:v>
                </c:pt>
                <c:pt idx="2">
                  <c:v>1.58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1584838-8fc9-4dc4-b8d8-946518ae9ce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5248</Words>
  <Characters>6172</Characters>
  <Lines>61</Lines>
  <Paragraphs>17</Paragraphs>
  <TotalTime>10</TotalTime>
  <ScaleCrop>false</ScaleCrop>
  <LinksUpToDate>false</LinksUpToDate>
  <CharactersWithSpaces>6196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2020-08-11T09:49:00Z</dcterms:created>
  <dc:creator>曹颖</dc:creator>
  <cp:lastModifiedBy>阳光</cp:lastModifiedBy>
  <cp:lastPrinted>2025-09-17T03:35:24Z</cp:lastPrinted>
  <dcterms:modified xsi:type="dcterms:W3CDTF">2025-09-17T03:39:34Z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05E2A48A9E5F49F086EBB280A9414931</vt:lpwstr>
  </property>
  <property fmtid="{D5CDD505-2E9C-101B-9397-08002B2CF9AE}" pid="4" name="KSOTemplateDocerSaveRecord">
    <vt:lpwstr>eyJoZGlkIjoiY2IyNzMyNGY1YzQyM2ViNWQxNWY3M2RlNWJlNzQ2OWEiLCJ1c2VySWQiOiIzOTg1MTkyNDkifQ==</vt:lpwstr>
  </property>
</Properties>
</file>