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014DA">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78441"/>
      <w:bookmarkStart w:id="1" w:name="_Toc15396475"/>
      <w:bookmarkStart w:id="2" w:name="_Toc15377425"/>
      <w:bookmarkStart w:id="3" w:name="_Toc15396597"/>
      <w:bookmarkStart w:id="4" w:name="_Toc15377193"/>
      <w:bookmarkStart w:id="5" w:name="_Toc15306267"/>
    </w:p>
    <w:p w14:paraId="08E70368">
      <w:pPr>
        <w:pStyle w:val="2"/>
        <w:rPr>
          <w:rFonts w:hint="eastAsia" w:ascii="Times New Roman" w:hAnsi="Times New Roman" w:eastAsia="方正小标宋简体" w:cs="Times New Roman"/>
          <w:color w:val="auto"/>
          <w:kern w:val="2"/>
          <w:sz w:val="72"/>
          <w:szCs w:val="72"/>
          <w:highlight w:val="none"/>
          <w:lang w:val="en-US" w:eastAsia="zh-CN" w:bidi="ar-SA"/>
        </w:rPr>
      </w:pPr>
    </w:p>
    <w:p w14:paraId="212E1A1F">
      <w:pPr>
        <w:pStyle w:val="2"/>
        <w:rPr>
          <w:rFonts w:hint="eastAsia" w:ascii="Times New Roman" w:hAnsi="Times New Roman" w:eastAsia="方正小标宋简体" w:cs="Times New Roman"/>
          <w:color w:val="auto"/>
          <w:kern w:val="2"/>
          <w:sz w:val="72"/>
          <w:szCs w:val="72"/>
          <w:highlight w:val="none"/>
          <w:lang w:val="en-US" w:eastAsia="zh-CN" w:bidi="ar-SA"/>
        </w:rPr>
      </w:pPr>
    </w:p>
    <w:p w14:paraId="0D125156">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市</w:t>
      </w:r>
      <w:r>
        <w:rPr>
          <w:rFonts w:hint="eastAsia" w:ascii="Times New Roman" w:hAnsi="Times New Roman" w:eastAsia="方正小标宋简体" w:cs="Times New Roman"/>
          <w:color w:val="auto"/>
          <w:kern w:val="2"/>
          <w:sz w:val="44"/>
          <w:szCs w:val="44"/>
          <w:highlight w:val="none"/>
          <w:lang w:val="en-US" w:eastAsia="zh-CN" w:bidi="ar-SA"/>
        </w:rPr>
        <w:t>级部门决算</w:t>
      </w:r>
    </w:p>
    <w:p w14:paraId="61DFF6C1">
      <w:pPr>
        <w:pStyle w:val="2"/>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公开文字说明</w:t>
      </w:r>
    </w:p>
    <w:p w14:paraId="74E20A4E">
      <w:pPr>
        <w:spacing w:line="600" w:lineRule="exact"/>
        <w:jc w:val="center"/>
        <w:outlineLvl w:val="0"/>
        <w:rPr>
          <w:rFonts w:ascii="Times New Roman" w:hAnsi="Times New Roman" w:eastAsia="方正小标宋简体"/>
          <w:color w:val="auto"/>
          <w:sz w:val="72"/>
          <w:szCs w:val="72"/>
          <w:highlight w:val="none"/>
        </w:rPr>
      </w:pPr>
    </w:p>
    <w:p w14:paraId="28B6668C">
      <w:pPr>
        <w:pStyle w:val="20"/>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14:paraId="1D5FFA03">
      <w:pPr>
        <w:rPr>
          <w:rFonts w:ascii="Times New Roman" w:hAnsi="Times New Roman"/>
        </w:rPr>
      </w:pPr>
    </w:p>
    <w:p w14:paraId="41173D21">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14:paraId="14ABCE82">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14:paraId="7BDF49D9">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14:paraId="23927C31">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37B08424">
      <w:pPr>
        <w:pStyle w:val="2"/>
        <w:jc w:val="center"/>
        <w:rPr>
          <w:rFonts w:hint="eastAsia" w:ascii="Times New Roman" w:eastAsia="方正小标宋简体" w:cs="Times New Roman"/>
          <w:color w:val="auto"/>
          <w:kern w:val="2"/>
          <w:sz w:val="44"/>
          <w:szCs w:val="44"/>
          <w:highlight w:val="none"/>
          <w:lang w:val="en-US" w:eastAsia="zh-CN" w:bidi="ar-SA"/>
        </w:rPr>
      </w:pPr>
      <w:bookmarkStart w:id="6" w:name="_Toc15377426"/>
      <w:bookmarkStart w:id="7" w:name="_Toc15377194"/>
      <w:bookmarkStart w:id="8" w:name="_Toc15396598"/>
      <w:bookmarkStart w:id="9" w:name="_Toc15396476"/>
      <w:bookmarkStart w:id="10" w:name="_Toc15378442"/>
      <w:r>
        <w:rPr>
          <w:rFonts w:hint="eastAsia" w:ascii="Times New Roman" w:hAnsi="Times New Roman" w:eastAsia="方正小标宋简体" w:cs="Times New Roman"/>
          <w:color w:val="auto"/>
          <w:kern w:val="2"/>
          <w:sz w:val="44"/>
          <w:szCs w:val="44"/>
          <w:highlight w:val="none"/>
          <w:lang w:val="en-US" w:eastAsia="zh-CN" w:bidi="ar-SA"/>
        </w:rPr>
        <w:t>2024年度</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攀枝花市社会建设事务中心</w:t>
      </w:r>
    </w:p>
    <w:p w14:paraId="6E758890">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部门决算</w:t>
      </w:r>
      <w:bookmarkEnd w:id="6"/>
      <w:bookmarkEnd w:id="7"/>
      <w:bookmarkEnd w:id="8"/>
      <w:bookmarkEnd w:id="9"/>
      <w:bookmarkEnd w:id="10"/>
      <w:bookmarkEnd w:id="11"/>
    </w:p>
    <w:p w14:paraId="5EB9796C">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14:paraId="79955CEE">
      <w:pPr>
        <w:widowControl/>
        <w:jc w:val="center"/>
        <w:rPr>
          <w:rFonts w:ascii="Times New Roman" w:hAnsi="Times New Roman" w:eastAsia="黑体" w:cstheme="minorBidi"/>
          <w:color w:val="auto"/>
          <w:sz w:val="28"/>
          <w:szCs w:val="28"/>
          <w:highlight w:val="none"/>
        </w:rPr>
      </w:pPr>
    </w:p>
    <w:p w14:paraId="1B696BB3">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17</w:t>
      </w:r>
      <w:r>
        <w:rPr>
          <w:rFonts w:hint="eastAsia" w:ascii="Times New Roman" w:hAnsi="Times New Roman" w:eastAsia="仿宋_GB2312" w:cs="仿宋_GB2312"/>
          <w:color w:val="auto"/>
          <w:sz w:val="32"/>
          <w:szCs w:val="32"/>
          <w:highlight w:val="none"/>
        </w:rPr>
        <w:t>日</w:t>
      </w:r>
    </w:p>
    <w:p w14:paraId="425E0921">
      <w:pPr>
        <w:jc w:val="both"/>
        <w:rPr>
          <w:rFonts w:ascii="Times New Roman" w:hAnsi="Times New Roman"/>
          <w:color w:val="auto"/>
          <w:highlight w:val="none"/>
        </w:rPr>
      </w:pPr>
    </w:p>
    <w:p w14:paraId="3C06716A">
      <w:pPr>
        <w:pStyle w:val="13"/>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eastAsia"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第一部分 部门概况</w:t>
      </w:r>
      <w:r>
        <w:rPr>
          <w:rFonts w:hint="eastAsia" w:eastAsia="仿宋_GB2312"/>
          <w:sz w:val="21"/>
          <w:szCs w:val="21"/>
          <w:lang w:eastAsia="zh-CN"/>
        </w:rPr>
        <w:t>………………………………………………………………</w:t>
      </w:r>
      <w:r>
        <w:rPr>
          <w:rFonts w:hint="eastAsia" w:ascii="Times New Roman" w:hAnsi="Times New Roman" w:eastAsia="仿宋_GB2312" w:cs="仿宋_GB2312"/>
          <w:color w:val="auto"/>
          <w:sz w:val="32"/>
          <w:szCs w:val="32"/>
          <w:highlight w:val="none"/>
          <w:lang w:val="en-US" w:eastAsia="zh-CN"/>
        </w:rPr>
        <w:t>1</w:t>
      </w:r>
    </w:p>
    <w:p w14:paraId="70BD32B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eastAsia="仿宋_GB2312"/>
          <w:sz w:val="21"/>
          <w:szCs w:val="21"/>
          <w:lang w:eastAsia="zh-CN"/>
        </w:rPr>
        <w:t>…………………………………………………………………</w:t>
      </w:r>
      <w:r>
        <w:rPr>
          <w:rFonts w:hint="eastAsia" w:ascii="Times New Roman" w:hAnsi="Times New Roman" w:eastAsia="仿宋_GB2312" w:cs="仿宋_GB2312"/>
          <w:color w:val="auto"/>
          <w:sz w:val="32"/>
          <w:szCs w:val="32"/>
          <w:highlight w:val="none"/>
          <w:lang w:val="en-US" w:eastAsia="zh-CN"/>
        </w:rPr>
        <w:t>1</w:t>
      </w:r>
    </w:p>
    <w:p w14:paraId="6DFAAD7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r>
        <w:rPr>
          <w:rFonts w:hint="eastAsia" w:eastAsia="仿宋_GB2312"/>
          <w:sz w:val="21"/>
          <w:szCs w:val="21"/>
          <w:lang w:eastAsia="zh-CN"/>
        </w:rPr>
        <w:t>…………………………………………………………………</w:t>
      </w:r>
      <w:r>
        <w:rPr>
          <w:rFonts w:hint="eastAsia" w:ascii="Times New Roman" w:hAnsi="Times New Roman" w:eastAsia="仿宋_GB2312" w:cs="仿宋_GB2312"/>
          <w:color w:val="auto"/>
          <w:sz w:val="32"/>
          <w:szCs w:val="32"/>
          <w:highlight w:val="none"/>
          <w:lang w:val="en-US" w:eastAsia="zh-CN"/>
        </w:rPr>
        <w:t>1</w:t>
      </w:r>
    </w:p>
    <w:p w14:paraId="65FD139E">
      <w:pPr>
        <w:pStyle w:val="13"/>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eastAsia"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eastAsia="仿宋_GB2312"/>
          <w:sz w:val="21"/>
          <w:szCs w:val="21"/>
          <w:lang w:eastAsia="zh-CN"/>
        </w:rPr>
        <w:t>……………………………</w:t>
      </w:r>
      <w:r>
        <w:rPr>
          <w:rFonts w:hint="eastAsia" w:ascii="Times New Roman" w:hAnsi="Times New Roman" w:eastAsia="仿宋_GB2312" w:cs="仿宋_GB2312"/>
          <w:color w:val="auto"/>
          <w:kern w:val="2"/>
          <w:sz w:val="32"/>
          <w:szCs w:val="32"/>
          <w:highlight w:val="none"/>
          <w:lang w:val="en-US" w:eastAsia="zh-CN" w:bidi="ar-SA"/>
        </w:rPr>
        <w:t>2</w:t>
      </w:r>
    </w:p>
    <w:p w14:paraId="51668F1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w:t>
      </w:r>
      <w:r>
        <w:rPr>
          <w:rFonts w:hint="default" w:ascii="Times New Roman" w:hAnsi="Times New Roman" w:eastAsia="仿宋_GB2312" w:cs="仿宋_GB2312"/>
          <w:color w:val="auto"/>
          <w:sz w:val="32"/>
          <w:szCs w:val="32"/>
          <w:highlight w:val="none"/>
          <w:lang w:val="en-US" w:eastAsia="zh-CN"/>
        </w:rPr>
        <w:t>决算总体情况说明</w:t>
      </w:r>
      <w:r>
        <w:rPr>
          <w:rFonts w:hint="eastAsia" w:eastAsia="仿宋_GB2312"/>
          <w:sz w:val="21"/>
          <w:szCs w:val="21"/>
          <w:lang w:eastAsia="zh-CN"/>
        </w:rPr>
        <w:t>…………………………………</w:t>
      </w:r>
      <w:r>
        <w:rPr>
          <w:rFonts w:hint="default" w:ascii="Times New Roman" w:hAnsi="Times New Roman" w:eastAsia="方正仿宋_GBK" w:cs="Times New Roman"/>
          <w:color w:val="auto"/>
          <w:sz w:val="32"/>
          <w:szCs w:val="32"/>
          <w:highlight w:val="none"/>
          <w:lang w:val="en-US" w:eastAsia="zh-CN"/>
        </w:rPr>
        <w:t>2</w:t>
      </w:r>
    </w:p>
    <w:p w14:paraId="28BB107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sz w:val="21"/>
          <w:szCs w:val="21"/>
          <w:lang w:eastAsia="zh-CN"/>
        </w:rPr>
        <w:t>…………………………………………………</w:t>
      </w:r>
      <w:r>
        <w:rPr>
          <w:rFonts w:hint="eastAsia" w:ascii="Times New Roman" w:hAnsi="Times New Roman" w:eastAsia="仿宋_GB2312" w:cs="仿宋_GB2312"/>
          <w:color w:val="auto"/>
          <w:kern w:val="2"/>
          <w:sz w:val="32"/>
          <w:szCs w:val="32"/>
          <w:highlight w:val="none"/>
          <w:lang w:val="en-US" w:eastAsia="zh-CN" w:bidi="ar-SA"/>
        </w:rPr>
        <w:t>2</w:t>
      </w:r>
    </w:p>
    <w:p w14:paraId="50BD2C7B">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sz w:val="21"/>
          <w:szCs w:val="21"/>
          <w:lang w:eastAsia="zh-CN"/>
        </w:rPr>
        <w:t>…………………………………………………</w:t>
      </w:r>
      <w:r>
        <w:rPr>
          <w:rFonts w:hint="eastAsia" w:ascii="Times New Roman" w:hAnsi="Times New Roman" w:eastAsia="仿宋_GB2312" w:cs="仿宋_GB2312"/>
          <w:color w:val="auto"/>
          <w:kern w:val="2"/>
          <w:sz w:val="32"/>
          <w:szCs w:val="32"/>
          <w:highlight w:val="none"/>
          <w:lang w:val="en-US" w:eastAsia="zh-CN" w:bidi="ar-SA"/>
        </w:rPr>
        <w:t>3</w:t>
      </w:r>
    </w:p>
    <w:p w14:paraId="0ED2E09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sz w:val="21"/>
          <w:szCs w:val="21"/>
          <w:lang w:eastAsia="zh-CN"/>
        </w:rPr>
        <w:t>…………………</w:t>
      </w:r>
      <w:r>
        <w:rPr>
          <w:rFonts w:hint="eastAsia" w:ascii="Times New Roman" w:hAnsi="Times New Roman" w:eastAsia="仿宋_GB2312" w:cs="仿宋_GB2312"/>
          <w:color w:val="auto"/>
          <w:kern w:val="2"/>
          <w:sz w:val="32"/>
          <w:szCs w:val="32"/>
          <w:highlight w:val="none"/>
          <w:lang w:val="en-US" w:eastAsia="zh-CN" w:bidi="ar-SA"/>
        </w:rPr>
        <w:t>4</w:t>
      </w:r>
    </w:p>
    <w:p w14:paraId="4F1F263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sz w:val="21"/>
          <w:szCs w:val="21"/>
          <w:lang w:eastAsia="zh-CN"/>
        </w:rPr>
        <w:t>…………</w:t>
      </w:r>
      <w:r>
        <w:rPr>
          <w:rFonts w:hint="eastAsia" w:ascii="Times New Roman" w:hAnsi="Times New Roman" w:eastAsia="仿宋_GB2312" w:cs="仿宋_GB2312"/>
          <w:color w:val="auto"/>
          <w:kern w:val="2"/>
          <w:sz w:val="32"/>
          <w:szCs w:val="32"/>
          <w:highlight w:val="none"/>
          <w:lang w:val="en-US" w:eastAsia="zh-CN" w:bidi="ar-SA"/>
        </w:rPr>
        <w:t>4</w:t>
      </w:r>
    </w:p>
    <w:p w14:paraId="689B56B2">
      <w:pPr>
        <w:pStyle w:val="15"/>
        <w:keepNext w:val="0"/>
        <w:keepLines w:val="0"/>
        <w:pageBreakBefore w:val="0"/>
        <w:widowControl w:val="0"/>
        <w:tabs>
          <w:tab w:val="right" w:leader="dot" w:pos="7980"/>
          <w:tab w:val="clear" w:pos="8296"/>
        </w:tabs>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sz w:val="21"/>
          <w:szCs w:val="21"/>
          <w:lang w:eastAsia="zh-CN"/>
        </w:rPr>
        <w:t>……</w:t>
      </w:r>
      <w:r>
        <w:rPr>
          <w:rFonts w:hint="eastAsia" w:ascii="Times New Roman" w:hAnsi="Times New Roman" w:eastAsia="仿宋_GB2312" w:cs="仿宋_GB2312"/>
          <w:color w:val="auto"/>
          <w:kern w:val="2"/>
          <w:sz w:val="32"/>
          <w:szCs w:val="32"/>
          <w:highlight w:val="none"/>
          <w:lang w:val="en-US" w:eastAsia="zh-CN" w:bidi="ar-SA"/>
        </w:rPr>
        <w:t>7</w:t>
      </w:r>
    </w:p>
    <w:p w14:paraId="47DB8252">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sz w:val="21"/>
          <w:szCs w:val="21"/>
          <w:lang w:eastAsia="zh-CN"/>
        </w:rPr>
        <w:t>…………</w:t>
      </w:r>
      <w:r>
        <w:rPr>
          <w:rFonts w:hint="eastAsia" w:ascii="Times New Roman" w:hAnsi="Times New Roman" w:eastAsia="仿宋_GB2312" w:cs="仿宋_GB2312"/>
          <w:color w:val="auto"/>
          <w:kern w:val="2"/>
          <w:sz w:val="32"/>
          <w:szCs w:val="32"/>
          <w:highlight w:val="none"/>
          <w:lang w:val="en-US" w:eastAsia="zh-CN" w:bidi="ar-SA"/>
        </w:rPr>
        <w:t>7</w:t>
      </w:r>
    </w:p>
    <w:p w14:paraId="7BCFC77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sz w:val="21"/>
          <w:szCs w:val="21"/>
          <w:lang w:eastAsia="zh-CN"/>
        </w:rPr>
        <w:t>………………………</w:t>
      </w:r>
      <w:r>
        <w:rPr>
          <w:rFonts w:hint="eastAsia" w:ascii="Times New Roman" w:hAnsi="Times New Roman" w:eastAsia="仿宋_GB2312" w:cs="仿宋_GB2312"/>
          <w:color w:val="auto"/>
          <w:kern w:val="2"/>
          <w:sz w:val="32"/>
          <w:szCs w:val="32"/>
          <w:highlight w:val="none"/>
          <w:lang w:val="en-US" w:eastAsia="zh-CN" w:bidi="ar-SA"/>
        </w:rPr>
        <w:t>9</w:t>
      </w:r>
    </w:p>
    <w:p w14:paraId="3FDAB80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sz w:val="21"/>
          <w:szCs w:val="21"/>
          <w:lang w:eastAsia="zh-CN"/>
        </w:rPr>
        <w:t>…………………</w:t>
      </w:r>
      <w:r>
        <w:rPr>
          <w:rFonts w:hint="eastAsia" w:eastAsia="仿宋_GB2312" w:cs="仿宋_GB2312"/>
          <w:color w:val="auto"/>
          <w:kern w:val="2"/>
          <w:sz w:val="32"/>
          <w:szCs w:val="32"/>
          <w:highlight w:val="none"/>
          <w:lang w:val="en-US" w:eastAsia="zh-CN" w:bidi="ar-SA"/>
        </w:rPr>
        <w:t>9</w:t>
      </w:r>
    </w:p>
    <w:p w14:paraId="28839C6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sz w:val="21"/>
          <w:szCs w:val="21"/>
          <w:lang w:eastAsia="zh-CN"/>
        </w:rPr>
        <w:t>………………………………………</w:t>
      </w:r>
      <w:r>
        <w:rPr>
          <w:rFonts w:hint="eastAsia" w:eastAsia="仿宋_GB2312" w:cs="仿宋_GB2312"/>
          <w:color w:val="auto"/>
          <w:kern w:val="2"/>
          <w:sz w:val="32"/>
          <w:szCs w:val="32"/>
          <w:highlight w:val="none"/>
          <w:lang w:val="en-US" w:eastAsia="zh-CN" w:bidi="ar-SA"/>
        </w:rPr>
        <w:t>9</w:t>
      </w:r>
    </w:p>
    <w:p w14:paraId="0FF01D0A">
      <w:pPr>
        <w:pStyle w:val="13"/>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eastAsia="仿宋_GB2312"/>
          <w:sz w:val="21"/>
          <w:szCs w:val="21"/>
          <w:lang w:eastAsia="zh-CN"/>
        </w:rPr>
        <w:t>………………………………………………………………</w:t>
      </w:r>
      <w:r>
        <w:rPr>
          <w:rFonts w:hint="eastAsia" w:ascii="Times New Roman" w:hAnsi="Times New Roman" w:eastAsia="仿宋_GB2312" w:cs="仿宋_GB2312"/>
          <w:color w:val="auto"/>
          <w:kern w:val="2"/>
          <w:sz w:val="32"/>
          <w:szCs w:val="32"/>
          <w:highlight w:val="none"/>
          <w:lang w:val="en-US" w:eastAsia="zh-CN" w:bidi="ar-SA"/>
        </w:rPr>
        <w:t>11</w:t>
      </w:r>
    </w:p>
    <w:p w14:paraId="493BC465">
      <w:pPr>
        <w:pStyle w:val="13"/>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eastAsia="仿宋_GB2312"/>
          <w:sz w:val="21"/>
          <w:szCs w:val="21"/>
          <w:lang w:eastAsia="zh-CN"/>
        </w:rPr>
        <w:t>………………………………………………………………………</w:t>
      </w:r>
      <w:r>
        <w:rPr>
          <w:rFonts w:hint="eastAsia" w:ascii="Times New Roman" w:hAnsi="Times New Roman" w:eastAsia="仿宋_GB2312" w:cs="仿宋_GB2312"/>
          <w:color w:val="auto"/>
          <w:kern w:val="2"/>
          <w:sz w:val="32"/>
          <w:szCs w:val="32"/>
          <w:highlight w:val="none"/>
          <w:lang w:val="en-US" w:eastAsia="zh-CN" w:bidi="ar-SA"/>
        </w:rPr>
        <w:t>14</w:t>
      </w:r>
      <w:r>
        <w:rPr>
          <w:rFonts w:hint="eastAsia" w:ascii="Times New Roman" w:hAnsi="Times New Roman" w:eastAsia="黑体" w:cs="黑体"/>
          <w:color w:val="auto"/>
          <w:sz w:val="32"/>
          <w:szCs w:val="32"/>
          <w:highlight w:val="none"/>
        </w:rPr>
        <w:t>第五部分 附表</w:t>
      </w:r>
      <w:r>
        <w:rPr>
          <w:rFonts w:hint="eastAsia" w:eastAsia="仿宋_GB2312"/>
          <w:sz w:val="21"/>
          <w:szCs w:val="21"/>
          <w:lang w:eastAsia="zh-CN"/>
        </w:rPr>
        <w:t>………………………………………………………………………</w:t>
      </w:r>
      <w:r>
        <w:rPr>
          <w:rFonts w:hint="eastAsia" w:ascii="Times New Roman" w:hAnsi="Times New Roman" w:eastAsia="仿宋_GB2312" w:cs="仿宋_GB2312"/>
          <w:color w:val="auto"/>
          <w:kern w:val="2"/>
          <w:sz w:val="32"/>
          <w:szCs w:val="32"/>
          <w:highlight w:val="none"/>
          <w:lang w:val="en-US" w:eastAsia="zh-CN" w:bidi="ar-SA"/>
        </w:rPr>
        <w:t>21</w:t>
      </w:r>
      <w:bookmarkStart w:id="64" w:name="_GoBack"/>
      <w:bookmarkEnd w:id="64"/>
    </w:p>
    <w:p w14:paraId="618EBA2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Times New Roman" w:hAnsi="Times New Roman" w:eastAsia="仿宋_GB2312" w:cs="仿宋_GB2312"/>
          <w:b/>
          <w:bCs/>
          <w:color w:val="auto"/>
          <w:sz w:val="32"/>
          <w:szCs w:val="32"/>
          <w:highlight w:val="none"/>
          <w:lang w:eastAsia="zh-CN"/>
        </w:rPr>
      </w:pPr>
    </w:p>
    <w:p w14:paraId="7E117835">
      <w:pPr>
        <w:rPr>
          <w:rFonts w:hint="eastAsia" w:ascii="Times New Roman" w:hAnsi="Times New Roman" w:eastAsia="方正小标宋简体" w:cs="方正小标宋简体"/>
          <w:b w:val="0"/>
          <w:color w:val="auto"/>
          <w:highlight w:val="none"/>
        </w:rPr>
      </w:pPr>
      <w:bookmarkStart w:id="12" w:name="_Toc15377196"/>
      <w:bookmarkStart w:id="13" w:name="_Toc15396599"/>
    </w:p>
    <w:p w14:paraId="57453C12">
      <w:pPr>
        <w:pStyle w:val="3"/>
        <w:bidi w:val="0"/>
        <w:outlineLvl w:val="0"/>
        <w:rPr>
          <w:rFonts w:hint="eastAsia"/>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p>
    <w:p w14:paraId="38E50160">
      <w:pPr>
        <w:pStyle w:val="3"/>
        <w:jc w:val="center"/>
        <w:rPr>
          <w:rStyle w:val="29"/>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9"/>
          <w:rFonts w:hint="eastAsia" w:ascii="Times New Roman" w:hAnsi="Times New Roman" w:eastAsia="方正小标宋简体" w:cs="方正小标宋简体"/>
          <w:b w:val="0"/>
          <w:bCs w:val="0"/>
          <w:color w:val="auto"/>
          <w:highlight w:val="none"/>
        </w:rPr>
        <w:t>部门概况</w:t>
      </w:r>
      <w:bookmarkEnd w:id="12"/>
      <w:bookmarkEnd w:id="13"/>
    </w:p>
    <w:p w14:paraId="2426404B">
      <w:pPr>
        <w:widowControl/>
        <w:jc w:val="left"/>
        <w:rPr>
          <w:rFonts w:ascii="Times New Roman" w:hAnsi="Times New Roman" w:eastAsia="黑体"/>
          <w:color w:val="auto"/>
          <w:sz w:val="32"/>
          <w:szCs w:val="32"/>
          <w:highlight w:val="none"/>
        </w:rPr>
      </w:pPr>
    </w:p>
    <w:p w14:paraId="22E72F5B">
      <w:pPr>
        <w:pStyle w:val="4"/>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14:paraId="37CAC6F6">
      <w:pPr>
        <w:ind w:firstLine="800" w:firstLineChars="25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负责高质量发展建设共同富裕试验区</w:t>
      </w:r>
      <w:r>
        <w:rPr>
          <w:rFonts w:hint="eastAsia" w:ascii="仿宋_GB2312" w:hAnsi="仿宋_GB2312" w:eastAsia="仿宋_GB2312" w:cs="仿宋_GB2312"/>
          <w:color w:val="auto"/>
          <w:sz w:val="32"/>
          <w:szCs w:val="32"/>
          <w:highlight w:val="none"/>
          <w:lang w:val="en-US" w:eastAsia="zh-CN"/>
        </w:rPr>
        <w:t>的日常事务性工作</w:t>
      </w:r>
      <w:r>
        <w:rPr>
          <w:rFonts w:hint="eastAsia" w:ascii="仿宋_GB2312" w:hAnsi="仿宋_GB2312" w:eastAsia="仿宋_GB2312" w:cs="仿宋_GB2312"/>
          <w:color w:val="auto"/>
          <w:sz w:val="32"/>
          <w:szCs w:val="32"/>
          <w:highlight w:val="none"/>
        </w:rPr>
        <w:t>，参与建设共同富裕试验区发展战略、中长期规划和年度计划的组织实施，协助开展相关重点工作、重大项目、重要活动。</w:t>
      </w:r>
      <w:r>
        <w:rPr>
          <w:rFonts w:hint="eastAsia" w:ascii="仿宋_GB2312" w:hAnsi="仿宋_GB2312" w:eastAsia="仿宋_GB2312" w:cs="仿宋_GB2312"/>
          <w:color w:val="auto"/>
          <w:sz w:val="32"/>
          <w:szCs w:val="32"/>
          <w:highlight w:val="none"/>
          <w:lang w:val="en-US" w:eastAsia="zh-CN"/>
        </w:rPr>
        <w:t>负责市民生工作推进相关的政策研究、信息调研、情况分析、数据统计等工作。</w:t>
      </w:r>
    </w:p>
    <w:p w14:paraId="42C7FC40">
      <w:pPr>
        <w:pStyle w:val="4"/>
        <w:rPr>
          <w:rStyle w:val="30"/>
          <w:rFonts w:ascii="Times New Roman" w:hAnsi="Times New Roman"/>
          <w:b w:val="0"/>
          <w:bCs w:val="0"/>
          <w:color w:val="auto"/>
          <w:highlight w:val="none"/>
        </w:rPr>
      </w:pPr>
      <w:bookmarkStart w:id="14" w:name="_Toc15396601"/>
      <w:bookmarkStart w:id="15" w:name="_Toc15377200"/>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14"/>
      <w:bookmarkEnd w:id="15"/>
    </w:p>
    <w:p w14:paraId="04830A0A">
      <w:pPr>
        <w:ind w:firstLine="800" w:firstLineChars="250"/>
        <w:rPr>
          <w:rFonts w:hint="eastAsia"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攀枝花市社会建设事务中心为一级预算管理独立核算单位。为市</w:t>
      </w:r>
      <w:r>
        <w:rPr>
          <w:rFonts w:hint="eastAsia" w:ascii="仿宋_GB2312" w:hAnsi="仿宋_GB2312" w:eastAsia="仿宋_GB2312" w:cs="仿宋_GB2312"/>
          <w:color w:val="auto"/>
          <w:sz w:val="32"/>
          <w:szCs w:val="32"/>
          <w:highlight w:val="none"/>
          <w:lang w:val="en-US" w:eastAsia="zh-CN"/>
        </w:rPr>
        <w:t>委</w:t>
      </w:r>
      <w:r>
        <w:rPr>
          <w:rFonts w:hint="eastAsia" w:ascii="仿宋_GB2312" w:hAnsi="仿宋_GB2312" w:eastAsia="仿宋_GB2312" w:cs="仿宋_GB2312"/>
          <w:color w:val="auto"/>
          <w:sz w:val="32"/>
          <w:szCs w:val="32"/>
          <w:highlight w:val="none"/>
        </w:rPr>
        <w:t>直属公益一类事业单位，由市</w:t>
      </w:r>
      <w:r>
        <w:rPr>
          <w:rFonts w:hint="eastAsia" w:ascii="仿宋_GB2312" w:hAnsi="仿宋_GB2312" w:eastAsia="仿宋_GB2312" w:cs="仿宋_GB2312"/>
          <w:color w:val="auto"/>
          <w:sz w:val="32"/>
          <w:szCs w:val="32"/>
          <w:highlight w:val="none"/>
          <w:lang w:val="en-US" w:eastAsia="zh-CN"/>
        </w:rPr>
        <w:t>委共富办</w:t>
      </w:r>
      <w:r>
        <w:rPr>
          <w:rFonts w:hint="eastAsia" w:ascii="仿宋_GB2312" w:hAnsi="仿宋_GB2312" w:eastAsia="仿宋_GB2312" w:cs="仿宋_GB2312"/>
          <w:color w:val="auto"/>
          <w:sz w:val="32"/>
          <w:szCs w:val="32"/>
          <w:highlight w:val="none"/>
        </w:rPr>
        <w:t>代管。设置内设机构</w:t>
      </w:r>
      <w:r>
        <w:rPr>
          <w:rFonts w:hint="default" w:ascii="Times New Roman" w:hAnsi="Times New Roman" w:eastAsia="仿宋_GB2312" w:cs="Times New Roman"/>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个，具体为：综合科、</w:t>
      </w:r>
      <w:r>
        <w:rPr>
          <w:rFonts w:hint="eastAsia" w:ascii="仿宋_GB2312" w:hAnsi="仿宋_GB2312" w:eastAsia="仿宋_GB2312" w:cs="仿宋_GB2312"/>
          <w:color w:val="auto"/>
          <w:sz w:val="32"/>
          <w:szCs w:val="32"/>
          <w:highlight w:val="none"/>
          <w:lang w:val="en-US" w:eastAsia="zh-CN"/>
        </w:rPr>
        <w:t>共富一科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共富二科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共富三科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共富四科、共富五科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无</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eastAsia="zh-CN"/>
        </w:rPr>
        <w:t>。</w:t>
      </w:r>
    </w:p>
    <w:p w14:paraId="49D5419C">
      <w:pPr>
        <w:ind w:firstLine="800" w:firstLineChars="250"/>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t>纳入攀枝花市社会建设事务中心2024年度部门决算编制范围的二级预算单位无。</w:t>
      </w:r>
      <w:r>
        <w:rPr>
          <w:rFonts w:ascii="Times New Roman" w:hAnsi="Times New Roman" w:eastAsia="仿宋"/>
          <w:color w:val="auto"/>
          <w:sz w:val="32"/>
          <w:szCs w:val="32"/>
          <w:highlight w:val="none"/>
        </w:rPr>
        <w:br w:type="page"/>
      </w:r>
    </w:p>
    <w:p w14:paraId="4B7C829E">
      <w:pPr>
        <w:pStyle w:val="3"/>
        <w:jc w:val="center"/>
        <w:rPr>
          <w:rFonts w:hint="eastAsia" w:ascii="Times New Roman" w:hAnsi="Times New Roman" w:eastAsia="方正小标宋简体" w:cs="方正小标宋简体"/>
          <w:b w:val="0"/>
          <w:color w:val="auto"/>
          <w:highlight w:val="none"/>
        </w:rPr>
      </w:pPr>
      <w:bookmarkStart w:id="16" w:name="_Toc15396602"/>
      <w:bookmarkStart w:id="17"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6"/>
      <w:bookmarkEnd w:id="17"/>
    </w:p>
    <w:p w14:paraId="770ED035">
      <w:pPr>
        <w:rPr>
          <w:rFonts w:ascii="Times New Roman" w:hAnsi="Times New Roman"/>
          <w:color w:val="auto"/>
          <w:highlight w:val="none"/>
        </w:rPr>
      </w:pPr>
    </w:p>
    <w:p w14:paraId="5A59818D">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18" w:name="_Toc15396603"/>
      <w:bookmarkStart w:id="19"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18"/>
      <w:bookmarkEnd w:id="19"/>
    </w:p>
    <w:p w14:paraId="5CCBFEA0">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2024年度收入、支出总计均为364.33万元。与2023年度相比，收入、支出总计各增加52.54万元，增长16.85%。主要变动原因是人员经费及项目支出增加。主要原因为每年</w:t>
      </w:r>
      <w:r>
        <w:rPr>
          <w:rFonts w:hint="eastAsia" w:eastAsia="仿宋_GB2312" w:cs="仿宋_GB2312"/>
          <w:color w:val="auto"/>
          <w:sz w:val="32"/>
          <w:szCs w:val="32"/>
          <w:highlight w:val="none"/>
          <w:lang w:val="en-US" w:eastAsia="zh-CN"/>
        </w:rPr>
        <w:t>事业人员薪级</w:t>
      </w:r>
      <w:r>
        <w:rPr>
          <w:rFonts w:hint="eastAsia" w:ascii="Times New Roman" w:hAnsi="Times New Roman" w:eastAsia="仿宋_GB2312" w:cs="仿宋_GB2312"/>
          <w:color w:val="auto"/>
          <w:sz w:val="32"/>
          <w:szCs w:val="32"/>
          <w:highlight w:val="none"/>
          <w:lang w:eastAsia="zh-CN"/>
        </w:rPr>
        <w:t>工资晋升、社保递增及我单位202</w:t>
      </w:r>
      <w:r>
        <w:rPr>
          <w:rFonts w:hint="eastAsia"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eastAsia="zh-CN"/>
        </w:rPr>
        <w:t>年人员增加</w:t>
      </w:r>
      <w:r>
        <w:rPr>
          <w:rFonts w:hint="eastAsia"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eastAsia="zh-CN"/>
        </w:rPr>
        <w:t>人，相应工资社保等相关费用增加。</w:t>
      </w:r>
    </w:p>
    <w:p w14:paraId="26AB7C67">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黑体"/>
          <w:color w:val="auto"/>
          <w:sz w:val="32"/>
          <w:szCs w:val="32"/>
          <w:highlight w:val="none"/>
          <w:lang w:eastAsia="zh-CN"/>
        </w:rPr>
      </w:pPr>
      <w:bookmarkStart w:id="20" w:name="_Toc15377206"/>
      <w:bookmarkStart w:id="21" w:name="_Toc15396604"/>
      <w:r>
        <w:rPr>
          <w:rFonts w:hint="eastAsia" w:ascii="Times New Roman" w:hAnsi="Times New Roman" w:eastAsia="仿宋_GB2312" w:cs="仿宋_GB2312"/>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444500</wp:posOffset>
            </wp:positionH>
            <wp:positionV relativeFrom="paragraph">
              <wp:posOffset>93980</wp:posOffset>
            </wp:positionV>
            <wp:extent cx="4686300" cy="2928620"/>
            <wp:effectExtent l="4445" t="5080" r="14605" b="19050"/>
            <wp:wrapTopAndBottom/>
            <wp:docPr id="3" name="图表 3" descr="7b0a202020202263686172745265734964223a2022343631303335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eastAsia="仿宋_GB2312" w:cs="仿宋_GB2312"/>
          <w:color w:val="auto"/>
          <w:sz w:val="32"/>
          <w:szCs w:val="32"/>
        </w:rPr>
        <w:t>图1：收入、支出决算总计变动情况图</w:t>
      </w:r>
    </w:p>
    <w:p w14:paraId="3F528217">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二、收入决算情况说明</w:t>
      </w:r>
      <w:bookmarkEnd w:id="20"/>
      <w:bookmarkEnd w:id="21"/>
    </w:p>
    <w:p w14:paraId="0C7756B7">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lang w:eastAsia="zh-CN"/>
        </w:rPr>
        <w:t>年度本年收入合计</w:t>
      </w:r>
      <w:r>
        <w:rPr>
          <w:rFonts w:hint="eastAsia" w:ascii="Times New Roman" w:hAnsi="Times New Roman" w:eastAsia="仿宋_GB2312" w:cs="仿宋_GB2312"/>
          <w:color w:val="auto"/>
          <w:sz w:val="32"/>
          <w:szCs w:val="32"/>
          <w:highlight w:val="none"/>
          <w:lang w:eastAsia="zh-CN"/>
        </w:rPr>
        <w:t>364.33</w:t>
      </w:r>
      <w:r>
        <w:rPr>
          <w:rFonts w:hint="eastAsia" w:ascii="仿宋_GB2312" w:hAnsi="仿宋_GB2312" w:eastAsia="仿宋_GB2312" w:cs="仿宋_GB2312"/>
          <w:sz w:val="32"/>
          <w:szCs w:val="32"/>
        </w:rPr>
        <w:t>万元，其中：一般公共预算财政拨款收入</w:t>
      </w:r>
      <w:r>
        <w:rPr>
          <w:rFonts w:hint="eastAsia" w:ascii="Times New Roman" w:hAnsi="Times New Roman" w:eastAsia="仿宋_GB2312" w:cs="仿宋_GB2312"/>
          <w:color w:val="auto"/>
          <w:sz w:val="32"/>
          <w:szCs w:val="32"/>
          <w:highlight w:val="none"/>
          <w:lang w:eastAsia="zh-CN"/>
        </w:rPr>
        <w:t>364.33</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sz w:val="32"/>
          <w:szCs w:val="32"/>
          <w:highlight w:val="none"/>
          <w:lang w:eastAsia="zh-CN"/>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；上级补助收入</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；事业收</w:t>
      </w:r>
      <w:r>
        <w:rPr>
          <w:rFonts w:hint="eastAsia" w:ascii="Times New Roman" w:hAnsi="Times New Roman" w:eastAsia="仿宋_GB2312" w:cs="仿宋_GB2312"/>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453390</wp:posOffset>
            </wp:positionH>
            <wp:positionV relativeFrom="paragraph">
              <wp:posOffset>506095</wp:posOffset>
            </wp:positionV>
            <wp:extent cx="4650105" cy="3014980"/>
            <wp:effectExtent l="4445" t="4445" r="12700" b="95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hAnsi="仿宋_GB2312" w:eastAsia="仿宋_GB2312" w:cs="仿宋_GB2312"/>
          <w:color w:val="auto"/>
          <w:sz w:val="32"/>
          <w:szCs w:val="32"/>
          <w:highlight w:val="none"/>
          <w:lang w:eastAsia="zh-CN"/>
        </w:rPr>
        <w:t>入</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；其他收入</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w:t>
      </w:r>
    </w:p>
    <w:p w14:paraId="7CF22D1B">
      <w:pPr>
        <w:spacing w:beforeLines="0" w:afterLines="0"/>
        <w:jc w:val="center"/>
        <w:rPr>
          <w:rFonts w:hint="eastAsia" w:ascii="Times New Roman" w:hAnsi="Times New Roman" w:eastAsia="黑体"/>
          <w:color w:val="auto"/>
          <w:sz w:val="32"/>
          <w:szCs w:val="32"/>
          <w:highlight w:val="none"/>
          <w:lang w:eastAsia="zh-CN"/>
        </w:rPr>
      </w:pPr>
      <w:bookmarkStart w:id="22" w:name="_Toc15396605"/>
      <w:bookmarkStart w:id="23" w:name="_Toc15377207"/>
      <w:r>
        <w:rPr>
          <w:rFonts w:hint="eastAsia" w:eastAsia="仿宋_GB2312" w:cs="仿宋_GB2312"/>
          <w:color w:val="auto"/>
          <w:sz w:val="32"/>
          <w:szCs w:val="32"/>
        </w:rPr>
        <w:t>图2：收入决算结构图</w:t>
      </w:r>
    </w:p>
    <w:p w14:paraId="4F27CA6C">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22"/>
      <w:bookmarkEnd w:id="23"/>
    </w:p>
    <w:p w14:paraId="2B1E2CDA">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lang w:eastAsia="zh-CN"/>
        </w:rPr>
        <w:t>年度本年支出合计</w:t>
      </w:r>
      <w:r>
        <w:rPr>
          <w:rFonts w:hint="eastAsia" w:ascii="Times New Roman" w:hAnsi="Times New Roman" w:eastAsia="仿宋_GB2312" w:cs="仿宋_GB2312"/>
          <w:color w:val="auto"/>
          <w:sz w:val="32"/>
          <w:szCs w:val="32"/>
          <w:highlight w:val="none"/>
          <w:lang w:eastAsia="zh-CN"/>
        </w:rPr>
        <w:t>364.33</w:t>
      </w:r>
      <w:r>
        <w:rPr>
          <w:rFonts w:hint="eastAsia" w:ascii="仿宋_GB2312" w:hAnsi="仿宋_GB2312" w:eastAsia="仿宋_GB2312" w:cs="仿宋_GB2312"/>
          <w:color w:val="auto"/>
          <w:sz w:val="32"/>
          <w:szCs w:val="32"/>
          <w:highlight w:val="none"/>
          <w:lang w:eastAsia="zh-CN"/>
        </w:rPr>
        <w:t>万元，其中：基本支出</w:t>
      </w:r>
      <w:r>
        <w:rPr>
          <w:rFonts w:hint="eastAsia" w:ascii="Times New Roman" w:hAnsi="Times New Roman" w:eastAsia="仿宋_GB2312" w:cs="仿宋_GB2312"/>
          <w:color w:val="auto"/>
          <w:sz w:val="32"/>
          <w:szCs w:val="32"/>
          <w:highlight w:val="none"/>
          <w:lang w:eastAsia="zh-CN"/>
        </w:rPr>
        <w:t>290.2</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sz w:val="32"/>
          <w:szCs w:val="32"/>
          <w:highlight w:val="none"/>
          <w:lang w:eastAsia="zh-CN"/>
        </w:rPr>
        <w:t>79.65%</w:t>
      </w:r>
      <w:r>
        <w:rPr>
          <w:rFonts w:hint="eastAsia" w:ascii="仿宋_GB2312" w:hAnsi="仿宋_GB2312" w:eastAsia="仿宋_GB2312" w:cs="仿宋_GB2312"/>
          <w:color w:val="auto"/>
          <w:sz w:val="32"/>
          <w:szCs w:val="32"/>
          <w:highlight w:val="none"/>
          <w:lang w:eastAsia="zh-CN"/>
        </w:rPr>
        <w:t>；项目支出</w:t>
      </w:r>
      <w:r>
        <w:rPr>
          <w:rFonts w:hint="eastAsia" w:ascii="Times New Roman" w:hAnsi="Times New Roman" w:eastAsia="仿宋_GB2312" w:cs="仿宋_GB2312"/>
          <w:color w:val="auto"/>
          <w:sz w:val="32"/>
          <w:szCs w:val="32"/>
          <w:highlight w:val="none"/>
          <w:lang w:eastAsia="zh-CN"/>
        </w:rPr>
        <w:t>74.13</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sz w:val="32"/>
          <w:szCs w:val="32"/>
          <w:highlight w:val="none"/>
          <w:lang w:eastAsia="zh-CN"/>
        </w:rPr>
        <w:t>20.35%</w:t>
      </w:r>
      <w:r>
        <w:rPr>
          <w:rFonts w:hint="eastAsia"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上缴上级支出</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万元。</w:t>
      </w:r>
    </w:p>
    <w:p w14:paraId="65ED4116">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4690745" cy="2785110"/>
            <wp:effectExtent l="4445" t="5080" r="16510" b="1651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FF9BF3">
      <w:pPr>
        <w:jc w:val="center"/>
        <w:rPr>
          <w:rFonts w:hint="eastAsia" w:ascii="Times New Roman" w:hAnsi="Times New Roman" w:eastAsia="黑体"/>
          <w:color w:val="auto"/>
          <w:sz w:val="32"/>
          <w:szCs w:val="32"/>
          <w:highlight w:val="none"/>
        </w:rPr>
      </w:pPr>
      <w:bookmarkStart w:id="24" w:name="_Toc15377208"/>
      <w:bookmarkStart w:id="25" w:name="_Toc15396606"/>
      <w:r>
        <w:rPr>
          <w:rFonts w:hint="eastAsia" w:ascii="Times New Roman" w:hAnsi="Times New Roman" w:eastAsia="仿宋_GB2312" w:cs="仿宋_GB2312"/>
          <w:color w:val="auto"/>
          <w:sz w:val="32"/>
          <w:szCs w:val="32"/>
          <w:highlight w:val="none"/>
          <w:lang w:eastAsia="zh-CN"/>
        </w:rPr>
        <w:t>图3：支出决算结构图</w:t>
      </w:r>
    </w:p>
    <w:p w14:paraId="32E2BEA7">
      <w:pPr>
        <w:spacing w:line="600" w:lineRule="exact"/>
        <w:ind w:firstLine="640" w:firstLineChars="200"/>
        <w:outlineLvl w:val="1"/>
        <w:rPr>
          <w:rStyle w:val="30"/>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24"/>
      <w:bookmarkEnd w:id="25"/>
    </w:p>
    <w:p w14:paraId="7E16A8A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2024年度财政拨款收入、支出总计均为364.33万元。与2023年度相比，财政拨款收入总计、支出总计各增加52.54万元，增长16.85%。</w:t>
      </w:r>
      <w:r>
        <w:rPr>
          <w:rFonts w:hint="eastAsia" w:ascii="Times New Roman" w:hAnsi="Times New Roman" w:eastAsia="仿宋_GB2312" w:cs="仿宋_GB2312"/>
          <w:color w:val="auto"/>
          <w:sz w:val="32"/>
          <w:szCs w:val="32"/>
          <w:highlight w:val="none"/>
          <w:lang w:eastAsia="zh-CN"/>
        </w:rPr>
        <w:t>主要原因为每年</w:t>
      </w:r>
      <w:r>
        <w:rPr>
          <w:rFonts w:hint="eastAsia" w:eastAsia="仿宋_GB2312" w:cs="仿宋_GB2312"/>
          <w:color w:val="auto"/>
          <w:sz w:val="32"/>
          <w:szCs w:val="32"/>
          <w:highlight w:val="none"/>
          <w:lang w:val="en-US" w:eastAsia="zh-CN"/>
        </w:rPr>
        <w:t>事业人员薪级</w:t>
      </w:r>
      <w:r>
        <w:rPr>
          <w:rFonts w:hint="eastAsia" w:ascii="Times New Roman" w:hAnsi="Times New Roman" w:eastAsia="仿宋_GB2312" w:cs="仿宋_GB2312"/>
          <w:color w:val="auto"/>
          <w:sz w:val="32"/>
          <w:szCs w:val="32"/>
          <w:highlight w:val="none"/>
          <w:lang w:eastAsia="zh-CN"/>
        </w:rPr>
        <w:t>工资晋升、社保递增及我单位202</w:t>
      </w:r>
      <w:r>
        <w:rPr>
          <w:rFonts w:hint="eastAsia"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eastAsia="zh-CN"/>
        </w:rPr>
        <w:t>年人员增加</w:t>
      </w:r>
      <w:r>
        <w:rPr>
          <w:rFonts w:hint="eastAsia"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eastAsia="zh-CN"/>
        </w:rPr>
        <w:t>人，相应工资社保等相关费用增加。</w:t>
      </w:r>
    </w:p>
    <w:p w14:paraId="1CF876D7">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anchor distT="0" distB="0" distL="114300" distR="114300" simplePos="0" relativeHeight="251660288" behindDoc="0" locked="0" layoutInCell="1" allowOverlap="1">
            <wp:simplePos x="0" y="0"/>
            <wp:positionH relativeFrom="column">
              <wp:posOffset>315595</wp:posOffset>
            </wp:positionH>
            <wp:positionV relativeFrom="paragraph">
              <wp:posOffset>121285</wp:posOffset>
            </wp:positionV>
            <wp:extent cx="4709160" cy="2849880"/>
            <wp:effectExtent l="4445" t="4445" r="10795" b="1587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14:paraId="747FFE85">
      <w:pPr>
        <w:spacing w:line="600" w:lineRule="exact"/>
        <w:ind w:firstLine="640" w:firstLineChars="200"/>
        <w:outlineLvl w:val="1"/>
        <w:rPr>
          <w:rStyle w:val="30"/>
          <w:rFonts w:ascii="Times New Roman" w:hAnsi="Times New Roman" w:eastAsia="黑体"/>
          <w:b w:val="0"/>
          <w:color w:val="auto"/>
          <w:highlight w:val="none"/>
        </w:rPr>
      </w:pPr>
      <w:bookmarkStart w:id="26" w:name="_Toc15396607"/>
      <w:bookmarkStart w:id="27"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26"/>
      <w:bookmarkEnd w:id="27"/>
    </w:p>
    <w:p w14:paraId="2CF2BDF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8"/>
    </w:p>
    <w:p w14:paraId="106A2C15">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2024年度一般公共预算财政拨款支出364.33万元，占本年支出合计的100%。与2023年度相比，一般公共预算财政拨款支出增加52.54万元，增长16.85%。主要原因为每年事业人员薪级工资晋升、社保递增及我单位2024年人员增加5人，相应工资社保等相关费用增加。</w:t>
      </w:r>
    </w:p>
    <w:p w14:paraId="3B82932A">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anchor distT="0" distB="0" distL="114300" distR="114300" simplePos="0" relativeHeight="251661312" behindDoc="0" locked="0" layoutInCell="1" allowOverlap="1">
            <wp:simplePos x="0" y="0"/>
            <wp:positionH relativeFrom="column">
              <wp:posOffset>138430</wp:posOffset>
            </wp:positionH>
            <wp:positionV relativeFrom="paragraph">
              <wp:posOffset>89535</wp:posOffset>
            </wp:positionV>
            <wp:extent cx="4688840" cy="2677795"/>
            <wp:effectExtent l="4445" t="4445" r="5715" b="1016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14:paraId="14C3A65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9"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9"/>
    </w:p>
    <w:p w14:paraId="4657AC7E">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 年度一般公共预算财政拨款支出364.33万元，主要用于以下方面：一般公共服务支出292.72万元，占80.34%；社会保障和就业支出29.36万元，占8.06%；卫生健康支出18.07万元，占4.96%；住房保障支出24.19 万元，占6.64%</w:t>
      </w:r>
      <w:r>
        <w:rPr>
          <w:rFonts w:hint="eastAsia" w:eastAsia="仿宋_GB2312" w:cs="仿宋_GB2312"/>
          <w:color w:val="auto"/>
          <w:kern w:val="2"/>
          <w:sz w:val="32"/>
          <w:szCs w:val="32"/>
          <w:highlight w:val="none"/>
          <w:lang w:val="en-US" w:eastAsia="zh-CN" w:bidi="ar-SA"/>
        </w:rPr>
        <w:t>，（因收舍原因，明细比决算报表总数多0.01万元）</w:t>
      </w:r>
      <w:r>
        <w:rPr>
          <w:rFonts w:hint="eastAsia" w:ascii="Times New Roman" w:hAnsi="Times New Roman" w:eastAsia="仿宋_GB2312" w:cs="仿宋_GB2312"/>
          <w:color w:val="auto"/>
          <w:kern w:val="2"/>
          <w:sz w:val="32"/>
          <w:szCs w:val="32"/>
          <w:highlight w:val="none"/>
          <w:lang w:val="en-US" w:eastAsia="zh-CN" w:bidi="ar-SA"/>
        </w:rPr>
        <w:t>。</w:t>
      </w:r>
    </w:p>
    <w:p w14:paraId="06E5D0A2">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anchor distT="0" distB="0" distL="114300" distR="114300" simplePos="0" relativeHeight="251662336" behindDoc="0" locked="0" layoutInCell="1" allowOverlap="1">
            <wp:simplePos x="0" y="0"/>
            <wp:positionH relativeFrom="column">
              <wp:posOffset>223520</wp:posOffset>
            </wp:positionH>
            <wp:positionV relativeFrom="paragraph">
              <wp:posOffset>51435</wp:posOffset>
            </wp:positionV>
            <wp:extent cx="4708525" cy="2578100"/>
            <wp:effectExtent l="4445" t="4445" r="11430" b="825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14:paraId="01EE116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0"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0"/>
    </w:p>
    <w:p w14:paraId="50A3785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2024年度一般公共预算财政拨款支出决算数为364.33万元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p>
    <w:p w14:paraId="2C15445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一般公共服务（类）政府办公厅（室）及相关机构事务（款）事业运行（项）：支出决算为218.58万元，主要用于单位日常运转的人员经费和公用经费等。</w:t>
      </w:r>
    </w:p>
    <w:p w14:paraId="77D2486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一般公共服务（类）政府办公厅（室）及相关机构事务（款）其他政府办公厅（室）及相关机构事务支出（项）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支出决算为55.12万元，主要用于开展专项工作的项目支出。</w:t>
      </w:r>
    </w:p>
    <w:p w14:paraId="228F50D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一般公共服务（类）党委办公厅（室）及相关机构事务（款）其他党委办公厅（室）及相关机构事务支出（项）：支出决算为19.01万元，主要用于相关专项工作支出。</w:t>
      </w:r>
    </w:p>
    <w:p w14:paraId="4D91210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社会保障和就业（类）行政事业单位养老支出（款）机关事业单位基本养老保险缴费支出（项）：支出决算为29.36万元，完成预算100%，主要用于单位人员基本养老保险缴费。</w:t>
      </w:r>
    </w:p>
    <w:p w14:paraId="29F022F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卫生健康（类）行政事业单位医疗（款）事业单位医疗（项）：支出决算为16.09万元，主要用于单位人员基本医疗保险缴费。</w:t>
      </w:r>
    </w:p>
    <w:p w14:paraId="486DFD8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卫生健康（类）行政事业单位医疗（款）公务员医疗补助（项）：支出决算为1.98万元，主要用于单位人员公务员医疗补助缴费。</w:t>
      </w:r>
    </w:p>
    <w:p w14:paraId="08AC1399">
      <w:pPr>
        <w:spacing w:line="600" w:lineRule="exact"/>
        <w:ind w:firstLine="640"/>
        <w:rPr>
          <w:rFonts w:hint="eastAsia"/>
          <w:lang w:val="en-US" w:eastAsia="zh-CN"/>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住房保障（类）住房改革支出（款）住房公积金（项）：支出决算为24.19万元，主要用于单位人员住房公积金缴费。</w:t>
      </w:r>
    </w:p>
    <w:p w14:paraId="0B59AEB9">
      <w:pPr>
        <w:tabs>
          <w:tab w:val="right" w:pos="8306"/>
        </w:tabs>
        <w:spacing w:line="600" w:lineRule="exact"/>
        <w:ind w:firstLine="640"/>
        <w:outlineLvl w:val="1"/>
        <w:rPr>
          <w:rStyle w:val="30"/>
          <w:rFonts w:ascii="Times New Roman" w:hAnsi="Times New Roman"/>
          <w:color w:val="auto"/>
          <w:highlight w:val="none"/>
        </w:rPr>
      </w:pPr>
      <w:bookmarkStart w:id="31" w:name="_Toc15396608"/>
      <w:bookmarkStart w:id="32"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31"/>
      <w:bookmarkEnd w:id="32"/>
      <w:r>
        <w:rPr>
          <w:rStyle w:val="30"/>
          <w:rFonts w:ascii="Times New Roman" w:hAnsi="Times New Roman" w:eastAsia="黑体"/>
          <w:b w:val="0"/>
          <w:color w:val="auto"/>
          <w:highlight w:val="none"/>
        </w:rPr>
        <w:tab/>
      </w:r>
    </w:p>
    <w:p w14:paraId="325A536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 年度一般公共预算财政拨款基本支出290.2万元，其中：</w:t>
      </w:r>
    </w:p>
    <w:p w14:paraId="52CE964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人员经费264.86万元，主要包括：基本工资、津贴补贴、绩效工资、机关事业单位基本养老保险缴费、职工基本医疗保险缴费、公务员医疗补助缴费、其他社会保障缴费、住房公积金、医疗费。</w:t>
      </w:r>
    </w:p>
    <w:p w14:paraId="51F043A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公用经费25.34万元，主要包括：办公费、水费、电费、邮电费、物业管理费、差旅费、租赁费、公务接待费、委托业务费、工会经费、福利费、其他交通费用、其他商品和服务支出。</w:t>
      </w:r>
    </w:p>
    <w:p w14:paraId="64733D4E">
      <w:pPr>
        <w:spacing w:line="600" w:lineRule="exact"/>
        <w:ind w:firstLine="640"/>
        <w:outlineLvl w:val="1"/>
        <w:rPr>
          <w:rStyle w:val="30"/>
          <w:rFonts w:ascii="Times New Roman" w:hAnsi="Times New Roman" w:eastAsia="黑体"/>
          <w:b w:val="0"/>
          <w:color w:val="auto"/>
          <w:highlight w:val="none"/>
        </w:rPr>
      </w:pPr>
      <w:bookmarkStart w:id="33" w:name="_Toc15396609"/>
      <w:bookmarkStart w:id="34" w:name="_Toc15377215"/>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33"/>
      <w:bookmarkEnd w:id="34"/>
    </w:p>
    <w:p w14:paraId="7679597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5"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5"/>
    </w:p>
    <w:p w14:paraId="2FADDFD3">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 年度“三公”经费财政拨款支出决算为1.58万元，完成预算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%，较上年度增加0.61万元，增长62.89%。较上年度增长的主要原因是</w:t>
      </w:r>
      <w:r>
        <w:rPr>
          <w:rFonts w:hint="eastAsia" w:eastAsia="仿宋_GB2312" w:cs="仿宋_GB2312"/>
          <w:color w:val="auto"/>
          <w:kern w:val="2"/>
          <w:sz w:val="32"/>
          <w:szCs w:val="32"/>
          <w:highlight w:val="none"/>
          <w:lang w:val="en-US" w:eastAsia="zh-CN" w:bidi="ar-SA"/>
        </w:rPr>
        <w:t>单位职能职责变化导致</w:t>
      </w:r>
      <w:r>
        <w:rPr>
          <w:rFonts w:hint="eastAsia" w:ascii="Times New Roman" w:hAnsi="Times New Roman" w:eastAsia="仿宋_GB2312" w:cs="仿宋_GB2312"/>
          <w:color w:val="auto"/>
          <w:kern w:val="2"/>
          <w:sz w:val="32"/>
          <w:szCs w:val="32"/>
          <w:highlight w:val="none"/>
          <w:lang w:val="en-US" w:eastAsia="zh-CN" w:bidi="ar-SA"/>
        </w:rPr>
        <w:t>本年度公务接待次数和人数略有增加。决算数与预算数持平。</w:t>
      </w:r>
    </w:p>
    <w:p w14:paraId="2D0EDAB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6"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6"/>
    </w:p>
    <w:p w14:paraId="29E39A0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2024年度“三公”经费财政拨款支出决算中，因公出国（境）费支出决算0万元，占0%；公务用车购置及运行维护费支出决算0万元，占0%；公务接待费支出决算1.58万元，占100%。具体情况如下：</w:t>
      </w:r>
    </w:p>
    <w:p w14:paraId="01F7C1B4">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anchor distT="0" distB="0" distL="114300" distR="114300" simplePos="0" relativeHeight="251665408" behindDoc="0" locked="0" layoutInCell="1" allowOverlap="1">
            <wp:simplePos x="0" y="0"/>
            <wp:positionH relativeFrom="column">
              <wp:posOffset>53340</wp:posOffset>
            </wp:positionH>
            <wp:positionV relativeFrom="paragraph">
              <wp:posOffset>161925</wp:posOffset>
            </wp:positionV>
            <wp:extent cx="4874895" cy="2964815"/>
            <wp:effectExtent l="4445" t="4445" r="16510" b="2159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14:paraId="2733BE5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val="0"/>
          <w:bCs w:val="0"/>
          <w:color w:val="auto"/>
          <w:kern w:val="2"/>
          <w:sz w:val="32"/>
          <w:szCs w:val="32"/>
          <w:highlight w:val="none"/>
          <w:lang w:val="en-US" w:eastAsia="zh-CN" w:bidi="ar-SA"/>
        </w:rPr>
        <w:t>1.因公出国（境）经费支出</w:t>
      </w:r>
      <w:r>
        <w:rPr>
          <w:rFonts w:hint="eastAsia" w:eastAsia="仿宋_GB2312" w:cs="仿宋_GB2312"/>
          <w:b w:val="0"/>
          <w:bCs w:val="0"/>
          <w:color w:val="auto"/>
          <w:kern w:val="2"/>
          <w:sz w:val="32"/>
          <w:szCs w:val="32"/>
          <w:highlight w:val="none"/>
          <w:lang w:val="en-US" w:eastAsia="zh-CN" w:bidi="ar-SA"/>
        </w:rPr>
        <w:t>0</w:t>
      </w:r>
      <w:r>
        <w:rPr>
          <w:rFonts w:hint="eastAsia" w:ascii="Times New Roman" w:hAnsi="Times New Roman" w:eastAsia="仿宋_GB2312" w:cs="仿宋_GB2312"/>
          <w:b w:val="0"/>
          <w:bCs w:val="0"/>
          <w:color w:val="auto"/>
          <w:kern w:val="2"/>
          <w:sz w:val="32"/>
          <w:szCs w:val="32"/>
          <w:highlight w:val="none"/>
          <w:lang w:val="en-US" w:eastAsia="zh-CN" w:bidi="ar-SA"/>
        </w:rPr>
        <w:t>万元，完成预算</w:t>
      </w:r>
      <w:r>
        <w:rPr>
          <w:rFonts w:hint="eastAsia" w:eastAsia="仿宋_GB2312" w:cs="仿宋_GB2312"/>
          <w:b w:val="0"/>
          <w:bCs w:val="0"/>
          <w:color w:val="auto"/>
          <w:kern w:val="2"/>
          <w:sz w:val="32"/>
          <w:szCs w:val="32"/>
          <w:highlight w:val="none"/>
          <w:lang w:val="en-US" w:eastAsia="zh-CN" w:bidi="ar-SA"/>
        </w:rPr>
        <w:t>0</w:t>
      </w:r>
      <w:r>
        <w:rPr>
          <w:rFonts w:hint="eastAsia" w:ascii="Times New Roman" w:hAnsi="Times New Roman" w:eastAsia="仿宋_GB2312" w:cs="仿宋_GB2312"/>
          <w:b w:val="0"/>
          <w:bCs w:val="0"/>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全年安排因公出国（境）团组0次，出国（境）0人。因公出国（境）支出决算与2023年持平。我单位2023年度未发生因公出国支出。</w:t>
      </w:r>
    </w:p>
    <w:p w14:paraId="268674F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2.公务用车购置及运行维护费支出0万元，完成预算0%。公务用车购置及运行维护费支出决算与2023年度持平。我单位未发生公车用车购置及运行维护费。</w:t>
      </w:r>
    </w:p>
    <w:p w14:paraId="16C1E91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出0万元。全年按规定更新购置公务用车0辆，其中：轿车0辆、金额0万元，越野车0辆、金额0万元，载客汽车0辆、金额0万元，我单位2024年未购置公务用车。截至2024年12月31日，单位共有公务用车0辆，其中：轿车0辆、越野车0辆、载客汽车0辆。</w:t>
      </w:r>
    </w:p>
    <w:p w14:paraId="3EDE06A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Times New Roman" w:hAnsi="Times New Roman" w:eastAsia="仿宋_GB2312" w:cs="仿宋_GB2312"/>
          <w:color w:val="auto"/>
          <w:kern w:val="2"/>
          <w:sz w:val="32"/>
          <w:szCs w:val="32"/>
          <w:highlight w:val="none"/>
          <w:lang w:val="en-US" w:eastAsia="zh-CN" w:bidi="ar-SA"/>
        </w:rPr>
        <w:t>0万元。</w:t>
      </w:r>
    </w:p>
    <w:p w14:paraId="224B3CE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3.公务接待费支出1.58万元，完成预算100%。公务接待费支出决算比2023年度增加0.61万元，增长62.89%。主要原因是各单位来攀调研共同富裕试验区建设事宜次数较2023年增加。其中：</w:t>
      </w:r>
    </w:p>
    <w:p w14:paraId="30BE7C4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国内公务接待支出1.58万元，主要用于执行公务、开展业务活动开支的用餐费用等。国内公务接待10批次，68人次（不包括陪同人员），共计支出1.58万元。具体内容包括：调研康养事宜、共富试验区建设事宜、共同富裕课题调研数据事宜、考察共富试验区康养产业银发产业项目事宜、考察交流“攀枝花共同富裕指数监测评估大数据平台”事宜等</w:t>
      </w:r>
      <w:r>
        <w:rPr>
          <w:rFonts w:hint="eastAsia" w:ascii="Times New Roman" w:hAnsi="Times New Roman" w:eastAsia="仿宋_GB2312" w:cs="仿宋_GB2312"/>
          <w:color w:val="auto"/>
          <w:kern w:val="2"/>
          <w:sz w:val="32"/>
          <w:szCs w:val="32"/>
          <w:highlight w:val="none"/>
          <w:lang w:val="en-US" w:eastAsia="zh-CN" w:bidi="ar-SA"/>
        </w:rPr>
        <w:t>。</w:t>
      </w:r>
    </w:p>
    <w:p w14:paraId="37E9320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外事接待支出0万元。外事接待0批次，0人次（不包括陪同人员），共计支出0万元。</w:t>
      </w:r>
      <w:bookmarkStart w:id="37" w:name="_Toc15396610"/>
      <w:bookmarkStart w:id="38" w:name="_Toc15377218"/>
    </w:p>
    <w:p w14:paraId="006E4C79">
      <w:pPr>
        <w:spacing w:line="600" w:lineRule="exact"/>
        <w:ind w:firstLine="640"/>
        <w:outlineLvl w:val="1"/>
        <w:rPr>
          <w:rStyle w:val="30"/>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37"/>
      <w:bookmarkEnd w:id="38"/>
    </w:p>
    <w:p w14:paraId="6C17D894">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2024年度政府性基金预算财政拨款支出0万元，占本年支出合计的0%。与2023年度相比，支出数与上年持平。</w:t>
      </w:r>
    </w:p>
    <w:p w14:paraId="6058D4EB">
      <w:pPr>
        <w:numPr>
          <w:ilvl w:val="0"/>
          <w:numId w:val="0"/>
        </w:numPr>
        <w:spacing w:line="600" w:lineRule="exact"/>
        <w:ind w:left="630" w:leftChars="0"/>
        <w:outlineLvl w:val="1"/>
        <w:rPr>
          <w:rStyle w:val="30"/>
          <w:rFonts w:ascii="Times New Roman" w:hAnsi="Times New Roman" w:eastAsia="黑体"/>
          <w:b w:val="0"/>
          <w:color w:val="auto"/>
          <w:highlight w:val="none"/>
        </w:rPr>
      </w:pPr>
      <w:bookmarkStart w:id="39" w:name="_Toc15377219"/>
      <w:bookmarkStart w:id="40" w:name="_Toc15396611"/>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39"/>
      <w:bookmarkEnd w:id="40"/>
    </w:p>
    <w:p w14:paraId="05956ADE">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2024年度国有资本经营预算财政拨款支出0万元，占本年支出合计的0%。与2023年度相比，支出数与上年持平。</w:t>
      </w:r>
    </w:p>
    <w:p w14:paraId="1DA54FCA">
      <w:pPr>
        <w:numPr>
          <w:ilvl w:val="0"/>
          <w:numId w:val="0"/>
        </w:numPr>
        <w:spacing w:line="600" w:lineRule="exact"/>
        <w:ind w:left="630" w:leftChars="0"/>
        <w:outlineLvl w:val="1"/>
        <w:rPr>
          <w:rStyle w:val="30"/>
          <w:rFonts w:hint="eastAsia" w:ascii="Times New Roman" w:hAnsi="Times New Roman" w:eastAsia="黑体"/>
          <w:b w:val="0"/>
          <w:color w:val="auto"/>
          <w:highlight w:val="none"/>
        </w:rPr>
      </w:pPr>
      <w:bookmarkStart w:id="41" w:name="_Toc15377221"/>
      <w:bookmarkStart w:id="42" w:name="_Toc15396612"/>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41"/>
      <w:bookmarkEnd w:id="42"/>
    </w:p>
    <w:p w14:paraId="5B04F8A2">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3" w:name="_Toc15377222"/>
      <w:r>
        <w:rPr>
          <w:rFonts w:hint="eastAsia" w:ascii="Times New Roman" w:hAnsi="Times New Roman" w:eastAsia="楷体_GB2312" w:cs="楷体_GB2312"/>
          <w:b/>
          <w:color w:val="auto"/>
          <w:sz w:val="32"/>
          <w:szCs w:val="32"/>
          <w:highlight w:val="none"/>
        </w:rPr>
        <w:t>（一）机关运行经费支出情况</w:t>
      </w:r>
      <w:bookmarkEnd w:id="43"/>
    </w:p>
    <w:p w14:paraId="5DB659E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2024年度，攀枝花市社会建设事务中心机关运行经费支出25.34万元，比2023年度增加1.57万元，增长6.6%。主要原因为我单位2024年人员增加、相应公用经费支出增加。</w:t>
      </w:r>
    </w:p>
    <w:p w14:paraId="0C8BDC8D">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4" w:name="_Toc15377223"/>
      <w:r>
        <w:rPr>
          <w:rFonts w:hint="eastAsia" w:ascii="Times New Roman" w:hAnsi="Times New Roman" w:eastAsia="楷体_GB2312" w:cs="楷体_GB2312"/>
          <w:b/>
          <w:color w:val="auto"/>
          <w:sz w:val="32"/>
          <w:szCs w:val="32"/>
          <w:highlight w:val="none"/>
        </w:rPr>
        <w:t>（二）政府采购支出情况</w:t>
      </w:r>
      <w:bookmarkEnd w:id="44"/>
    </w:p>
    <w:p w14:paraId="2B1F3611">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攀枝花市社会建设事务中心政府采购支出总额276.56万元，其中：政府采购货物支出50.56万元、政府采购工程支出0万元、政府采购服务支出226万元。主要用于开展攀枝花共同富裕发展研究院文化打造采购项目、办公场所打造所需的货物和服务采购。授予中小企业合同金额232.6万元，占政府采购支出总额的84.10%，其中：授予小微企业合同金额43.96万元，占政府采购支出总额的15.90%。</w:t>
      </w:r>
    </w:p>
    <w:p w14:paraId="4ACEDCB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5" w:name="_Toc15377224"/>
      <w:r>
        <w:rPr>
          <w:rFonts w:hint="eastAsia" w:ascii="Times New Roman" w:hAnsi="Times New Roman" w:eastAsia="楷体_GB2312" w:cs="楷体_GB2312"/>
          <w:b/>
          <w:color w:val="auto"/>
          <w:sz w:val="32"/>
          <w:szCs w:val="32"/>
          <w:highlight w:val="none"/>
        </w:rPr>
        <w:t>（三）国有资产占有使用情况</w:t>
      </w:r>
      <w:bookmarkEnd w:id="45"/>
    </w:p>
    <w:p w14:paraId="773E10F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截至202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年12月31日，攀枝花市社会建设事务中心共有车辆0辆，其中：主要领导干部用车0辆、机要通信用车0辆、应急保障用车0辆、其他用车0辆，其他用车主要是用于。单价100万元以上设备（不含车辆）0台（套）。</w:t>
      </w:r>
    </w:p>
    <w:p w14:paraId="6C309472">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6F12887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本部门</w:t>
      </w:r>
      <w:r>
        <w:rPr>
          <w:rFonts w:hint="eastAsia" w:ascii="Times New Roman" w:hAnsi="Times New Roman" w:eastAsia="仿宋_GB2312" w:cs="仿宋_GB2312"/>
          <w:color w:val="auto"/>
          <w:kern w:val="2"/>
          <w:sz w:val="32"/>
          <w:szCs w:val="32"/>
          <w:highlight w:val="none"/>
          <w:lang w:val="en-US" w:eastAsia="zh-CN" w:bidi="ar-SA"/>
        </w:rPr>
        <w:t>在2024年度预算编制阶段，组织对攀枝花高质量发展建设共同富裕试验区工作运行经费</w:t>
      </w:r>
      <w:r>
        <w:rPr>
          <w:rFonts w:hint="eastAsia" w:eastAsia="仿宋_GB2312" w:cs="仿宋_GB2312"/>
          <w:color w:val="auto"/>
          <w:kern w:val="2"/>
          <w:sz w:val="32"/>
          <w:szCs w:val="32"/>
          <w:highlight w:val="none"/>
          <w:lang w:val="en-US" w:eastAsia="zh-CN" w:bidi="ar-SA"/>
        </w:rPr>
        <w:t>、攀枝花市在线督查系统运行维护费、攀枝花市在线督查系统运行维护费</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4753F37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54ED51B">
      <w:pPr>
        <w:pStyle w:val="14"/>
        <w:rPr>
          <w:rFonts w:hint="eastAsia" w:ascii="Times New Roman" w:hAnsi="Times New Roman" w:eastAsia="仿宋_GB2312" w:cs="仿宋_GB2312"/>
          <w:color w:val="auto"/>
          <w:kern w:val="2"/>
          <w:sz w:val="32"/>
          <w:szCs w:val="32"/>
          <w:highlight w:val="none"/>
          <w:lang w:val="en-US" w:eastAsia="zh-CN" w:bidi="ar-SA"/>
        </w:rPr>
      </w:pPr>
    </w:p>
    <w:p w14:paraId="4BC0C3DE">
      <w:pPr>
        <w:pStyle w:val="8"/>
        <w:ind w:left="0" w:leftChars="0" w:firstLine="0" w:firstLineChars="0"/>
        <w:rPr>
          <w:rFonts w:hint="eastAsia" w:ascii="Times New Roman" w:hAnsi="Times New Roman" w:eastAsia="仿宋_GB2312" w:cs="仿宋_GB2312"/>
          <w:color w:val="auto"/>
          <w:kern w:val="2"/>
          <w:sz w:val="32"/>
          <w:szCs w:val="32"/>
          <w:highlight w:val="none"/>
          <w:lang w:val="en-US" w:eastAsia="zh-CN" w:bidi="ar-SA"/>
        </w:rPr>
      </w:pPr>
    </w:p>
    <w:p w14:paraId="1D6D48CE">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6" w:name="_Toc15377225"/>
      <w:bookmarkStart w:id="47"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6"/>
      <w:bookmarkEnd w:id="47"/>
    </w:p>
    <w:p w14:paraId="3F89B0ED">
      <w:pPr>
        <w:spacing w:line="600" w:lineRule="exact"/>
        <w:jc w:val="left"/>
        <w:rPr>
          <w:rFonts w:ascii="Times New Roman" w:hAnsi="Times New Roman"/>
          <w:b/>
          <w:color w:val="auto"/>
          <w:sz w:val="44"/>
          <w:szCs w:val="44"/>
          <w:highlight w:val="none"/>
        </w:rPr>
      </w:pPr>
    </w:p>
    <w:p w14:paraId="7BB68BB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财政拨款收入：指单位从同级财政部门取得的财政预算资金。</w:t>
      </w:r>
    </w:p>
    <w:p w14:paraId="3541B2FE">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2.事业收入：指事业单位开展专业业务活动及辅助活动取得的收入。</w:t>
      </w:r>
    </w:p>
    <w:p w14:paraId="09847A93">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p>
    <w:p w14:paraId="5E2A3DEE">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 xml:space="preserve">4.其他收入：指单位取得的除上述收入以外的各项收入。 </w:t>
      </w:r>
    </w:p>
    <w:p w14:paraId="38DC3BC2">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14:paraId="36A84132">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14:paraId="491C0ABA">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14:paraId="4C74C081">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8.年末结转和结余：指单位按有关规定结转到下年或以后年度继续使用的资金。</w:t>
      </w:r>
    </w:p>
    <w:p w14:paraId="5325F08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一般公共服务（类）政府办公厅（室）及相关机构事务（款）事业运行（项）：指事业单位的基本支出。</w:t>
      </w:r>
    </w:p>
    <w:p w14:paraId="7976034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一般公共服务（类）政府办公厅（室）及相关机构事务（款）其他政府办公厅（室）及相关机构事务支出（项）：指除上述项目以外的其他政府办公厅（室）及相关机构事务支出。</w:t>
      </w:r>
    </w:p>
    <w:p w14:paraId="2A383E9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一般公共服务（类）党委办公厅（室）及相关机构事务（款）其他党委办公厅（室）及相关机构事务支出（项）：指除上述项目以外的其他党委办公厅（室）及相关机构事务支出。</w:t>
      </w:r>
    </w:p>
    <w:p w14:paraId="1A1EC58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社会保障和就业（类）行政事业单位养老支出（款）机关事业单位基本养老保险缴费支出（项）：指反映机关事业单位实施养老保险制度由单位缴纳的基本养老保险费支出。</w:t>
      </w:r>
    </w:p>
    <w:p w14:paraId="169249D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卫生健康（类）行政事业单位医疗（款）事业单位医疗（项）：指反映财政部门安排的事业单位基本医疗保险缴费经费，未参加医疗保险的事业单位的公费医疗经费，按国家规定享受离休人员待遇的医疗经费。</w:t>
      </w:r>
    </w:p>
    <w:p w14:paraId="5A959EB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卫生健康（类）行政事业单位医疗（款）公务员医疗补助（项）：指反映财政部门安排的公务员医疗补助经费。</w:t>
      </w:r>
    </w:p>
    <w:p w14:paraId="7A745D5B">
      <w:pPr>
        <w:spacing w:line="600" w:lineRule="exact"/>
        <w:ind w:firstLine="640"/>
        <w:rPr>
          <w:rFonts w:hint="eastAsia"/>
          <w:lang w:val="en-US" w:eastAsia="zh-CN"/>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住房保障（类）住房改革支出（款）住房公积金（项）：指反映行政事业单位按人力资源和社会保障部、财政部规定的基本工资和津贴补贴以及规定比例为职工缴纳的住房公积金。</w:t>
      </w:r>
    </w:p>
    <w:p w14:paraId="75F7E23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1631348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17</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02109D9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18</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14:paraId="5EA90B1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19</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CF5F77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0BC9C4C">
      <w:pPr>
        <w:spacing w:line="600" w:lineRule="exact"/>
        <w:jc w:val="center"/>
        <w:rPr>
          <w:rStyle w:val="29"/>
          <w:rFonts w:hint="eastAsia" w:ascii="Times New Roman" w:hAnsi="Times New Roman" w:eastAsia="黑体"/>
          <w:b w:val="0"/>
          <w:color w:val="auto"/>
          <w:highlight w:val="none"/>
          <w:lang w:eastAsia="zh-CN"/>
        </w:rPr>
      </w:pPr>
      <w:bookmarkStart w:id="48"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49"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49"/>
    </w:p>
    <w:p w14:paraId="14605501">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001E1B1F">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14:paraId="364A4238">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14:paraId="1EC67A42">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14:paraId="03CDDC9C">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（报告范围包括机关和下属单位）</w:t>
      </w:r>
    </w:p>
    <w:p w14:paraId="7655B2F3">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0B00436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p>
    <w:p w14:paraId="41EBD379">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仿宋" w:cs="Times New Roman"/>
          <w:szCs w:val="32"/>
          <w:lang w:eastAsia="zh-CN"/>
        </w:rPr>
      </w:pPr>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r>
        <w:rPr>
          <w:rFonts w:hint="eastAsia" w:ascii="仿宋_GB2312" w:hAnsi="仿宋_GB2312" w:eastAsia="仿宋_GB2312" w:cs="仿宋_GB2312"/>
          <w:color w:val="auto"/>
          <w:sz w:val="32"/>
          <w:szCs w:val="32"/>
          <w:highlight w:val="none"/>
        </w:rPr>
        <w:t>攀枝花市社会建设事务中心为一级预算管理独立核算单位。为市</w:t>
      </w:r>
      <w:r>
        <w:rPr>
          <w:rFonts w:hint="eastAsia" w:ascii="仿宋_GB2312" w:hAnsi="仿宋_GB2312" w:eastAsia="仿宋_GB2312" w:cs="仿宋_GB2312"/>
          <w:color w:val="auto"/>
          <w:sz w:val="32"/>
          <w:szCs w:val="32"/>
          <w:highlight w:val="none"/>
          <w:lang w:val="en-US" w:eastAsia="zh-CN"/>
        </w:rPr>
        <w:t>委</w:t>
      </w:r>
      <w:r>
        <w:rPr>
          <w:rFonts w:hint="eastAsia" w:ascii="仿宋_GB2312" w:hAnsi="仿宋_GB2312" w:eastAsia="仿宋_GB2312" w:cs="仿宋_GB2312"/>
          <w:color w:val="auto"/>
          <w:sz w:val="32"/>
          <w:szCs w:val="32"/>
          <w:highlight w:val="none"/>
        </w:rPr>
        <w:t>直属公益一类事业单位，由市</w:t>
      </w:r>
      <w:r>
        <w:rPr>
          <w:rFonts w:hint="eastAsia" w:ascii="仿宋_GB2312" w:hAnsi="仿宋_GB2312" w:eastAsia="仿宋_GB2312" w:cs="仿宋_GB2312"/>
          <w:color w:val="auto"/>
          <w:sz w:val="32"/>
          <w:szCs w:val="32"/>
          <w:highlight w:val="none"/>
          <w:lang w:val="en-US" w:eastAsia="zh-CN"/>
        </w:rPr>
        <w:t>委共富办</w:t>
      </w:r>
      <w:r>
        <w:rPr>
          <w:rFonts w:hint="eastAsia" w:ascii="仿宋_GB2312" w:hAnsi="仿宋_GB2312" w:eastAsia="仿宋_GB2312" w:cs="仿宋_GB2312"/>
          <w:color w:val="auto"/>
          <w:sz w:val="32"/>
          <w:szCs w:val="32"/>
          <w:highlight w:val="none"/>
        </w:rPr>
        <w:t>代管。设置内设机构</w:t>
      </w:r>
      <w:r>
        <w:rPr>
          <w:rFonts w:hint="default" w:ascii="Times New Roman" w:hAnsi="Times New Roman" w:eastAsia="仿宋_GB2312" w:cs="Times New Roman"/>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个，具体为：综合科、</w:t>
      </w:r>
      <w:r>
        <w:rPr>
          <w:rFonts w:hint="eastAsia" w:ascii="仿宋_GB2312" w:hAnsi="仿宋_GB2312" w:eastAsia="仿宋_GB2312" w:cs="仿宋_GB2312"/>
          <w:color w:val="auto"/>
          <w:sz w:val="32"/>
          <w:szCs w:val="32"/>
          <w:highlight w:val="none"/>
          <w:lang w:val="en-US" w:eastAsia="zh-CN"/>
        </w:rPr>
        <w:t>共富一科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共富二科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共富三科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共富四科、共富五科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无</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eastAsia="zh-CN"/>
        </w:rPr>
        <w:t>。</w:t>
      </w:r>
      <w:r>
        <w:rPr>
          <w:rFonts w:ascii="Times New Roman" w:hAnsi="Times New Roman" w:eastAsia="仿宋"/>
          <w:color w:val="auto"/>
          <w:sz w:val="32"/>
          <w:szCs w:val="32"/>
          <w:highlight w:val="none"/>
        </w:rPr>
        <w:t>纳入攀枝花市社会建设事务中心2024年度部门决算编制范围的二级预算单位无</w:t>
      </w:r>
      <w:r>
        <w:rPr>
          <w:rFonts w:hint="eastAsia" w:ascii="Times New Roman" w:hAnsi="Times New Roman" w:eastAsia="仿宋"/>
          <w:color w:val="auto"/>
          <w:sz w:val="32"/>
          <w:szCs w:val="32"/>
          <w:highlight w:val="none"/>
          <w:lang w:eastAsia="zh-CN"/>
        </w:rPr>
        <w:t>。</w:t>
      </w:r>
    </w:p>
    <w:p w14:paraId="2823464D">
      <w:pPr>
        <w:ind w:firstLine="643" w:firstLineChars="200"/>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楷体_GB2312"/>
          <w:b/>
          <w:color w:val="auto"/>
          <w:sz w:val="32"/>
          <w:szCs w:val="32"/>
          <w:highlight w:val="none"/>
          <w:lang w:val="zh-CN"/>
        </w:rPr>
        <w:t>（二）机构职能</w:t>
      </w:r>
      <w:r>
        <w:rPr>
          <w:rFonts w:hint="eastAsia" w:eastAsia="楷体_GB2312" w:cs="楷体_GB2312"/>
          <w:b/>
          <w:color w:val="auto"/>
          <w:sz w:val="32"/>
          <w:szCs w:val="32"/>
          <w:highlight w:val="none"/>
          <w:lang w:val="zh-CN"/>
        </w:rPr>
        <w:t>。</w:t>
      </w:r>
      <w:r>
        <w:rPr>
          <w:rFonts w:hint="eastAsia" w:ascii="仿宋_GB2312" w:hAnsi="仿宋_GB2312" w:eastAsia="仿宋_GB2312" w:cs="仿宋_GB2312"/>
          <w:color w:val="auto"/>
          <w:sz w:val="32"/>
          <w:szCs w:val="32"/>
          <w:highlight w:val="none"/>
        </w:rPr>
        <w:t>负责高质量发展建设共同富裕试验区</w:t>
      </w:r>
      <w:r>
        <w:rPr>
          <w:rFonts w:hint="eastAsia" w:ascii="仿宋_GB2312" w:hAnsi="仿宋_GB2312" w:eastAsia="仿宋_GB2312" w:cs="仿宋_GB2312"/>
          <w:color w:val="auto"/>
          <w:sz w:val="32"/>
          <w:szCs w:val="32"/>
          <w:highlight w:val="none"/>
          <w:lang w:val="en-US" w:eastAsia="zh-CN"/>
        </w:rPr>
        <w:t>的日常事务性工作</w:t>
      </w:r>
      <w:r>
        <w:rPr>
          <w:rFonts w:hint="eastAsia" w:ascii="仿宋_GB2312" w:hAnsi="仿宋_GB2312" w:eastAsia="仿宋_GB2312" w:cs="仿宋_GB2312"/>
          <w:color w:val="auto"/>
          <w:sz w:val="32"/>
          <w:szCs w:val="32"/>
          <w:highlight w:val="none"/>
        </w:rPr>
        <w:t>，参与建设共同富裕试验区发展战略、中长期规划和年度计划的组织实施，协助开展相关重点工作、重大项目、重要活动。</w:t>
      </w:r>
      <w:r>
        <w:rPr>
          <w:rFonts w:hint="eastAsia" w:ascii="仿宋_GB2312" w:hAnsi="仿宋_GB2312" w:eastAsia="仿宋_GB2312" w:cs="仿宋_GB2312"/>
          <w:color w:val="auto"/>
          <w:sz w:val="32"/>
          <w:szCs w:val="32"/>
          <w:highlight w:val="none"/>
          <w:lang w:val="en-US" w:eastAsia="zh-CN"/>
        </w:rPr>
        <w:t>负责市民生工作推进相关的政策研究、信息调研、情况分析、数据统计等工作。</w:t>
      </w:r>
    </w:p>
    <w:p w14:paraId="180FC38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Cs w:val="32"/>
          <w:lang w:val="en-US"/>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Times New Roman"/>
          <w:sz w:val="32"/>
          <w:szCs w:val="32"/>
          <w:lang w:val="en-US" w:eastAsia="zh-CN"/>
        </w:rPr>
        <w:t>截至202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年末，</w:t>
      </w:r>
      <w:r>
        <w:rPr>
          <w:rFonts w:ascii="Times New Roman" w:hAnsi="Times New Roman" w:eastAsia="仿宋"/>
          <w:color w:val="auto"/>
          <w:sz w:val="32"/>
          <w:szCs w:val="32"/>
          <w:highlight w:val="none"/>
        </w:rPr>
        <w:t>攀枝花市社会建设事务中心</w:t>
      </w:r>
      <w:r>
        <w:rPr>
          <w:rFonts w:hint="eastAsia" w:ascii="Times New Roman" w:hAnsi="Times New Roman" w:eastAsia="仿宋"/>
          <w:color w:val="auto"/>
          <w:sz w:val="32"/>
          <w:szCs w:val="32"/>
          <w:highlight w:val="none"/>
          <w:lang w:eastAsia="zh-CN"/>
        </w:rPr>
        <w:t>总编制</w:t>
      </w:r>
      <w:r>
        <w:rPr>
          <w:rFonts w:hint="eastAsia" w:ascii="Times New Roman" w:hAnsi="Times New Roman" w:eastAsia="仿宋"/>
          <w:color w:val="auto"/>
          <w:sz w:val="32"/>
          <w:szCs w:val="32"/>
          <w:highlight w:val="none"/>
          <w:lang w:val="en-US" w:eastAsia="zh-CN"/>
        </w:rPr>
        <w:t>24名，其中事业编制23名，工勤编制1名；年末实有事业编制19名。</w:t>
      </w:r>
      <w:r>
        <w:rPr>
          <w:rFonts w:hint="eastAsia" w:eastAsia="仿宋"/>
          <w:color w:val="auto"/>
          <w:sz w:val="32"/>
          <w:szCs w:val="32"/>
          <w:highlight w:val="none"/>
          <w:lang w:val="en-US" w:eastAsia="zh-CN"/>
        </w:rPr>
        <w:t>2024年度人员变动情况，因机构改革并入4名、调出1名、招考1名。</w:t>
      </w:r>
    </w:p>
    <w:p w14:paraId="7272EF9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14:paraId="3921C98E">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en-US"/>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仿宋_GB2312" w:hAnsi="仿宋_GB2312" w:eastAsia="仿宋_GB2312" w:cs="仿宋_GB2312"/>
          <w:sz w:val="32"/>
          <w:szCs w:val="32"/>
          <w:lang w:val="zh-CN" w:eastAsia="zh-CN"/>
        </w:rPr>
        <w:t>攀枝花市社会建设事务中心</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eastAsia="zh-CN"/>
        </w:rPr>
        <w:t>年度本年收入合计</w:t>
      </w:r>
      <w:r>
        <w:rPr>
          <w:rFonts w:hint="eastAsia" w:ascii="Times New Roman" w:hAnsi="Times New Roman" w:eastAsia="仿宋_GB2312" w:cs="Times New Roman"/>
          <w:sz w:val="32"/>
          <w:szCs w:val="32"/>
          <w:lang w:val="en-US" w:eastAsia="zh-CN"/>
        </w:rPr>
        <w:t>364.33</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：年初结转结余</w:t>
      </w:r>
      <w:r>
        <w:rPr>
          <w:rFonts w:hint="eastAsia" w:ascii="Times New Roman" w:hAnsi="Times New Roman" w:eastAsia="仿宋_GB2312" w:cs="Times New Roman"/>
          <w:sz w:val="32"/>
          <w:szCs w:val="32"/>
          <w:lang w:val="en-US" w:eastAsia="zh-CN"/>
        </w:rPr>
        <w:t>0万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一般公共预算财政拨款收入</w:t>
      </w:r>
      <w:r>
        <w:rPr>
          <w:rFonts w:hint="eastAsia" w:ascii="Times New Roman" w:hAnsi="Times New Roman" w:eastAsia="仿宋_GB2312" w:cs="Times New Roman"/>
          <w:sz w:val="32"/>
          <w:szCs w:val="32"/>
          <w:lang w:val="en-US" w:eastAsia="zh-CN"/>
        </w:rPr>
        <w:t>364.33</w:t>
      </w:r>
      <w:r>
        <w:rPr>
          <w:rFonts w:hint="eastAsia" w:ascii="仿宋_GB2312" w:hAnsi="仿宋_GB2312" w:eastAsia="仿宋_GB2312" w:cs="仿宋_GB2312"/>
          <w:sz w:val="32"/>
          <w:szCs w:val="32"/>
          <w:lang w:eastAsia="zh-CN"/>
        </w:rPr>
        <w:t>万元；其他收入</w:t>
      </w:r>
      <w:r>
        <w:rPr>
          <w:rFonts w:hint="eastAsia" w:ascii="Times New Roman" w:hAnsi="Times New Roman" w:eastAsia="仿宋_GB2312" w:cs="Times New Roman"/>
          <w:sz w:val="32"/>
          <w:szCs w:val="32"/>
          <w:lang w:val="en-US" w:eastAsia="zh-CN"/>
        </w:rPr>
        <w:t>0万</w:t>
      </w:r>
      <w:r>
        <w:rPr>
          <w:rFonts w:hint="eastAsia" w:ascii="仿宋_GB2312" w:hAnsi="仿宋_GB2312" w:eastAsia="仿宋_GB2312" w:cs="仿宋_GB2312"/>
          <w:sz w:val="32"/>
          <w:szCs w:val="32"/>
          <w:lang w:val="en-US" w:eastAsia="zh-CN"/>
        </w:rPr>
        <w:t>元。全年收入决算数</w:t>
      </w:r>
      <w:r>
        <w:rPr>
          <w:rFonts w:hint="eastAsia" w:ascii="Times New Roman" w:hAnsi="Times New Roman" w:eastAsia="仿宋_GB2312" w:cs="Times New Roman"/>
          <w:sz w:val="32"/>
          <w:szCs w:val="32"/>
          <w:lang w:val="en-US" w:eastAsia="zh-CN"/>
        </w:rPr>
        <w:t>364.33</w:t>
      </w:r>
      <w:r>
        <w:rPr>
          <w:rFonts w:hint="eastAsia" w:ascii="仿宋_GB2312" w:hAnsi="仿宋_GB2312" w:eastAsia="仿宋_GB2312" w:cs="仿宋_GB2312"/>
          <w:sz w:val="32"/>
          <w:szCs w:val="32"/>
          <w:lang w:val="en-US" w:eastAsia="zh-CN"/>
        </w:rPr>
        <w:t>万元，其中：</w:t>
      </w:r>
      <w:r>
        <w:rPr>
          <w:rFonts w:hint="eastAsia" w:ascii="仿宋_GB2312" w:hAnsi="仿宋_GB2312" w:eastAsia="仿宋_GB2312" w:cs="仿宋_GB2312"/>
          <w:sz w:val="32"/>
          <w:szCs w:val="32"/>
          <w:lang w:eastAsia="zh-CN"/>
        </w:rPr>
        <w:t>年初结转结余</w:t>
      </w:r>
      <w:r>
        <w:rPr>
          <w:rFonts w:hint="eastAsia" w:ascii="Times New Roman" w:hAnsi="Times New Roman" w:eastAsia="仿宋_GB2312" w:cs="Times New Roman"/>
          <w:sz w:val="32"/>
          <w:szCs w:val="32"/>
          <w:lang w:val="en-US" w:eastAsia="zh-CN"/>
        </w:rPr>
        <w:t>0万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一般公共预算财政拨款收入</w:t>
      </w:r>
      <w:r>
        <w:rPr>
          <w:rFonts w:hint="eastAsia" w:ascii="Times New Roman" w:hAnsi="Times New Roman" w:eastAsia="仿宋_GB2312" w:cs="Times New Roman"/>
          <w:sz w:val="32"/>
          <w:szCs w:val="32"/>
          <w:lang w:val="en-US" w:eastAsia="zh-CN"/>
        </w:rPr>
        <w:t>364.33</w:t>
      </w:r>
      <w:r>
        <w:rPr>
          <w:rFonts w:hint="eastAsia" w:ascii="仿宋_GB2312" w:hAnsi="仿宋_GB2312" w:eastAsia="仿宋_GB2312" w:cs="仿宋_GB2312"/>
          <w:sz w:val="32"/>
          <w:szCs w:val="32"/>
          <w:lang w:eastAsia="zh-CN"/>
        </w:rPr>
        <w:t>万元；其他收入</w:t>
      </w:r>
      <w:r>
        <w:rPr>
          <w:rFonts w:hint="eastAsia" w:ascii="Times New Roman" w:hAnsi="Times New Roman" w:eastAsia="仿宋_GB2312" w:cs="Times New Roman"/>
          <w:sz w:val="32"/>
          <w:szCs w:val="32"/>
          <w:lang w:val="en-US" w:eastAsia="zh-CN"/>
        </w:rPr>
        <w:t>0万</w:t>
      </w:r>
      <w:r>
        <w:rPr>
          <w:rFonts w:hint="eastAsia" w:ascii="仿宋_GB2312" w:hAnsi="仿宋_GB2312" w:eastAsia="仿宋_GB2312" w:cs="仿宋_GB2312"/>
          <w:sz w:val="32"/>
          <w:szCs w:val="32"/>
          <w:lang w:val="en-US" w:eastAsia="zh-CN"/>
        </w:rPr>
        <w:t>元。</w:t>
      </w:r>
    </w:p>
    <w:p w14:paraId="2D60D36D">
      <w:pPr>
        <w:spacing w:line="600" w:lineRule="exact"/>
        <w:ind w:firstLine="640"/>
        <w:rPr>
          <w:rFonts w:hint="default" w:ascii="Times New Roman" w:hAnsi="Times New Roman" w:cs="Times New Roman"/>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仿宋_GB2312" w:hAnsi="仿宋_GB2312" w:eastAsia="仿宋_GB2312" w:cs="仿宋_GB2312"/>
          <w:sz w:val="32"/>
          <w:szCs w:val="32"/>
          <w:lang w:val="zh-CN" w:eastAsia="zh-CN"/>
        </w:rPr>
        <w:t>攀枝花市社会建设事务中心</w:t>
      </w:r>
      <w:r>
        <w:rPr>
          <w:rFonts w:hint="eastAsia" w:ascii="Times New Roman" w:hAnsi="Times New Roman" w:eastAsia="仿宋_GB2312" w:cs="Times New Roman"/>
          <w:sz w:val="32"/>
          <w:szCs w:val="32"/>
          <w:lang w:val="en-US" w:eastAsia="zh-CN"/>
        </w:rPr>
        <w:t>2024年年初预算支出</w:t>
      </w:r>
      <w:r>
        <w:rPr>
          <w:rFonts w:hint="eastAsia" w:eastAsia="仿宋_GB2312" w:cs="Times New Roman"/>
          <w:sz w:val="32"/>
          <w:szCs w:val="32"/>
          <w:lang w:val="en-US" w:eastAsia="zh-CN"/>
        </w:rPr>
        <w:t>数为</w:t>
      </w:r>
      <w:r>
        <w:rPr>
          <w:rFonts w:hint="eastAsia" w:ascii="Times New Roman" w:hAnsi="Times New Roman" w:eastAsia="仿宋_GB2312" w:cs="Times New Roman"/>
          <w:sz w:val="32"/>
          <w:szCs w:val="32"/>
          <w:lang w:val="en-US" w:eastAsia="zh-CN"/>
        </w:rPr>
        <w:t>364.33</w:t>
      </w:r>
      <w:r>
        <w:rPr>
          <w:rFonts w:hint="eastAsia" w:ascii="仿宋_GB2312" w:hAnsi="仿宋_GB2312" w:eastAsia="仿宋_GB2312" w:cs="仿宋_GB2312"/>
          <w:sz w:val="32"/>
          <w:szCs w:val="32"/>
          <w:lang w:eastAsia="zh-CN"/>
        </w:rPr>
        <w:t>万元。其中：</w:t>
      </w:r>
      <w:r>
        <w:rPr>
          <w:rFonts w:hint="eastAsia" w:ascii="Times New Roman" w:hAnsi="Times New Roman" w:eastAsia="仿宋_GB2312" w:cs="仿宋_GB2312"/>
          <w:color w:val="auto"/>
          <w:kern w:val="2"/>
          <w:sz w:val="32"/>
          <w:szCs w:val="32"/>
          <w:highlight w:val="none"/>
          <w:lang w:val="en-US" w:eastAsia="zh-CN" w:bidi="ar-SA"/>
        </w:rPr>
        <w:t>一般公共服务支出292.72万元；社会保障和就业支出29.36万元；卫生健康支出18.07万元；住房保障支出24.19万元</w:t>
      </w:r>
      <w:r>
        <w:rPr>
          <w:rFonts w:hint="eastAsia" w:eastAsia="仿宋_GB2312" w:cs="仿宋_GB2312"/>
          <w:color w:val="auto"/>
          <w:kern w:val="2"/>
          <w:sz w:val="32"/>
          <w:szCs w:val="32"/>
          <w:highlight w:val="none"/>
          <w:lang w:val="en-US" w:eastAsia="zh-CN" w:bidi="ar-SA"/>
        </w:rPr>
        <w:t>（因收舍原因，明细比决算报表总数多0.01万元）</w:t>
      </w:r>
      <w:r>
        <w:rPr>
          <w:rFonts w:hint="eastAsia" w:ascii="Times New Roman" w:hAnsi="Times New Roman" w:eastAsia="仿宋_GB2312" w:cs="仿宋_GB2312"/>
          <w:color w:val="auto"/>
          <w:kern w:val="2"/>
          <w:sz w:val="32"/>
          <w:szCs w:val="32"/>
          <w:highlight w:val="none"/>
          <w:lang w:val="en-US" w:eastAsia="zh-CN" w:bidi="ar-SA"/>
        </w:rPr>
        <w:t>。全年支出决算数为364.33万元。</w:t>
      </w:r>
      <w:r>
        <w:rPr>
          <w:rFonts w:hint="eastAsia" w:ascii="仿宋_GB2312" w:hAnsi="仿宋_GB2312" w:eastAsia="仿宋_GB2312" w:cs="仿宋_GB2312"/>
          <w:sz w:val="32"/>
          <w:szCs w:val="32"/>
          <w:lang w:eastAsia="zh-CN"/>
        </w:rPr>
        <w:t>其中：</w:t>
      </w:r>
      <w:r>
        <w:rPr>
          <w:rFonts w:hint="eastAsia" w:ascii="Times New Roman" w:hAnsi="Times New Roman" w:eastAsia="仿宋_GB2312" w:cs="仿宋_GB2312"/>
          <w:color w:val="auto"/>
          <w:kern w:val="2"/>
          <w:sz w:val="32"/>
          <w:szCs w:val="32"/>
          <w:highlight w:val="none"/>
          <w:lang w:val="en-US" w:eastAsia="zh-CN" w:bidi="ar-SA"/>
        </w:rPr>
        <w:t>一般公共服务支出292.72万元；社会保障和就业支出29.36万元；卫生健康支出18.07万元；住房保障支出24.19万元。</w:t>
      </w:r>
    </w:p>
    <w:p w14:paraId="7656E25A">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ascii="Times New Roman" w:hAnsi="Times New Roman" w:eastAsia="仿宋_GB2312" w:cs="Times New Roman"/>
          <w:sz w:val="32"/>
          <w:szCs w:val="32"/>
          <w:lang w:val="en-US" w:eastAsia="zh-CN"/>
        </w:rPr>
        <w:t>2024年决算报表</w:t>
      </w:r>
      <w:r>
        <w:rPr>
          <w:rFonts w:hint="default" w:ascii="Times New Roman" w:hAnsi="Times New Roman" w:eastAsia="仿宋_GB2312" w:cs="Times New Roman"/>
          <w:sz w:val="32"/>
          <w:szCs w:val="32"/>
          <w:lang w:val="en-US" w:eastAsia="zh-CN"/>
        </w:rPr>
        <w:t>结转结余</w:t>
      </w:r>
      <w:r>
        <w:rPr>
          <w:rFonts w:hint="eastAsia" w:eastAsia="仿宋_GB2312" w:cs="Times New Roman"/>
          <w:sz w:val="32"/>
          <w:szCs w:val="32"/>
          <w:lang w:val="en-US" w:eastAsia="zh-CN"/>
        </w:rPr>
        <w:t>0万元</w:t>
      </w:r>
      <w:r>
        <w:rPr>
          <w:rFonts w:hint="default" w:ascii="Times New Roman" w:hAnsi="Times New Roman" w:eastAsia="仿宋_GB2312" w:cs="Times New Roman"/>
          <w:sz w:val="32"/>
          <w:szCs w:val="32"/>
          <w:lang w:val="en-US" w:eastAsia="zh-CN"/>
        </w:rPr>
        <w:t>。</w:t>
      </w:r>
    </w:p>
    <w:p w14:paraId="1783CBC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14:paraId="116F05E3">
      <w:pPr>
        <w:ind w:firstLine="803" w:firstLineChars="250"/>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r>
        <w:rPr>
          <w:rFonts w:hint="default" w:ascii="Times New Roman" w:hAnsi="Times New Roman" w:eastAsia="仿宋_GB2312" w:cs="仿宋_GB2312"/>
          <w:color w:val="auto"/>
          <w:kern w:val="2"/>
          <w:sz w:val="32"/>
          <w:szCs w:val="32"/>
          <w:highlight w:val="none"/>
          <w:lang w:val="zh-CN" w:eastAsia="zh-CN" w:bidi="ar-SA"/>
        </w:rPr>
        <w:t>根据部门预算绩效评价指标体系</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总体绩效</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涉及</w:t>
      </w:r>
      <w:r>
        <w:rPr>
          <w:rFonts w:hint="eastAsia" w:ascii="Times New Roman" w:hAnsi="Times New Roman" w:eastAsia="仿宋_GB2312" w:cs="仿宋_GB2312"/>
          <w:color w:val="auto"/>
          <w:kern w:val="2"/>
          <w:sz w:val="32"/>
          <w:szCs w:val="32"/>
          <w:highlight w:val="none"/>
          <w:lang w:val="zh-CN" w:eastAsia="zh-CN" w:bidi="ar-SA"/>
        </w:rPr>
        <w:t>二、三级</w:t>
      </w:r>
      <w:r>
        <w:rPr>
          <w:rFonts w:hint="default" w:ascii="Times New Roman" w:hAnsi="Times New Roman" w:eastAsia="仿宋_GB2312" w:cs="仿宋_GB2312"/>
          <w:color w:val="auto"/>
          <w:kern w:val="2"/>
          <w:sz w:val="32"/>
          <w:szCs w:val="32"/>
          <w:highlight w:val="none"/>
          <w:lang w:val="zh-CN" w:eastAsia="zh-CN" w:bidi="ar-SA"/>
        </w:rPr>
        <w:t>指标进行</w:t>
      </w:r>
      <w:r>
        <w:rPr>
          <w:rFonts w:hint="eastAsia" w:ascii="Times New Roman" w:hAnsi="Times New Roman" w:eastAsia="仿宋_GB2312" w:cs="仿宋_GB2312"/>
          <w:color w:val="auto"/>
          <w:kern w:val="2"/>
          <w:sz w:val="32"/>
          <w:szCs w:val="32"/>
          <w:highlight w:val="none"/>
          <w:lang w:val="zh-CN" w:eastAsia="zh-CN" w:bidi="ar-SA"/>
        </w:rPr>
        <w:t>逐项</w:t>
      </w:r>
      <w:r>
        <w:rPr>
          <w:rFonts w:hint="default" w:ascii="Times New Roman" w:hAnsi="Times New Roman" w:eastAsia="仿宋_GB2312" w:cs="仿宋_GB2312"/>
          <w:color w:val="auto"/>
          <w:kern w:val="2"/>
          <w:sz w:val="32"/>
          <w:szCs w:val="32"/>
          <w:highlight w:val="none"/>
          <w:lang w:val="zh-CN" w:eastAsia="zh-CN" w:bidi="ar-SA"/>
        </w:rPr>
        <w:t>绩效分析</w:t>
      </w:r>
      <w:r>
        <w:rPr>
          <w:rFonts w:hint="eastAsia" w:ascii="Times New Roman" w:hAnsi="Times New Roman" w:eastAsia="仿宋_GB2312" w:cs="仿宋_GB2312"/>
          <w:color w:val="auto"/>
          <w:kern w:val="2"/>
          <w:sz w:val="32"/>
          <w:szCs w:val="32"/>
          <w:highlight w:val="none"/>
          <w:lang w:val="zh-CN" w:eastAsia="zh-CN" w:bidi="ar-SA"/>
        </w:rPr>
        <w:t>并评分</w:t>
      </w:r>
      <w:r>
        <w:rPr>
          <w:rFonts w:hint="default" w:ascii="Times New Roman" w:hAnsi="Times New Roman" w:eastAsia="仿宋_GB2312" w:cs="仿宋_GB2312"/>
          <w:color w:val="auto"/>
          <w:kern w:val="2"/>
          <w:sz w:val="32"/>
          <w:szCs w:val="32"/>
          <w:highlight w:val="none"/>
          <w:lang w:val="zh-CN" w:eastAsia="zh-CN" w:bidi="ar-SA"/>
        </w:rPr>
        <w:t>，依次包括履职效能、预算管理、财务管理、资产管理、采购管理等情况。</w:t>
      </w:r>
    </w:p>
    <w:p w14:paraId="3BE02428">
      <w:pPr>
        <w:ind w:firstLine="800" w:firstLineChars="250"/>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履职效能。</w:t>
      </w:r>
      <w:r>
        <w:rPr>
          <w:rFonts w:hint="eastAsia" w:eastAsia="仿宋_GB2312" w:cs="仿宋_GB2312"/>
          <w:color w:val="auto"/>
          <w:kern w:val="2"/>
          <w:sz w:val="32"/>
          <w:szCs w:val="32"/>
          <w:highlight w:val="none"/>
          <w:lang w:val="en-US" w:eastAsia="zh-CN" w:bidi="ar-SA"/>
        </w:rPr>
        <w:t>2024年，在市委的坚强领导下，市社会建设事务中心</w:t>
      </w:r>
      <w:r>
        <w:rPr>
          <w:rFonts w:hint="eastAsia" w:ascii="仿宋_GB2312" w:hAnsi="仿宋_GB2312" w:eastAsia="仿宋_GB2312" w:cs="仿宋_GB2312"/>
          <w:color w:val="auto"/>
          <w:sz w:val="32"/>
          <w:szCs w:val="32"/>
          <w:highlight w:val="none"/>
        </w:rPr>
        <w:t>负责高质量发展建设共同富裕试验区</w:t>
      </w:r>
      <w:r>
        <w:rPr>
          <w:rFonts w:hint="eastAsia" w:ascii="仿宋_GB2312" w:hAnsi="仿宋_GB2312" w:eastAsia="仿宋_GB2312" w:cs="仿宋_GB2312"/>
          <w:color w:val="auto"/>
          <w:sz w:val="32"/>
          <w:szCs w:val="32"/>
          <w:highlight w:val="none"/>
          <w:lang w:val="en-US" w:eastAsia="zh-CN"/>
        </w:rPr>
        <w:t>的日常事务性工作</w:t>
      </w:r>
      <w:r>
        <w:rPr>
          <w:rFonts w:hint="eastAsia" w:ascii="仿宋_GB2312" w:hAnsi="仿宋_GB2312" w:eastAsia="仿宋_GB2312" w:cs="仿宋_GB2312"/>
          <w:color w:val="auto"/>
          <w:sz w:val="32"/>
          <w:szCs w:val="32"/>
          <w:highlight w:val="none"/>
        </w:rPr>
        <w:t>，参与建设共同富裕试验区发展战略、中长期规划和年度计划的组织实施，协助开展相关重点工作、重大项目、重要活动。</w:t>
      </w:r>
      <w:r>
        <w:rPr>
          <w:rFonts w:hint="eastAsia" w:ascii="仿宋_GB2312" w:hAnsi="仿宋_GB2312" w:eastAsia="仿宋_GB2312" w:cs="仿宋_GB2312"/>
          <w:color w:val="auto"/>
          <w:sz w:val="32"/>
          <w:szCs w:val="32"/>
          <w:highlight w:val="none"/>
          <w:lang w:val="en-US" w:eastAsia="zh-CN"/>
        </w:rPr>
        <w:t>负责市民生工作推进相关的政策研究、信息调研、情况分析、数据统计等工作</w:t>
      </w:r>
      <w:r>
        <w:rPr>
          <w:rFonts w:hint="eastAsia" w:ascii="Times New Roman" w:hAnsi="Times New Roman" w:eastAsia="仿宋_GB2312" w:cs="仿宋_GB2312"/>
          <w:color w:val="auto"/>
          <w:kern w:val="2"/>
          <w:sz w:val="32"/>
          <w:szCs w:val="32"/>
          <w:highlight w:val="none"/>
          <w:lang w:val="zh-CN" w:eastAsia="zh-CN" w:bidi="ar-SA"/>
        </w:rPr>
        <w:t>。</w:t>
      </w:r>
    </w:p>
    <w:p w14:paraId="04FC938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预算管理</w:t>
      </w:r>
      <w:r>
        <w:rPr>
          <w:rFonts w:hint="eastAsia" w:ascii="Times New Roman" w:hAnsi="Times New Roman"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zh-CN" w:eastAsia="zh-CN" w:bidi="ar-SA"/>
        </w:rPr>
        <w:t>严格按照市财政局相关要求，抓好</w:t>
      </w:r>
      <w:r>
        <w:rPr>
          <w:rFonts w:hint="eastAsia" w:ascii="Times New Roman" w:hAnsi="Times New Roman" w:eastAsia="仿宋_GB2312" w:cs="仿宋_GB2312"/>
          <w:color w:val="auto"/>
          <w:kern w:val="2"/>
          <w:sz w:val="32"/>
          <w:szCs w:val="32"/>
          <w:highlight w:val="none"/>
          <w:lang w:val="zh-CN" w:eastAsia="zh-CN" w:bidi="ar-SA"/>
        </w:rPr>
        <w:t>预算编制质量</w:t>
      </w:r>
      <w:r>
        <w:rPr>
          <w:rFonts w:hint="eastAsia" w:eastAsia="仿宋_GB2312" w:cs="仿宋_GB2312"/>
          <w:color w:val="auto"/>
          <w:kern w:val="2"/>
          <w:sz w:val="32"/>
          <w:szCs w:val="32"/>
          <w:highlight w:val="none"/>
          <w:lang w:val="zh-CN" w:eastAsia="zh-CN" w:bidi="ar-SA"/>
        </w:rPr>
        <w:t>及支付</w:t>
      </w:r>
      <w:r>
        <w:rPr>
          <w:rFonts w:hint="eastAsia" w:ascii="Times New Roman" w:hAnsi="Times New Roman" w:eastAsia="仿宋_GB2312" w:cs="仿宋_GB2312"/>
          <w:color w:val="auto"/>
          <w:kern w:val="2"/>
          <w:sz w:val="32"/>
          <w:szCs w:val="32"/>
          <w:highlight w:val="none"/>
          <w:lang w:val="zh-CN" w:eastAsia="zh-CN" w:bidi="ar-SA"/>
        </w:rPr>
        <w:t>执行</w:t>
      </w: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2024年度一般公共预算年初预算数 319.53万元，调整后预算数1152.40万元，实际支付数364.33万元，整体预算结余率远超“预算结余率低于10%”的常规合理标准，预算执行效率整体偏低。主要原因为：一是部分政府采购项目执行进度未达支付条件，相应指标需结转到下一年度予以支付。二是为进一步提高财政资金使用效益，部分资金根据工作需要在年中进行按需追加。</w:t>
      </w:r>
    </w:p>
    <w:p w14:paraId="40A284F8">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default" w:ascii="Times New Roman" w:hAnsi="Times New Roman" w:eastAsia="仿宋_GB2312" w:cs="仿宋_GB2312"/>
          <w:color w:val="auto"/>
          <w:kern w:val="2"/>
          <w:sz w:val="32"/>
          <w:szCs w:val="32"/>
          <w:highlight w:val="none"/>
          <w:lang w:val="zh-CN" w:eastAsia="zh-CN" w:bidi="ar-SA"/>
        </w:rPr>
        <w:t>财务管理</w:t>
      </w:r>
      <w:r>
        <w:rPr>
          <w:rFonts w:hint="eastAsia" w:ascii="Times New Roman" w:hAnsi="Times New Roman"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zh-CN" w:eastAsia="zh-CN" w:bidi="ar-SA"/>
        </w:rPr>
        <w:t>认真学习本单位</w:t>
      </w:r>
      <w:r>
        <w:rPr>
          <w:rFonts w:hint="eastAsia" w:ascii="Times New Roman" w:hAnsi="Times New Roman" w:eastAsia="仿宋_GB2312" w:cs="仿宋_GB2312"/>
          <w:color w:val="auto"/>
          <w:kern w:val="2"/>
          <w:sz w:val="32"/>
          <w:szCs w:val="32"/>
          <w:highlight w:val="none"/>
          <w:lang w:val="zh-CN" w:eastAsia="zh-CN" w:bidi="ar-SA"/>
        </w:rPr>
        <w:t>财务管理制度</w:t>
      </w:r>
      <w:r>
        <w:rPr>
          <w:rFonts w:hint="eastAsia" w:eastAsia="仿宋_GB2312" w:cs="仿宋_GB2312"/>
          <w:color w:val="auto"/>
          <w:kern w:val="2"/>
          <w:sz w:val="32"/>
          <w:szCs w:val="32"/>
          <w:highlight w:val="none"/>
          <w:lang w:val="zh-CN" w:eastAsia="zh-CN" w:bidi="ar-SA"/>
        </w:rPr>
        <w:t>，严守财经纪律，本单位有会计、出纳岗位，可实现互相监督促进，同时抓好相关制度的执行，严格按照财政财务管理相关规定和单位内部管理制度组织工作开展，切实做到依法理财、依法行政。针对可能存在的财务报销及账务核算问题，建立了资产入账双重核查、资金支付双重审核机制，严防资产登记遗漏、资金支付错误等问题发生</w:t>
      </w:r>
      <w:r>
        <w:rPr>
          <w:rFonts w:hint="eastAsia" w:ascii="Times New Roman" w:hAnsi="Times New Roman" w:eastAsia="仿宋_GB2312" w:cs="仿宋_GB2312"/>
          <w:color w:val="auto"/>
          <w:kern w:val="2"/>
          <w:sz w:val="32"/>
          <w:szCs w:val="32"/>
          <w:highlight w:val="none"/>
          <w:lang w:val="zh-CN" w:eastAsia="zh-CN" w:bidi="ar-SA"/>
        </w:rPr>
        <w:t>。</w:t>
      </w:r>
    </w:p>
    <w:p w14:paraId="32E16958">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zh-CN" w:eastAsia="zh-CN" w:bidi="ar-SA"/>
        </w:rPr>
        <w:t>资产管理</w:t>
      </w:r>
      <w:r>
        <w:rPr>
          <w:rFonts w:hint="eastAsia" w:ascii="Times New Roman" w:hAnsi="Times New Roman" w:eastAsia="仿宋_GB2312" w:cs="仿宋_GB2312"/>
          <w:color w:val="auto"/>
          <w:kern w:val="2"/>
          <w:sz w:val="32"/>
          <w:szCs w:val="32"/>
          <w:highlight w:val="none"/>
          <w:lang w:val="zh-CN" w:eastAsia="zh-CN" w:bidi="ar-SA"/>
        </w:rPr>
        <w:t>。为实现资产的有效利用，先通过内部调剂予以解决，确实无法通过调剂解决的，才予购置</w:t>
      </w:r>
      <w:r>
        <w:rPr>
          <w:rFonts w:hint="eastAsia" w:eastAsia="仿宋_GB2312" w:cs="仿宋_GB2312"/>
          <w:color w:val="auto"/>
          <w:kern w:val="2"/>
          <w:sz w:val="32"/>
          <w:szCs w:val="32"/>
          <w:highlight w:val="none"/>
          <w:lang w:val="zh-CN" w:eastAsia="zh-CN" w:bidi="ar-SA"/>
        </w:rPr>
        <w:t>。</w:t>
      </w:r>
      <w:r>
        <w:rPr>
          <w:rFonts w:hint="eastAsia" w:ascii="Times New Roman" w:hAnsi="Times New Roman" w:eastAsia="仿宋_GB2312" w:cs="仿宋_GB2312"/>
          <w:color w:val="auto"/>
          <w:kern w:val="2"/>
          <w:sz w:val="32"/>
          <w:szCs w:val="32"/>
          <w:highlight w:val="none"/>
          <w:lang w:val="zh-CN" w:eastAsia="zh-CN" w:bidi="ar-SA"/>
        </w:rPr>
        <w:t>2024 年</w:t>
      </w:r>
      <w:r>
        <w:rPr>
          <w:rFonts w:hint="eastAsia" w:eastAsia="仿宋_GB2312" w:cs="仿宋_GB2312"/>
          <w:color w:val="auto"/>
          <w:kern w:val="2"/>
          <w:sz w:val="32"/>
          <w:szCs w:val="32"/>
          <w:highlight w:val="none"/>
          <w:lang w:val="zh-CN" w:eastAsia="zh-CN" w:bidi="ar-SA"/>
        </w:rPr>
        <w:t>本单位</w:t>
      </w:r>
      <w:r>
        <w:rPr>
          <w:rFonts w:hint="eastAsia" w:ascii="Times New Roman" w:hAnsi="Times New Roman" w:eastAsia="仿宋_GB2312" w:cs="仿宋_GB2312"/>
          <w:color w:val="auto"/>
          <w:kern w:val="2"/>
          <w:sz w:val="32"/>
          <w:szCs w:val="32"/>
          <w:highlight w:val="none"/>
          <w:lang w:val="zh-CN" w:eastAsia="zh-CN" w:bidi="ar-SA"/>
        </w:rPr>
        <w:t>计划通过10个设备采购类项目新增资产，包括触摸一体机5套、台式计算机15台、便携式计算机10台、LED 显示屏8</w:t>
      </w:r>
      <w:r>
        <w:rPr>
          <w:rFonts w:hint="eastAsia" w:eastAsia="仿宋_GB2312" w:cs="仿宋_GB2312"/>
          <w:color w:val="auto"/>
          <w:kern w:val="2"/>
          <w:sz w:val="32"/>
          <w:szCs w:val="32"/>
          <w:highlight w:val="none"/>
          <w:lang w:val="zh-CN" w:eastAsia="zh-CN" w:bidi="ar-SA"/>
        </w:rPr>
        <w:t>平方米</w:t>
      </w:r>
      <w:r>
        <w:rPr>
          <w:rFonts w:hint="eastAsia" w:ascii="Times New Roman" w:hAnsi="Times New Roman" w:eastAsia="仿宋_GB2312" w:cs="仿宋_GB2312"/>
          <w:color w:val="auto"/>
          <w:kern w:val="2"/>
          <w:sz w:val="32"/>
          <w:szCs w:val="32"/>
          <w:highlight w:val="none"/>
          <w:lang w:val="zh-CN" w:eastAsia="zh-CN" w:bidi="ar-SA"/>
        </w:rPr>
        <w:t>、复印机1台、打印机4台、扫描仪1台、碎纸机2台、不间断电源1套，调整后预算合计42.82万元</w:t>
      </w:r>
      <w:r>
        <w:rPr>
          <w:rFonts w:hint="eastAsia" w:eastAsia="仿宋_GB2312" w:cs="仿宋_GB2312"/>
          <w:color w:val="auto"/>
          <w:kern w:val="2"/>
          <w:sz w:val="32"/>
          <w:szCs w:val="32"/>
          <w:highlight w:val="none"/>
          <w:lang w:val="zh-CN" w:eastAsia="zh-CN" w:bidi="ar-SA"/>
        </w:rPr>
        <w:t>。新购设备以保障因人员增加、业务工作增加、设备老化等原因所导致的办公设备不足等问题。</w:t>
      </w:r>
    </w:p>
    <w:p w14:paraId="130E40E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5.</w:t>
      </w:r>
      <w:r>
        <w:rPr>
          <w:rFonts w:hint="default" w:ascii="Times New Roman" w:hAnsi="Times New Roman" w:eastAsia="仿宋_GB2312" w:cs="仿宋_GB2312"/>
          <w:color w:val="auto"/>
          <w:kern w:val="2"/>
          <w:sz w:val="32"/>
          <w:szCs w:val="32"/>
          <w:highlight w:val="none"/>
          <w:lang w:val="zh-CN" w:eastAsia="zh-CN" w:bidi="ar-SA"/>
        </w:rPr>
        <w:t>采购管理</w:t>
      </w:r>
      <w:r>
        <w:rPr>
          <w:rFonts w:hint="eastAsia" w:ascii="Times New Roman" w:hAnsi="Times New Roman" w:eastAsia="仿宋_GB2312" w:cs="仿宋_GB2312"/>
          <w:color w:val="auto"/>
          <w:kern w:val="2"/>
          <w:sz w:val="32"/>
          <w:szCs w:val="32"/>
          <w:highlight w:val="none"/>
          <w:lang w:val="zh-CN" w:eastAsia="zh-CN" w:bidi="ar-SA"/>
        </w:rPr>
        <w:t>。严格执行《中华人民共和国政府采购法》《中华人民共和国政府采购法实施条例》《政府采购促进中小企业发展管理办法》等规定，采取合法合规的方式实施采购，同时，对于适宜由中小企业提供的采购项目，按要求预留份额专门面向中小企业采购。</w:t>
      </w:r>
      <w:r>
        <w:rPr>
          <w:rFonts w:hint="eastAsia" w:eastAsia="仿宋_GB2312" w:cs="仿宋_GB2312"/>
          <w:color w:val="auto"/>
          <w:kern w:val="2"/>
          <w:sz w:val="32"/>
          <w:szCs w:val="32"/>
          <w:highlight w:val="none"/>
          <w:lang w:val="en-US" w:eastAsia="zh-CN" w:bidi="ar-SA"/>
        </w:rPr>
        <w:t>2024年度，市社会建设事务中心政府采购支出总额276.56万元，其中：政府采购货物支出50.56万元、政府采购工程支出0万元、政府采购服务支出226万元。主要用于开展攀枝花共同富裕发展研究院文化打造采购项目、办公场所打造所需的货物和服务采购。</w:t>
      </w:r>
    </w:p>
    <w:p w14:paraId="6ED2651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r>
        <w:rPr>
          <w:rFonts w:hint="eastAsia" w:ascii="Times New Roman" w:hAnsi="Times New Roman" w:eastAsia="仿宋_GB2312" w:cs="仿宋_GB2312"/>
          <w:color w:val="auto"/>
          <w:kern w:val="2"/>
          <w:sz w:val="32"/>
          <w:szCs w:val="32"/>
          <w:highlight w:val="none"/>
          <w:lang w:val="en-US" w:eastAsia="zh-CN" w:bidi="ar-SA"/>
        </w:rPr>
        <w:t>攀枝花市社会建设事务中心部门预算项目支出绩效自评表，经梳理“持续服务共同富裕试验区建设、保障部门常规运转”等具备常年性特征的项目，2024年度常年项目核心信息如下：</w:t>
      </w:r>
    </w:p>
    <w:p w14:paraId="5546937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仿宋_GB2312" w:cs="仿宋_GB2312"/>
          <w:color w:val="auto"/>
          <w:kern w:val="2"/>
          <w:sz w:val="32"/>
          <w:szCs w:val="32"/>
          <w:highlight w:val="none"/>
          <w:lang w:val="en-US" w:eastAsia="zh-CN" w:bidi="ar-SA"/>
        </w:rPr>
        <w:t>常年项目绩效分析。</w:t>
      </w:r>
      <w:r>
        <w:rPr>
          <w:rFonts w:hint="default" w:ascii="Times New Roman" w:hAnsi="Times New Roman" w:eastAsia="仿宋_GB2312" w:cs="仿宋_GB2312"/>
          <w:color w:val="auto"/>
          <w:kern w:val="2"/>
          <w:sz w:val="32"/>
          <w:szCs w:val="32"/>
          <w:highlight w:val="none"/>
          <w:lang w:val="zh-CN" w:eastAsia="zh-CN" w:bidi="ar-SA"/>
        </w:rPr>
        <w:t>该类项目总数</w:t>
      </w:r>
      <w:r>
        <w:rPr>
          <w:rFonts w:hint="eastAsia" w:eastAsia="仿宋_GB2312" w:cs="仿宋_GB2312"/>
          <w:color w:val="auto"/>
          <w:kern w:val="2"/>
          <w:sz w:val="32"/>
          <w:szCs w:val="32"/>
          <w:highlight w:val="none"/>
          <w:lang w:val="en-US" w:eastAsia="zh-CN" w:bidi="ar-SA"/>
        </w:rPr>
        <w:t>3</w:t>
      </w:r>
      <w:r>
        <w:rPr>
          <w:rFonts w:hint="default" w:ascii="Times New Roman" w:hAnsi="Times New Roman" w:eastAsia="仿宋_GB2312" w:cs="仿宋_GB2312"/>
          <w:color w:val="auto"/>
          <w:kern w:val="2"/>
          <w:sz w:val="32"/>
          <w:szCs w:val="32"/>
          <w:highlight w:val="none"/>
          <w:lang w:val="zh-CN" w:eastAsia="zh-CN" w:bidi="ar-SA"/>
        </w:rPr>
        <w:t>个，涉及预算总金额</w:t>
      </w:r>
      <w:r>
        <w:rPr>
          <w:rFonts w:hint="eastAsia" w:eastAsia="仿宋_GB2312" w:cs="仿宋_GB2312"/>
          <w:color w:val="auto"/>
          <w:kern w:val="2"/>
          <w:sz w:val="32"/>
          <w:szCs w:val="32"/>
          <w:highlight w:val="none"/>
          <w:lang w:val="en-US" w:eastAsia="zh-CN" w:bidi="ar-SA"/>
        </w:rPr>
        <w:t>128.64</w:t>
      </w:r>
      <w:r>
        <w:rPr>
          <w:rFonts w:hint="default" w:ascii="Times New Roman" w:hAnsi="Times New Roman" w:eastAsia="仿宋_GB2312" w:cs="仿宋_GB2312"/>
          <w:color w:val="auto"/>
          <w:kern w:val="2"/>
          <w:sz w:val="32"/>
          <w:szCs w:val="32"/>
          <w:highlight w:val="none"/>
          <w:lang w:val="zh-CN" w:eastAsia="zh-CN" w:bidi="ar-SA"/>
        </w:rPr>
        <w:t>万元，1</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1</w:t>
      </w:r>
      <w:r>
        <w:rPr>
          <w:rFonts w:hint="default"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月预算执行总体进度为</w:t>
      </w:r>
      <w:r>
        <w:rPr>
          <w:rFonts w:hint="eastAsia" w:eastAsia="仿宋_GB2312" w:cs="仿宋_GB2312"/>
          <w:color w:val="auto"/>
          <w:kern w:val="2"/>
          <w:sz w:val="32"/>
          <w:szCs w:val="32"/>
          <w:highlight w:val="none"/>
          <w:lang w:val="en-US" w:eastAsia="zh-CN" w:bidi="ar-SA"/>
        </w:rPr>
        <w:t>57.63</w:t>
      </w:r>
      <w:r>
        <w:rPr>
          <w:rFonts w:hint="default" w:ascii="Times New Roman" w:hAnsi="Times New Roman" w:eastAsia="仿宋_GB2312" w:cs="仿宋_GB2312"/>
          <w:color w:val="auto"/>
          <w:kern w:val="2"/>
          <w:sz w:val="32"/>
          <w:szCs w:val="32"/>
          <w:highlight w:val="none"/>
          <w:lang w:val="zh-CN" w:eastAsia="zh-CN" w:bidi="ar-SA"/>
        </w:rPr>
        <w:t>%，其中：预算结余率大于</w:t>
      </w:r>
      <w:r>
        <w:rPr>
          <w:rFonts w:hint="default" w:ascii="Times New Roman" w:hAnsi="Times New Roman" w:eastAsia="仿宋_GB2312" w:cs="仿宋_GB2312"/>
          <w:color w:val="auto"/>
          <w:kern w:val="2"/>
          <w:sz w:val="32"/>
          <w:szCs w:val="32"/>
          <w:highlight w:val="none"/>
          <w:lang w:val="en-US" w:eastAsia="zh-CN" w:bidi="ar-SA"/>
        </w:rPr>
        <w:t>10%</w:t>
      </w:r>
      <w:r>
        <w:rPr>
          <w:rFonts w:hint="default" w:ascii="Times New Roman" w:hAnsi="Times New Roman" w:eastAsia="仿宋_GB2312" w:cs="仿宋_GB2312"/>
          <w:color w:val="auto"/>
          <w:kern w:val="2"/>
          <w:sz w:val="32"/>
          <w:szCs w:val="32"/>
          <w:highlight w:val="none"/>
          <w:lang w:val="zh-CN" w:eastAsia="zh-CN" w:bidi="ar-SA"/>
        </w:rPr>
        <w:t>的项目共计</w:t>
      </w:r>
      <w:r>
        <w:rPr>
          <w:rFonts w:hint="eastAsia" w:eastAsia="仿宋_GB2312" w:cs="仿宋_GB2312"/>
          <w:color w:val="auto"/>
          <w:kern w:val="2"/>
          <w:sz w:val="32"/>
          <w:szCs w:val="32"/>
          <w:highlight w:val="none"/>
          <w:lang w:val="en-US" w:eastAsia="zh-CN" w:bidi="ar-SA"/>
        </w:rPr>
        <w:t>3</w:t>
      </w:r>
      <w:r>
        <w:rPr>
          <w:rFonts w:hint="default" w:ascii="Times New Roman" w:hAnsi="Times New Roman" w:eastAsia="仿宋_GB2312" w:cs="仿宋_GB2312"/>
          <w:color w:val="auto"/>
          <w:kern w:val="2"/>
          <w:sz w:val="32"/>
          <w:szCs w:val="32"/>
          <w:highlight w:val="none"/>
          <w:lang w:val="zh-CN" w:eastAsia="zh-CN" w:bidi="ar-SA"/>
        </w:rPr>
        <w:t>个。</w:t>
      </w:r>
    </w:p>
    <w:p w14:paraId="3F56A842">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阶段</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US" w:eastAsia="zh-CN" w:bidi="ar-SA"/>
        </w:rPr>
        <w:t>一次性</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US" w:eastAsia="zh-CN" w:bidi="ar-SA"/>
        </w:rPr>
        <w:t>项目绩效分析。</w:t>
      </w:r>
      <w:r>
        <w:rPr>
          <w:rFonts w:hint="default" w:ascii="Times New Roman" w:hAnsi="Times New Roman" w:eastAsia="仿宋_GB2312" w:cs="仿宋_GB2312"/>
          <w:color w:val="auto"/>
          <w:kern w:val="2"/>
          <w:sz w:val="32"/>
          <w:szCs w:val="32"/>
          <w:highlight w:val="none"/>
          <w:lang w:val="zh-CN" w:eastAsia="zh-CN" w:bidi="ar-SA"/>
        </w:rPr>
        <w:t>该类项目总数</w:t>
      </w:r>
      <w:r>
        <w:rPr>
          <w:rFonts w:hint="eastAsia" w:eastAsia="仿宋_GB2312" w:cs="仿宋_GB2312"/>
          <w:color w:val="auto"/>
          <w:kern w:val="2"/>
          <w:sz w:val="32"/>
          <w:szCs w:val="32"/>
          <w:highlight w:val="none"/>
          <w:lang w:val="en-US" w:eastAsia="zh-CN" w:bidi="ar-SA"/>
        </w:rPr>
        <w:t>12</w:t>
      </w:r>
      <w:r>
        <w:rPr>
          <w:rFonts w:hint="default" w:ascii="Times New Roman" w:hAnsi="Times New Roman" w:eastAsia="仿宋_GB2312" w:cs="仿宋_GB2312"/>
          <w:color w:val="auto"/>
          <w:kern w:val="2"/>
          <w:sz w:val="32"/>
          <w:szCs w:val="32"/>
          <w:highlight w:val="none"/>
          <w:lang w:val="zh-CN" w:eastAsia="zh-CN" w:bidi="ar-SA"/>
        </w:rPr>
        <w:t>个，涉及预算总金额</w:t>
      </w:r>
      <w:r>
        <w:rPr>
          <w:rFonts w:hint="eastAsia" w:eastAsia="仿宋_GB2312" w:cs="仿宋_GB2312"/>
          <w:color w:val="auto"/>
          <w:kern w:val="2"/>
          <w:sz w:val="32"/>
          <w:szCs w:val="32"/>
          <w:highlight w:val="none"/>
          <w:lang w:val="en-US" w:eastAsia="zh-CN" w:bidi="ar-SA"/>
        </w:rPr>
        <w:t>700</w:t>
      </w:r>
      <w:r>
        <w:rPr>
          <w:rFonts w:hint="default" w:ascii="Times New Roman" w:hAnsi="Times New Roman" w:eastAsia="仿宋_GB2312" w:cs="仿宋_GB2312"/>
          <w:color w:val="auto"/>
          <w:kern w:val="2"/>
          <w:sz w:val="32"/>
          <w:szCs w:val="32"/>
          <w:highlight w:val="none"/>
          <w:lang w:val="zh-CN" w:eastAsia="zh-CN" w:bidi="ar-SA"/>
        </w:rPr>
        <w:t>万元，1</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1</w:t>
      </w:r>
      <w:r>
        <w:rPr>
          <w:rFonts w:hint="default"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月预算执行总体进度为</w:t>
      </w:r>
      <w:r>
        <w:rPr>
          <w:rFonts w:hint="eastAsia"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%，其中：预算结余率大于</w:t>
      </w:r>
      <w:r>
        <w:rPr>
          <w:rFonts w:hint="default" w:ascii="Times New Roman" w:hAnsi="Times New Roman" w:eastAsia="仿宋_GB2312" w:cs="仿宋_GB2312"/>
          <w:color w:val="auto"/>
          <w:kern w:val="2"/>
          <w:sz w:val="32"/>
          <w:szCs w:val="32"/>
          <w:highlight w:val="none"/>
          <w:lang w:val="en-US" w:eastAsia="zh-CN" w:bidi="ar-SA"/>
        </w:rPr>
        <w:t>10%</w:t>
      </w:r>
      <w:r>
        <w:rPr>
          <w:rFonts w:hint="default" w:ascii="Times New Roman" w:hAnsi="Times New Roman" w:eastAsia="仿宋_GB2312" w:cs="仿宋_GB2312"/>
          <w:color w:val="auto"/>
          <w:kern w:val="2"/>
          <w:sz w:val="32"/>
          <w:szCs w:val="32"/>
          <w:highlight w:val="none"/>
          <w:lang w:val="zh-CN" w:eastAsia="zh-CN" w:bidi="ar-SA"/>
        </w:rPr>
        <w:t>的项目共计</w:t>
      </w:r>
      <w:r>
        <w:rPr>
          <w:rFonts w:hint="eastAsia"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个。</w:t>
      </w:r>
      <w:r>
        <w:rPr>
          <w:rFonts w:hint="eastAsia" w:eastAsia="仿宋_GB2312" w:cs="仿宋_GB2312"/>
          <w:color w:val="auto"/>
          <w:kern w:val="2"/>
          <w:sz w:val="32"/>
          <w:szCs w:val="32"/>
          <w:highlight w:val="none"/>
          <w:lang w:val="zh-CN" w:eastAsia="zh-CN" w:bidi="ar-SA"/>
        </w:rPr>
        <w:t>主要为政府采购项目，截至</w:t>
      </w:r>
      <w:r>
        <w:rPr>
          <w:rFonts w:hint="eastAsia" w:eastAsia="仿宋_GB2312" w:cs="仿宋_GB2312"/>
          <w:color w:val="auto"/>
          <w:kern w:val="2"/>
          <w:sz w:val="32"/>
          <w:szCs w:val="32"/>
          <w:highlight w:val="none"/>
          <w:lang w:val="en-US" w:eastAsia="zh-CN" w:bidi="ar-SA"/>
        </w:rPr>
        <w:t>2024年12月31日，暂未达支付条件。</w:t>
      </w:r>
    </w:p>
    <w:p w14:paraId="49ED680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项目决</w:t>
      </w:r>
      <w:r>
        <w:rPr>
          <w:rFonts w:hint="eastAsia" w:eastAsia="仿宋_GB2312" w:cs="仿宋_GB2312"/>
          <w:color w:val="auto"/>
          <w:kern w:val="2"/>
          <w:sz w:val="32"/>
          <w:szCs w:val="32"/>
          <w:highlight w:val="none"/>
          <w:lang w:val="zh-CN" w:eastAsia="zh-CN" w:bidi="ar-SA"/>
        </w:rPr>
        <w:t>策。</w:t>
      </w:r>
      <w:r>
        <w:rPr>
          <w:rFonts w:hint="eastAsia" w:ascii="Times New Roman" w:hAnsi="Times New Roman" w:eastAsia="仿宋_GB2312" w:cs="仿宋_GB2312"/>
          <w:color w:val="auto"/>
          <w:kern w:val="2"/>
          <w:sz w:val="32"/>
          <w:szCs w:val="32"/>
          <w:highlight w:val="none"/>
          <w:lang w:val="zh-CN" w:eastAsia="zh-CN" w:bidi="ar-SA"/>
        </w:rPr>
        <w:t>纳入年初预算编制的项目均按要求向室务会作了报告。绩效目标设置整体较为科学合理。预算项目均在规定时间完成了入库。</w:t>
      </w:r>
    </w:p>
    <w:p w14:paraId="638CD78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2.项目执行。预算项目实际列支内容与绩效目标设置方向相符。202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zh-CN" w:eastAsia="zh-CN" w:bidi="ar-SA"/>
        </w:rPr>
        <w:t>年，</w:t>
      </w:r>
      <w:r>
        <w:rPr>
          <w:rFonts w:hint="eastAsia" w:eastAsia="仿宋_GB2312" w:cs="仿宋_GB2312"/>
          <w:color w:val="auto"/>
          <w:kern w:val="2"/>
          <w:sz w:val="32"/>
          <w:szCs w:val="32"/>
          <w:highlight w:val="none"/>
          <w:lang w:val="zh-CN" w:eastAsia="zh-CN" w:bidi="ar-SA"/>
        </w:rPr>
        <w:t>市社会建设事务中心</w:t>
      </w:r>
      <w:r>
        <w:rPr>
          <w:rFonts w:hint="eastAsia" w:ascii="Times New Roman" w:hAnsi="Times New Roman" w:eastAsia="仿宋_GB2312" w:cs="仿宋_GB2312"/>
          <w:color w:val="auto"/>
          <w:kern w:val="2"/>
          <w:sz w:val="32"/>
          <w:szCs w:val="32"/>
          <w:highlight w:val="none"/>
          <w:lang w:val="zh-CN" w:eastAsia="zh-CN" w:bidi="ar-SA"/>
        </w:rPr>
        <w:t>财政拨款结转结余</w:t>
      </w:r>
      <w:r>
        <w:rPr>
          <w:rFonts w:hint="eastAsia" w:eastAsia="仿宋_GB2312" w:cs="仿宋_GB2312"/>
          <w:color w:val="auto"/>
          <w:kern w:val="2"/>
          <w:sz w:val="32"/>
          <w:szCs w:val="32"/>
          <w:highlight w:val="none"/>
          <w:lang w:val="en-US" w:eastAsia="zh-CN" w:bidi="ar-SA"/>
        </w:rPr>
        <w:t>276.56万元，均为政府采购资金</w:t>
      </w:r>
      <w:r>
        <w:rPr>
          <w:rFonts w:hint="eastAsia" w:ascii="Times New Roman" w:hAnsi="Times New Roman" w:eastAsia="仿宋_GB2312" w:cs="仿宋_GB2312"/>
          <w:color w:val="auto"/>
          <w:kern w:val="2"/>
          <w:sz w:val="32"/>
          <w:szCs w:val="32"/>
          <w:highlight w:val="none"/>
          <w:lang w:val="zh-CN" w:eastAsia="zh-CN" w:bidi="ar-SA"/>
        </w:rPr>
        <w:t>。</w:t>
      </w:r>
    </w:p>
    <w:p w14:paraId="300F827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3.目标实现。均按计划完成了当年的目标任务，资金执行率为100%。“共同富裕试验区建设工作推进费用”支持打造10个共富基本</w:t>
      </w:r>
      <w:r>
        <w:rPr>
          <w:rFonts w:hint="eastAsia" w:eastAsia="仿宋_GB2312" w:cs="仿宋_GB2312"/>
          <w:color w:val="auto"/>
          <w:kern w:val="2"/>
          <w:sz w:val="32"/>
          <w:szCs w:val="32"/>
          <w:highlight w:val="none"/>
          <w:lang w:val="zh-CN" w:eastAsia="zh-CN" w:bidi="ar-SA"/>
        </w:rPr>
        <w:t>单元</w:t>
      </w:r>
      <w:r>
        <w:rPr>
          <w:rFonts w:hint="eastAsia" w:ascii="Times New Roman" w:hAnsi="Times New Roman" w:eastAsia="仿宋_GB2312" w:cs="仿宋_GB2312"/>
          <w:color w:val="auto"/>
          <w:kern w:val="2"/>
          <w:sz w:val="32"/>
          <w:szCs w:val="32"/>
          <w:highlight w:val="none"/>
          <w:lang w:val="zh-CN" w:eastAsia="zh-CN" w:bidi="ar-SA"/>
        </w:rPr>
        <w:t>，惠及群众超2万人；推动8个工作专班落地工业化、数字化项目12个，为试验区经济发展提供动力</w:t>
      </w:r>
      <w:r>
        <w:rPr>
          <w:rFonts w:hint="eastAsia" w:eastAsia="仿宋_GB2312" w:cs="仿宋_GB2312"/>
          <w:color w:val="auto"/>
          <w:kern w:val="2"/>
          <w:sz w:val="32"/>
          <w:szCs w:val="32"/>
          <w:highlight w:val="none"/>
          <w:lang w:val="zh-CN" w:eastAsia="zh-CN" w:bidi="ar-SA"/>
        </w:rPr>
        <w:t>。</w:t>
      </w:r>
    </w:p>
    <w:p w14:paraId="4E0E34DA">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sz w:val="32"/>
          <w:szCs w:val="32"/>
          <w:highlight w:val="none"/>
          <w:u w:val="none"/>
          <w:lang w:bidi="ar"/>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eastAsia="楷体_GB2312" w:cs="Times New Roman"/>
          <w:b/>
          <w:bCs/>
          <w:color w:val="000000"/>
          <w:kern w:val="0"/>
          <w:sz w:val="32"/>
          <w:szCs w:val="32"/>
          <w:highlight w:val="none"/>
          <w:shd w:val="clear" w:color="auto" w:fill="FFFFFF"/>
          <w:lang w:val="en-US" w:eastAsia="zh-CN"/>
        </w:rPr>
        <w:t>三</w:t>
      </w: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ascii="Times New Roman" w:hAnsi="Times New Roman" w:eastAsia="仿宋_GB2312" w:cs="Times New Roman"/>
          <w:sz w:val="32"/>
          <w:szCs w:val="32"/>
          <w:highlight w:val="none"/>
          <w:u w:val="none"/>
          <w:lang w:val="zh-CN" w:eastAsia="zh-CN" w:bidi="ar"/>
        </w:rPr>
        <w:t>围绕内部应用情况、</w:t>
      </w:r>
      <w:r>
        <w:rPr>
          <w:rFonts w:hint="default" w:ascii="Times New Roman" w:hAnsi="Times New Roman" w:eastAsia="仿宋_GB2312" w:cs="Times New Roman"/>
          <w:sz w:val="32"/>
          <w:szCs w:val="32"/>
          <w:highlight w:val="none"/>
          <w:u w:val="none"/>
          <w:lang w:val="zh-CN" w:eastAsia="zh-CN" w:bidi="ar"/>
        </w:rPr>
        <w:t>信息公开情况</w:t>
      </w:r>
      <w:r>
        <w:rPr>
          <w:rFonts w:hint="eastAsia" w:ascii="Times New Roman" w:hAnsi="Times New Roman" w:eastAsia="仿宋_GB2312" w:cs="Times New Roman"/>
          <w:sz w:val="32"/>
          <w:szCs w:val="32"/>
          <w:highlight w:val="none"/>
          <w:u w:val="none"/>
          <w:lang w:val="zh-CN" w:eastAsia="zh-CN" w:bidi="ar"/>
        </w:rPr>
        <w:t>、</w:t>
      </w:r>
      <w:r>
        <w:rPr>
          <w:rFonts w:hint="default" w:ascii="Times New Roman" w:hAnsi="Times New Roman" w:eastAsia="仿宋_GB2312" w:cs="Times New Roman"/>
          <w:sz w:val="32"/>
          <w:szCs w:val="32"/>
          <w:highlight w:val="none"/>
          <w:u w:val="none"/>
          <w:lang w:val="zh-CN" w:eastAsia="zh-CN" w:bidi="ar"/>
        </w:rPr>
        <w:t>整改反馈情况</w:t>
      </w:r>
      <w:r>
        <w:rPr>
          <w:rFonts w:hint="eastAsia" w:ascii="Times New Roman" w:hAnsi="Times New Roman" w:eastAsia="仿宋_GB2312" w:cs="Times New Roman"/>
          <w:sz w:val="32"/>
          <w:szCs w:val="32"/>
          <w:highlight w:val="none"/>
          <w:u w:val="none"/>
          <w:lang w:val="zh-CN" w:eastAsia="zh-CN" w:bidi="ar"/>
        </w:rPr>
        <w:t>进行分析。结合攀枝花市社会建设事务中心15个预算项目（3个常年项目、12个阶段项目）的绩效自评数据及管理流程，从内部应用、信息公开、整改反馈三个核心维度，系统梳理绩效结果应用现状，识别存在的短板并提出优化路径，推动绩效结果与预算管理、项目管控深度融合。</w:t>
      </w:r>
    </w:p>
    <w:p w14:paraId="7CEA1EC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p>
    <w:p w14:paraId="7435492D">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sz w:val="32"/>
          <w:szCs w:val="32"/>
          <w:u w:val="none"/>
          <w:lang w:val="en-US"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r>
        <w:rPr>
          <w:rFonts w:hint="eastAsia" w:ascii="Times New Roman" w:hAnsi="Times New Roman" w:eastAsia="仿宋_GB2312" w:cs="Times New Roman"/>
          <w:sz w:val="32"/>
          <w:szCs w:val="32"/>
          <w:u w:val="none"/>
          <w:lang w:val="en-US" w:eastAsia="zh-CN" w:bidi="ar"/>
        </w:rPr>
        <w:t>从自评情况看，市社会建设事务中心预决算编制较为合理、绩效目标设置较为科学，支出总体绩效良好。根据《市级部门整体支出绩效自评表》确定的评分标准，20234年市社会建设事务中心部门整体支出绩效评价得分为94.5分。</w:t>
      </w:r>
    </w:p>
    <w:p w14:paraId="2A532F3E">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仿宋_GB2312" w:cs="Times New Roman"/>
          <w:sz w:val="32"/>
          <w:szCs w:val="32"/>
          <w:u w:val="none"/>
          <w:lang w:val="en-US"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r>
        <w:rPr>
          <w:rFonts w:hint="eastAsia" w:ascii="Times New Roman" w:hAnsi="Times New Roman" w:eastAsia="仿宋_GB2312" w:cs="Times New Roman"/>
          <w:sz w:val="32"/>
          <w:szCs w:val="32"/>
          <w:u w:val="none"/>
          <w:lang w:val="en-US" w:eastAsia="zh-CN" w:bidi="ar"/>
        </w:rPr>
        <w:t>预算编制的精准性有所欠缺，除财政预留追加下达造成年初预算批复数与实际执行偏离外，因单位未能在年初预算编制时对项目支出需要进行充分预计使得年度执行中追加了部分经费。</w:t>
      </w:r>
    </w:p>
    <w:p w14:paraId="279B8AF5">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仿宋_GB2312" w:cs="Times New Roman"/>
          <w:kern w:val="2"/>
          <w:sz w:val="32"/>
          <w:szCs w:val="32"/>
          <w:u w:val="none"/>
          <w:lang w:val="zh-CN"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r>
        <w:rPr>
          <w:rFonts w:hint="eastAsia" w:ascii="Times New Roman" w:hAnsi="Times New Roman" w:eastAsia="仿宋_GB2312" w:cs="Times New Roman"/>
          <w:sz w:val="32"/>
          <w:szCs w:val="32"/>
          <w:u w:val="none"/>
          <w:lang w:val="en-US" w:eastAsia="zh-CN" w:bidi="ar"/>
        </w:rPr>
        <w:t>进一步强化预算管理，加强系统谋划，统筹好当前和长远，将工作计划与预算编制有机结合，切实增强预算编制的前瞻性、科学性和准确定。</w:t>
      </w:r>
    </w:p>
    <w:p w14:paraId="228AC97B">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p>
    <w:p w14:paraId="709E9AEC">
      <w:pPr>
        <w:pStyle w:val="2"/>
        <w:rPr>
          <w:rFonts w:hint="eastAsia" w:ascii="Times New Roman" w:hAnsi="Times New Roman" w:eastAsia="黑体" w:cs="黑体"/>
          <w:color w:val="auto"/>
          <w:kern w:val="0"/>
          <w:sz w:val="32"/>
          <w:szCs w:val="32"/>
          <w:highlight w:val="none"/>
          <w:shd w:val="clear" w:color="auto" w:fill="FFFFFF"/>
          <w:lang w:val="zh-CN"/>
        </w:rPr>
      </w:pPr>
    </w:p>
    <w:p w14:paraId="17AA426A">
      <w:pPr>
        <w:pStyle w:val="2"/>
        <w:rPr>
          <w:rFonts w:hint="eastAsia" w:ascii="Times New Roman" w:hAnsi="Times New Roman" w:eastAsia="黑体" w:cs="黑体"/>
          <w:color w:val="auto"/>
          <w:kern w:val="0"/>
          <w:sz w:val="32"/>
          <w:szCs w:val="32"/>
          <w:highlight w:val="none"/>
          <w:shd w:val="clear" w:color="auto" w:fill="FFFFFF"/>
          <w:lang w:val="zh-CN"/>
        </w:rPr>
      </w:pPr>
    </w:p>
    <w:p w14:paraId="53C52A48">
      <w:pPr>
        <w:pStyle w:val="2"/>
        <w:rPr>
          <w:rFonts w:hint="eastAsia" w:ascii="Times New Roman" w:hAnsi="Times New Roman" w:eastAsia="黑体" w:cs="黑体"/>
          <w:color w:val="auto"/>
          <w:kern w:val="0"/>
          <w:sz w:val="32"/>
          <w:szCs w:val="32"/>
          <w:highlight w:val="none"/>
          <w:shd w:val="clear" w:color="auto" w:fill="FFFFFF"/>
          <w:lang w:val="zh-CN"/>
        </w:rPr>
      </w:pPr>
    </w:p>
    <w:p w14:paraId="18A1A727">
      <w:pPr>
        <w:pStyle w:val="2"/>
        <w:rPr>
          <w:rFonts w:hint="eastAsia" w:ascii="Times New Roman" w:hAnsi="Times New Roman" w:eastAsia="黑体" w:cs="黑体"/>
          <w:color w:val="auto"/>
          <w:kern w:val="0"/>
          <w:sz w:val="32"/>
          <w:szCs w:val="32"/>
          <w:highlight w:val="none"/>
          <w:shd w:val="clear" w:color="auto" w:fill="FFFFFF"/>
          <w:lang w:val="zh-CN"/>
        </w:rPr>
      </w:pPr>
    </w:p>
    <w:p w14:paraId="206C6078">
      <w:pPr>
        <w:pStyle w:val="2"/>
        <w:rPr>
          <w:rFonts w:hint="eastAsia" w:ascii="Times New Roman" w:hAnsi="Times New Roman" w:eastAsia="黑体" w:cs="黑体"/>
          <w:color w:val="auto"/>
          <w:kern w:val="0"/>
          <w:sz w:val="32"/>
          <w:szCs w:val="32"/>
          <w:highlight w:val="none"/>
          <w:shd w:val="clear" w:color="auto" w:fill="FFFFFF"/>
          <w:lang w:val="zh-CN"/>
        </w:rPr>
      </w:pPr>
    </w:p>
    <w:p w14:paraId="12B26665">
      <w:pPr>
        <w:pStyle w:val="2"/>
        <w:rPr>
          <w:rFonts w:hint="eastAsia" w:ascii="Times New Roman" w:hAnsi="Times New Roman" w:eastAsia="黑体" w:cs="黑体"/>
          <w:color w:val="auto"/>
          <w:kern w:val="0"/>
          <w:sz w:val="32"/>
          <w:szCs w:val="32"/>
          <w:highlight w:val="none"/>
          <w:shd w:val="clear" w:color="auto" w:fill="FFFFFF"/>
          <w:lang w:val="zh-CN"/>
        </w:rPr>
      </w:pPr>
    </w:p>
    <w:p w14:paraId="76857A4B">
      <w:pPr>
        <w:pStyle w:val="2"/>
        <w:rPr>
          <w:rFonts w:hint="eastAsia" w:ascii="Times New Roman" w:hAnsi="Times New Roman" w:eastAsia="黑体" w:cs="黑体"/>
          <w:color w:val="auto"/>
          <w:kern w:val="0"/>
          <w:sz w:val="32"/>
          <w:szCs w:val="32"/>
          <w:highlight w:val="none"/>
          <w:shd w:val="clear" w:color="auto" w:fill="FFFFFF"/>
          <w:lang w:val="zh-CN"/>
        </w:rPr>
      </w:pPr>
    </w:p>
    <w:p w14:paraId="1CBA5470">
      <w:pPr>
        <w:pStyle w:val="2"/>
        <w:rPr>
          <w:rFonts w:hint="eastAsia" w:ascii="Times New Roman" w:hAnsi="Times New Roman" w:eastAsia="黑体" w:cs="黑体"/>
          <w:color w:val="auto"/>
          <w:kern w:val="0"/>
          <w:sz w:val="32"/>
          <w:szCs w:val="32"/>
          <w:highlight w:val="none"/>
          <w:shd w:val="clear" w:color="auto" w:fill="FFFFFF"/>
          <w:lang w:val="zh-CN"/>
        </w:rPr>
      </w:pPr>
    </w:p>
    <w:p w14:paraId="054EAEDC">
      <w:pPr>
        <w:pStyle w:val="2"/>
        <w:rPr>
          <w:rFonts w:hint="eastAsia" w:ascii="Times New Roman" w:hAnsi="Times New Roman" w:eastAsia="黑体" w:cs="黑体"/>
          <w:color w:val="auto"/>
          <w:kern w:val="0"/>
          <w:sz w:val="32"/>
          <w:szCs w:val="32"/>
          <w:highlight w:val="none"/>
          <w:shd w:val="clear" w:color="auto" w:fill="FFFFFF"/>
          <w:lang w:val="zh-CN"/>
        </w:rPr>
      </w:pPr>
    </w:p>
    <w:p w14:paraId="3381CEE6">
      <w:pPr>
        <w:pStyle w:val="2"/>
        <w:rPr>
          <w:rFonts w:hint="eastAsia" w:ascii="Times New Roman" w:hAnsi="Times New Roman" w:eastAsia="黑体" w:cs="黑体"/>
          <w:color w:val="auto"/>
          <w:kern w:val="0"/>
          <w:sz w:val="32"/>
          <w:szCs w:val="32"/>
          <w:highlight w:val="none"/>
          <w:shd w:val="clear" w:color="auto" w:fill="FFFFFF"/>
          <w:lang w:val="zh-CN"/>
        </w:rPr>
      </w:pPr>
    </w:p>
    <w:p w14:paraId="053BDDC0">
      <w:pPr>
        <w:pStyle w:val="2"/>
        <w:rPr>
          <w:rFonts w:hint="eastAsia" w:ascii="Times New Roman" w:hAnsi="Times New Roman" w:eastAsia="黑体" w:cs="黑体"/>
          <w:color w:val="auto"/>
          <w:kern w:val="0"/>
          <w:sz w:val="32"/>
          <w:szCs w:val="32"/>
          <w:highlight w:val="none"/>
          <w:shd w:val="clear" w:color="auto" w:fill="FFFFFF"/>
          <w:lang w:val="zh-CN"/>
        </w:rPr>
      </w:pPr>
    </w:p>
    <w:p w14:paraId="1B40A96C">
      <w:pPr>
        <w:pStyle w:val="2"/>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14:paraId="6F6428C4">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14:paraId="74C6AF82">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14:paraId="1D0E5197">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ascii="Times New Roman" w:hAnsi="Times New Roman" w:eastAsia="仿宋_GB2312" w:cs="Times New Roman"/>
          <w:sz w:val="32"/>
          <w:szCs w:val="32"/>
          <w:highlight w:val="none"/>
          <w:shd w:val="clear" w:color="auto" w:fill="FFFFFF"/>
          <w:lang w:val="en-US" w:eastAsia="zh-CN"/>
        </w:rPr>
      </w:pPr>
      <w:r>
        <w:rPr>
          <w:rFonts w:hint="eastAsia" w:ascii="Times New Roman" w:hAnsi="Times New Roman" w:eastAsia="仿宋_GB2312" w:cs="Times New Roman"/>
          <w:sz w:val="32"/>
          <w:szCs w:val="32"/>
          <w:highlight w:val="none"/>
          <w:shd w:val="clear" w:color="auto" w:fill="FFFFFF"/>
          <w:lang w:val="en-US" w:eastAsia="zh-CN"/>
        </w:rPr>
        <w:t>（</w:t>
      </w:r>
      <w:r>
        <w:rPr>
          <w:rFonts w:hint="eastAsia" w:eastAsia="仿宋_GB2312" w:cs="Times New Roman"/>
          <w:sz w:val="32"/>
          <w:szCs w:val="32"/>
          <w:highlight w:val="none"/>
          <w:shd w:val="clear" w:color="auto" w:fill="FFFFFF"/>
          <w:lang w:val="en-US" w:eastAsia="zh-CN"/>
        </w:rPr>
        <w:t>本部门不涉及此类项目</w:t>
      </w:r>
      <w:r>
        <w:rPr>
          <w:rFonts w:hint="eastAsia" w:ascii="Times New Roman" w:hAnsi="Times New Roman" w:eastAsia="仿宋_GB2312" w:cs="Times New Roman"/>
          <w:sz w:val="32"/>
          <w:szCs w:val="32"/>
          <w:highlight w:val="none"/>
          <w:shd w:val="clear" w:color="auto" w:fill="FFFFFF"/>
          <w:lang w:val="en-US" w:eastAsia="zh-CN"/>
        </w:rPr>
        <w:t>）</w:t>
      </w:r>
    </w:p>
    <w:p w14:paraId="42669276">
      <w:pPr>
        <w:pStyle w:val="3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Times New Roman" w:hAnsi="Times New Roman"/>
          <w:color w:val="auto"/>
          <w:kern w:val="2"/>
          <w:sz w:val="32"/>
          <w:szCs w:val="32"/>
          <w:highlight w:val="none"/>
        </w:rPr>
      </w:pPr>
    </w:p>
    <w:p w14:paraId="4F2275B3">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50" w:name="_Toc15396618"/>
    </w:p>
    <w:p w14:paraId="494F9525">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5291E304">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2C6724F5">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5555FDA4">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6EA9E8DE">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07E7D50A">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4F9C2809">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0B2B4414">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0AF43D3A">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626BA0E3">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00D255D3">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5B32C70F">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2B629626">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26226699">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495B9FA5">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48"/>
      <w:bookmarkEnd w:id="50"/>
      <w:bookmarkStart w:id="51" w:name="_Toc15396619"/>
    </w:p>
    <w:p w14:paraId="5B6BA57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766CDB4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1"/>
    </w:p>
    <w:p w14:paraId="05366D54">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2" w:name="_Toc15396620"/>
      <w:r>
        <w:rPr>
          <w:rFonts w:hint="eastAsia" w:ascii="Times New Roman" w:hAnsi="Times New Roman" w:eastAsia="仿宋_GB2312" w:cs="仿宋_GB2312"/>
          <w:color w:val="auto"/>
          <w:sz w:val="32"/>
          <w:szCs w:val="32"/>
          <w:highlight w:val="none"/>
        </w:rPr>
        <w:t>二、收入决算表</w:t>
      </w:r>
      <w:bookmarkEnd w:id="52"/>
    </w:p>
    <w:p w14:paraId="373A23B9">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3" w:name="_Toc15396621"/>
      <w:r>
        <w:rPr>
          <w:rFonts w:hint="eastAsia" w:ascii="Times New Roman" w:hAnsi="Times New Roman" w:eastAsia="仿宋_GB2312" w:cs="仿宋_GB2312"/>
          <w:color w:val="auto"/>
          <w:sz w:val="32"/>
          <w:szCs w:val="32"/>
          <w:highlight w:val="none"/>
        </w:rPr>
        <w:t>三、支出决算表</w:t>
      </w:r>
      <w:bookmarkEnd w:id="53"/>
    </w:p>
    <w:p w14:paraId="31F9CA09">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2"/>
      <w:r>
        <w:rPr>
          <w:rFonts w:hint="eastAsia" w:ascii="Times New Roman" w:hAnsi="Times New Roman" w:eastAsia="仿宋_GB2312" w:cs="仿宋_GB2312"/>
          <w:color w:val="auto"/>
          <w:sz w:val="32"/>
          <w:szCs w:val="32"/>
          <w:highlight w:val="none"/>
        </w:rPr>
        <w:t>四、财政拨款收入支出决算总表</w:t>
      </w:r>
      <w:bookmarkEnd w:id="54"/>
    </w:p>
    <w:p w14:paraId="2E0731A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3"/>
      <w:r>
        <w:rPr>
          <w:rFonts w:hint="eastAsia" w:ascii="Times New Roman" w:hAnsi="Times New Roman" w:eastAsia="仿宋_GB2312" w:cs="仿宋_GB2312"/>
          <w:color w:val="auto"/>
          <w:sz w:val="32"/>
          <w:szCs w:val="32"/>
          <w:highlight w:val="none"/>
        </w:rPr>
        <w:t>五、财政拨款支出决算明细表</w:t>
      </w:r>
      <w:bookmarkEnd w:id="55"/>
      <w:bookmarkStart w:id="56" w:name="_Toc15396624"/>
    </w:p>
    <w:p w14:paraId="2836D1EC">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6"/>
    </w:p>
    <w:p w14:paraId="026AD50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5"/>
      <w:r>
        <w:rPr>
          <w:rFonts w:hint="eastAsia" w:ascii="Times New Roman" w:hAnsi="Times New Roman" w:eastAsia="仿宋_GB2312" w:cs="仿宋_GB2312"/>
          <w:color w:val="auto"/>
          <w:sz w:val="32"/>
          <w:szCs w:val="32"/>
          <w:highlight w:val="none"/>
        </w:rPr>
        <w:t>七、一般公共预算财政拨款支出决算明细表</w:t>
      </w:r>
      <w:bookmarkEnd w:id="57"/>
    </w:p>
    <w:p w14:paraId="1DA02AE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6"/>
      <w:r>
        <w:rPr>
          <w:rFonts w:hint="eastAsia" w:ascii="Times New Roman" w:hAnsi="Times New Roman" w:eastAsia="仿宋_GB2312" w:cs="仿宋_GB2312"/>
          <w:color w:val="auto"/>
          <w:sz w:val="32"/>
          <w:szCs w:val="32"/>
          <w:highlight w:val="none"/>
        </w:rPr>
        <w:t>八、一般公共预算财政拨款基本支出决算表</w:t>
      </w:r>
      <w:bookmarkEnd w:id="58"/>
    </w:p>
    <w:p w14:paraId="3B96E55A">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7"/>
      <w:r>
        <w:rPr>
          <w:rFonts w:hint="eastAsia" w:ascii="Times New Roman" w:hAnsi="Times New Roman" w:eastAsia="仿宋_GB2312" w:cs="仿宋_GB2312"/>
          <w:color w:val="auto"/>
          <w:sz w:val="32"/>
          <w:szCs w:val="32"/>
          <w:highlight w:val="none"/>
        </w:rPr>
        <w:t>九、一般公共预算财政拨款项目支出决算表</w:t>
      </w:r>
      <w:bookmarkEnd w:id="59"/>
    </w:p>
    <w:p w14:paraId="45D0DEB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8"/>
      <w:r>
        <w:rPr>
          <w:rFonts w:hint="eastAsia" w:ascii="Times New Roman" w:hAnsi="Times New Roman" w:eastAsia="仿宋_GB2312" w:cs="仿宋_GB2312"/>
          <w:color w:val="auto"/>
          <w:sz w:val="32"/>
          <w:szCs w:val="32"/>
          <w:highlight w:val="none"/>
        </w:rPr>
        <w:t>十、</w:t>
      </w:r>
      <w:bookmarkEnd w:id="60"/>
      <w:r>
        <w:rPr>
          <w:rFonts w:hint="eastAsia" w:ascii="Times New Roman" w:hAnsi="Times New Roman" w:eastAsia="仿宋_GB2312" w:cs="仿宋_GB2312"/>
          <w:color w:val="auto"/>
          <w:sz w:val="32"/>
          <w:szCs w:val="32"/>
          <w:highlight w:val="none"/>
        </w:rPr>
        <w:t>政府性基金预算财政拨款收入支出决算表</w:t>
      </w:r>
    </w:p>
    <w:p w14:paraId="31AC873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9"/>
      <w:r>
        <w:rPr>
          <w:rFonts w:hint="eastAsia" w:ascii="Times New Roman" w:hAnsi="Times New Roman" w:eastAsia="仿宋_GB2312" w:cs="仿宋_GB2312"/>
          <w:color w:val="auto"/>
          <w:sz w:val="32"/>
          <w:szCs w:val="32"/>
          <w:highlight w:val="none"/>
        </w:rPr>
        <w:t>十一、</w:t>
      </w:r>
      <w:bookmarkEnd w:id="61"/>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604ADB0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30"/>
      <w:r>
        <w:rPr>
          <w:rFonts w:hint="eastAsia" w:ascii="Times New Roman" w:hAnsi="Times New Roman" w:eastAsia="仿宋_GB2312" w:cs="仿宋_GB2312"/>
          <w:color w:val="auto"/>
          <w:sz w:val="32"/>
          <w:szCs w:val="32"/>
          <w:highlight w:val="none"/>
        </w:rPr>
        <w:t>十二、</w:t>
      </w:r>
      <w:bookmarkEnd w:id="62"/>
      <w:r>
        <w:rPr>
          <w:rFonts w:hint="eastAsia" w:ascii="Times New Roman" w:hAnsi="Times New Roman" w:eastAsia="仿宋_GB2312" w:cs="仿宋_GB2312"/>
          <w:color w:val="auto"/>
          <w:sz w:val="32"/>
          <w:szCs w:val="32"/>
          <w:highlight w:val="none"/>
          <w:lang w:eastAsia="zh-CN"/>
        </w:rPr>
        <w:t>国有资本经营预算财政拨款支出决算表</w:t>
      </w:r>
    </w:p>
    <w:p w14:paraId="3259FC3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3" w:name="_Toc15396631"/>
      <w:r>
        <w:rPr>
          <w:rFonts w:hint="eastAsia" w:ascii="Times New Roman" w:hAnsi="Times New Roman" w:eastAsia="仿宋_GB2312" w:cs="仿宋_GB2312"/>
          <w:color w:val="auto"/>
          <w:sz w:val="32"/>
          <w:szCs w:val="32"/>
          <w:highlight w:val="none"/>
        </w:rPr>
        <w:t>十三、</w:t>
      </w:r>
      <w:bookmarkEnd w:id="63"/>
      <w:r>
        <w:rPr>
          <w:rFonts w:hint="eastAsia" w:ascii="Times New Roman" w:hAnsi="Times New Roman" w:eastAsia="仿宋_GB2312" w:cs="仿宋_GB2312"/>
          <w:color w:val="auto"/>
          <w:sz w:val="32"/>
          <w:szCs w:val="32"/>
          <w:highlight w:val="none"/>
          <w:lang w:eastAsia="zh-CN"/>
        </w:rPr>
        <w:t>财政拨款“三公”经费支出决算表</w:t>
      </w:r>
    </w:p>
    <w:p w14:paraId="50682E21">
      <w:pPr>
        <w:rPr>
          <w:rFonts w:hint="eastAsia" w:ascii="Times New Roman" w:hAnsi="Times New Roman"/>
          <w:lang w:eastAsia="zh-CN"/>
        </w:rPr>
      </w:pPr>
    </w:p>
    <w:sectPr>
      <w:footerReference r:id="rId8" w:type="first"/>
      <w:footerReference r:id="rId7"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Directive Four">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D999F">
    <w:pPr>
      <w:pStyle w:val="11"/>
      <w:jc w:val="center"/>
    </w:pPr>
  </w:p>
  <w:p w14:paraId="2030B23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1D95">
    <w:pPr>
      <w:pStyle w:val="11"/>
      <w:jc w:val="center"/>
    </w:pPr>
  </w:p>
  <w:p w14:paraId="49641DF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7622">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55F4">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2044065</wp:posOffset>
              </wp:positionH>
              <wp:positionV relativeFrom="paragraph">
                <wp:posOffset>0</wp:posOffset>
              </wp:positionV>
              <wp:extent cx="989330" cy="273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8933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51A4E">
                          <w:pPr>
                            <w:pStyle w:val="11"/>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60.95pt;margin-top:0pt;height:21.5pt;width:77.9pt;mso-position-horizontal-relative:margin;z-index:251659264;mso-width-relative:page;mso-height-relative:page;" filled="f" stroked="f" coordsize="21600,21600" o:gfxdata="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6ke7r1gAAAAcBAAAPAAAAAAAAAAEAIAAAACIAAABkcnMvZG93bnJldi54&#10;bWxQSwECFAAUAAAACACHTuJAK6FESjUCAABhBAAADgAAAAAAAAABACAAAAAlAQAAZHJzL2Uyb0Rv&#10;Yy54bWxQSwUGAAAAAAYABgBZAQAAzAUAAAAA&#10;">
              <v:fill on="f" focussize="0,0"/>
              <v:stroke on="f" weight="0.5pt"/>
              <v:imagedata o:title=""/>
              <o:lock v:ext="edit" aspectratio="f"/>
              <v:textbox inset="0mm,0mm,0mm,0mm">
                <w:txbxContent>
                  <w:p w14:paraId="31C51A4E">
                    <w:pPr>
                      <w:pStyle w:val="11"/>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p w14:paraId="799DD1AE">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A88C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F4BFA">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DF4BFA">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86171">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27A75"/>
    <w:multiLevelType w:val="singleLevel"/>
    <w:tmpl w:val="AB927A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5645"/>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5AA4"/>
    <w:rsid w:val="00220536"/>
    <w:rsid w:val="00235629"/>
    <w:rsid w:val="00260C38"/>
    <w:rsid w:val="002616C0"/>
    <w:rsid w:val="00265372"/>
    <w:rsid w:val="002662AA"/>
    <w:rsid w:val="00280496"/>
    <w:rsid w:val="00294DC9"/>
    <w:rsid w:val="00295495"/>
    <w:rsid w:val="002A31DE"/>
    <w:rsid w:val="002B2613"/>
    <w:rsid w:val="002D6D05"/>
    <w:rsid w:val="002E01C1"/>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4A40"/>
    <w:rsid w:val="00585B33"/>
    <w:rsid w:val="0059014D"/>
    <w:rsid w:val="005B5C64"/>
    <w:rsid w:val="005C5337"/>
    <w:rsid w:val="005C6ADC"/>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2E6D"/>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2BA0"/>
    <w:rsid w:val="00B310B9"/>
    <w:rsid w:val="00B35F3F"/>
    <w:rsid w:val="00B36CBB"/>
    <w:rsid w:val="00B425E0"/>
    <w:rsid w:val="00B440AA"/>
    <w:rsid w:val="00B44B70"/>
    <w:rsid w:val="00B53C56"/>
    <w:rsid w:val="00B57DAF"/>
    <w:rsid w:val="00B77EA6"/>
    <w:rsid w:val="00B81598"/>
    <w:rsid w:val="00B841F1"/>
    <w:rsid w:val="00B944D6"/>
    <w:rsid w:val="00BA1A55"/>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13486"/>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47153B"/>
    <w:rsid w:val="015975B8"/>
    <w:rsid w:val="017159B8"/>
    <w:rsid w:val="0196601E"/>
    <w:rsid w:val="01F64D0F"/>
    <w:rsid w:val="0233386D"/>
    <w:rsid w:val="029307AF"/>
    <w:rsid w:val="02DE7C7D"/>
    <w:rsid w:val="02F05C02"/>
    <w:rsid w:val="02F7430E"/>
    <w:rsid w:val="02FEBE30"/>
    <w:rsid w:val="030B47EA"/>
    <w:rsid w:val="03863E70"/>
    <w:rsid w:val="03C52BEB"/>
    <w:rsid w:val="04043713"/>
    <w:rsid w:val="044E0E32"/>
    <w:rsid w:val="04697A1A"/>
    <w:rsid w:val="04916F1E"/>
    <w:rsid w:val="04A647CA"/>
    <w:rsid w:val="04BD7D66"/>
    <w:rsid w:val="055E32F7"/>
    <w:rsid w:val="057C377D"/>
    <w:rsid w:val="05DE1D42"/>
    <w:rsid w:val="061E35DE"/>
    <w:rsid w:val="062F259D"/>
    <w:rsid w:val="0639341C"/>
    <w:rsid w:val="065A3ABE"/>
    <w:rsid w:val="066E0107"/>
    <w:rsid w:val="067D77AC"/>
    <w:rsid w:val="0680104B"/>
    <w:rsid w:val="06EC048E"/>
    <w:rsid w:val="07117EF5"/>
    <w:rsid w:val="07247C28"/>
    <w:rsid w:val="073F0F06"/>
    <w:rsid w:val="073F2CB4"/>
    <w:rsid w:val="074327A4"/>
    <w:rsid w:val="077D479D"/>
    <w:rsid w:val="07893F2F"/>
    <w:rsid w:val="079923C4"/>
    <w:rsid w:val="07996F6E"/>
    <w:rsid w:val="079E3E7E"/>
    <w:rsid w:val="07CB4548"/>
    <w:rsid w:val="07DFD8BA"/>
    <w:rsid w:val="07E07FF3"/>
    <w:rsid w:val="07F65A68"/>
    <w:rsid w:val="08002443"/>
    <w:rsid w:val="08601134"/>
    <w:rsid w:val="09012917"/>
    <w:rsid w:val="090917CB"/>
    <w:rsid w:val="095742E5"/>
    <w:rsid w:val="09867E8F"/>
    <w:rsid w:val="09F00295"/>
    <w:rsid w:val="0A0D0E47"/>
    <w:rsid w:val="0A2032A3"/>
    <w:rsid w:val="0A337B3E"/>
    <w:rsid w:val="0A4F76B2"/>
    <w:rsid w:val="0AD61B81"/>
    <w:rsid w:val="0ADD081A"/>
    <w:rsid w:val="0B097861"/>
    <w:rsid w:val="0B1A1A6E"/>
    <w:rsid w:val="0B520209"/>
    <w:rsid w:val="0B536D2E"/>
    <w:rsid w:val="0B6B22C9"/>
    <w:rsid w:val="0B9510F4"/>
    <w:rsid w:val="0BC77F22"/>
    <w:rsid w:val="0C2A5CE1"/>
    <w:rsid w:val="0C304E24"/>
    <w:rsid w:val="0C452B1A"/>
    <w:rsid w:val="0C7B02EA"/>
    <w:rsid w:val="0CA8290A"/>
    <w:rsid w:val="0CC53C5B"/>
    <w:rsid w:val="0CCF4631"/>
    <w:rsid w:val="0CDB347F"/>
    <w:rsid w:val="0CEA5470"/>
    <w:rsid w:val="0CEE31B2"/>
    <w:rsid w:val="0D35B1ED"/>
    <w:rsid w:val="0D464D9C"/>
    <w:rsid w:val="0D605732"/>
    <w:rsid w:val="0D77A438"/>
    <w:rsid w:val="0D7D62E4"/>
    <w:rsid w:val="0DAD6BC9"/>
    <w:rsid w:val="0DB5782C"/>
    <w:rsid w:val="0DE87C01"/>
    <w:rsid w:val="0DED6FC6"/>
    <w:rsid w:val="0E211365"/>
    <w:rsid w:val="0E252C04"/>
    <w:rsid w:val="0E254B6B"/>
    <w:rsid w:val="0E3A41D5"/>
    <w:rsid w:val="0E460DCC"/>
    <w:rsid w:val="0E4B63E2"/>
    <w:rsid w:val="0EA174D3"/>
    <w:rsid w:val="0EB83A78"/>
    <w:rsid w:val="0ED62150"/>
    <w:rsid w:val="0F334EAC"/>
    <w:rsid w:val="0F7B4AA5"/>
    <w:rsid w:val="0F8E2A2A"/>
    <w:rsid w:val="0F98263C"/>
    <w:rsid w:val="0FD22917"/>
    <w:rsid w:val="0FE34B24"/>
    <w:rsid w:val="0FE64614"/>
    <w:rsid w:val="0FE663C2"/>
    <w:rsid w:val="0FF705D0"/>
    <w:rsid w:val="101860EC"/>
    <w:rsid w:val="101F47CC"/>
    <w:rsid w:val="10967DE9"/>
    <w:rsid w:val="10C055FF"/>
    <w:rsid w:val="10E70644"/>
    <w:rsid w:val="1111121D"/>
    <w:rsid w:val="1122167C"/>
    <w:rsid w:val="112C42A9"/>
    <w:rsid w:val="11694EBD"/>
    <w:rsid w:val="11772AA4"/>
    <w:rsid w:val="118107EC"/>
    <w:rsid w:val="11BA7B07"/>
    <w:rsid w:val="11C97D4A"/>
    <w:rsid w:val="11D230A2"/>
    <w:rsid w:val="11D72467"/>
    <w:rsid w:val="11F33019"/>
    <w:rsid w:val="11FF551A"/>
    <w:rsid w:val="121F796A"/>
    <w:rsid w:val="12274A70"/>
    <w:rsid w:val="123A47A4"/>
    <w:rsid w:val="12706417"/>
    <w:rsid w:val="12BE53D5"/>
    <w:rsid w:val="12CC7AF2"/>
    <w:rsid w:val="12E24EE2"/>
    <w:rsid w:val="12F157AA"/>
    <w:rsid w:val="131D034D"/>
    <w:rsid w:val="132F0080"/>
    <w:rsid w:val="13337B71"/>
    <w:rsid w:val="135F0966"/>
    <w:rsid w:val="138008DC"/>
    <w:rsid w:val="13D50BC4"/>
    <w:rsid w:val="13E0771A"/>
    <w:rsid w:val="140A39B3"/>
    <w:rsid w:val="143A4F2F"/>
    <w:rsid w:val="1457788F"/>
    <w:rsid w:val="1461070D"/>
    <w:rsid w:val="14B17F78"/>
    <w:rsid w:val="14B7032D"/>
    <w:rsid w:val="14CB202B"/>
    <w:rsid w:val="14DC7231"/>
    <w:rsid w:val="14F43330"/>
    <w:rsid w:val="14F90946"/>
    <w:rsid w:val="15170DCC"/>
    <w:rsid w:val="15237771"/>
    <w:rsid w:val="15453B8B"/>
    <w:rsid w:val="15787ABD"/>
    <w:rsid w:val="159348F7"/>
    <w:rsid w:val="15E72E94"/>
    <w:rsid w:val="161A6DC6"/>
    <w:rsid w:val="161D0664"/>
    <w:rsid w:val="165E0673"/>
    <w:rsid w:val="16B831D5"/>
    <w:rsid w:val="16BB723D"/>
    <w:rsid w:val="16CF7BB0"/>
    <w:rsid w:val="16D231FD"/>
    <w:rsid w:val="17233A58"/>
    <w:rsid w:val="17514A69"/>
    <w:rsid w:val="1752258F"/>
    <w:rsid w:val="1752433D"/>
    <w:rsid w:val="17936E30"/>
    <w:rsid w:val="17C36FE9"/>
    <w:rsid w:val="17C70888"/>
    <w:rsid w:val="17D86F39"/>
    <w:rsid w:val="17E50567"/>
    <w:rsid w:val="1821268E"/>
    <w:rsid w:val="18356139"/>
    <w:rsid w:val="18475E6C"/>
    <w:rsid w:val="186504BB"/>
    <w:rsid w:val="18AB63FB"/>
    <w:rsid w:val="18C64FE3"/>
    <w:rsid w:val="192A37C4"/>
    <w:rsid w:val="197607B7"/>
    <w:rsid w:val="197E58BE"/>
    <w:rsid w:val="19874772"/>
    <w:rsid w:val="19A215AC"/>
    <w:rsid w:val="19A445FC"/>
    <w:rsid w:val="1A023DF9"/>
    <w:rsid w:val="1A1D6E85"/>
    <w:rsid w:val="1A6A7BF0"/>
    <w:rsid w:val="1AC13CB4"/>
    <w:rsid w:val="1AC90DBB"/>
    <w:rsid w:val="1AD5150D"/>
    <w:rsid w:val="1B7B5AD5"/>
    <w:rsid w:val="1BA3160C"/>
    <w:rsid w:val="1BAD248A"/>
    <w:rsid w:val="1BB35E28"/>
    <w:rsid w:val="1BE8440E"/>
    <w:rsid w:val="1C16002F"/>
    <w:rsid w:val="1C2F4C4D"/>
    <w:rsid w:val="1C330BE1"/>
    <w:rsid w:val="1C44694B"/>
    <w:rsid w:val="1C5D7A0C"/>
    <w:rsid w:val="1C694603"/>
    <w:rsid w:val="1CC161ED"/>
    <w:rsid w:val="1D155CEE"/>
    <w:rsid w:val="1D1638FE"/>
    <w:rsid w:val="1D37025D"/>
    <w:rsid w:val="1D44297A"/>
    <w:rsid w:val="1D6923E1"/>
    <w:rsid w:val="1DA376A1"/>
    <w:rsid w:val="1DA578BD"/>
    <w:rsid w:val="1E081BFA"/>
    <w:rsid w:val="1E2D1660"/>
    <w:rsid w:val="1E312DEB"/>
    <w:rsid w:val="1E472722"/>
    <w:rsid w:val="1E601A36"/>
    <w:rsid w:val="1E6908EA"/>
    <w:rsid w:val="1E7352C5"/>
    <w:rsid w:val="1E740ACF"/>
    <w:rsid w:val="1ED85A70"/>
    <w:rsid w:val="1EFA7794"/>
    <w:rsid w:val="1FF35744"/>
    <w:rsid w:val="1FF3757C"/>
    <w:rsid w:val="1FF6BC77"/>
    <w:rsid w:val="20084133"/>
    <w:rsid w:val="20170100"/>
    <w:rsid w:val="204F718E"/>
    <w:rsid w:val="205253AE"/>
    <w:rsid w:val="20895274"/>
    <w:rsid w:val="20A40DCE"/>
    <w:rsid w:val="20B120D5"/>
    <w:rsid w:val="20BD4F1E"/>
    <w:rsid w:val="20EA55E7"/>
    <w:rsid w:val="210668C5"/>
    <w:rsid w:val="211508B6"/>
    <w:rsid w:val="211D776A"/>
    <w:rsid w:val="213B5E42"/>
    <w:rsid w:val="215533A8"/>
    <w:rsid w:val="21667363"/>
    <w:rsid w:val="2186353C"/>
    <w:rsid w:val="21E8421C"/>
    <w:rsid w:val="21FE57EE"/>
    <w:rsid w:val="221E379A"/>
    <w:rsid w:val="222A213F"/>
    <w:rsid w:val="222D7E81"/>
    <w:rsid w:val="225418B2"/>
    <w:rsid w:val="22DD5403"/>
    <w:rsid w:val="22F97D63"/>
    <w:rsid w:val="230E1A60"/>
    <w:rsid w:val="23641680"/>
    <w:rsid w:val="23810484"/>
    <w:rsid w:val="23860B96"/>
    <w:rsid w:val="239D1036"/>
    <w:rsid w:val="23DE2A6A"/>
    <w:rsid w:val="240371BF"/>
    <w:rsid w:val="24082954"/>
    <w:rsid w:val="24303C58"/>
    <w:rsid w:val="244F3473"/>
    <w:rsid w:val="24C97D99"/>
    <w:rsid w:val="24E567F1"/>
    <w:rsid w:val="24F84776"/>
    <w:rsid w:val="24FE5B05"/>
    <w:rsid w:val="25205A7B"/>
    <w:rsid w:val="25421E95"/>
    <w:rsid w:val="257007B0"/>
    <w:rsid w:val="258E6E89"/>
    <w:rsid w:val="25950217"/>
    <w:rsid w:val="259A75DB"/>
    <w:rsid w:val="25A718F0"/>
    <w:rsid w:val="25BB59F6"/>
    <w:rsid w:val="25CD2005"/>
    <w:rsid w:val="25DA20CE"/>
    <w:rsid w:val="260F557C"/>
    <w:rsid w:val="26217CFD"/>
    <w:rsid w:val="26235823"/>
    <w:rsid w:val="266B71CA"/>
    <w:rsid w:val="26970054"/>
    <w:rsid w:val="26993D37"/>
    <w:rsid w:val="26CD578F"/>
    <w:rsid w:val="26E2748C"/>
    <w:rsid w:val="270F7B55"/>
    <w:rsid w:val="27117D71"/>
    <w:rsid w:val="273D2914"/>
    <w:rsid w:val="27482C18"/>
    <w:rsid w:val="27716A62"/>
    <w:rsid w:val="27750300"/>
    <w:rsid w:val="27A961FC"/>
    <w:rsid w:val="27B01338"/>
    <w:rsid w:val="281408E2"/>
    <w:rsid w:val="2818512F"/>
    <w:rsid w:val="28B9246E"/>
    <w:rsid w:val="28C01A4F"/>
    <w:rsid w:val="29023E15"/>
    <w:rsid w:val="292024ED"/>
    <w:rsid w:val="29BF5862"/>
    <w:rsid w:val="29F6324E"/>
    <w:rsid w:val="29FD04D3"/>
    <w:rsid w:val="2A092F82"/>
    <w:rsid w:val="2A6D3510"/>
    <w:rsid w:val="2A84085A"/>
    <w:rsid w:val="2A88659C"/>
    <w:rsid w:val="2AA9206F"/>
    <w:rsid w:val="2AB32EED"/>
    <w:rsid w:val="2AED28A3"/>
    <w:rsid w:val="2B147E30"/>
    <w:rsid w:val="2B177920"/>
    <w:rsid w:val="2B1E2A5D"/>
    <w:rsid w:val="2B717030"/>
    <w:rsid w:val="2B911481"/>
    <w:rsid w:val="2BBE1B4A"/>
    <w:rsid w:val="2BFA7026"/>
    <w:rsid w:val="2BFF7BC6"/>
    <w:rsid w:val="2BFFE3FE"/>
    <w:rsid w:val="2C5801F0"/>
    <w:rsid w:val="2C8763E0"/>
    <w:rsid w:val="2C8965FC"/>
    <w:rsid w:val="2C8A61B5"/>
    <w:rsid w:val="2CD77367"/>
    <w:rsid w:val="2D19172E"/>
    <w:rsid w:val="2D6230D5"/>
    <w:rsid w:val="2D713318"/>
    <w:rsid w:val="2DF04E50"/>
    <w:rsid w:val="2E586DFA"/>
    <w:rsid w:val="2E642E7C"/>
    <w:rsid w:val="2EB57234"/>
    <w:rsid w:val="2F040D46"/>
    <w:rsid w:val="2F2820FC"/>
    <w:rsid w:val="2F37233F"/>
    <w:rsid w:val="2F611A30"/>
    <w:rsid w:val="2F6B035B"/>
    <w:rsid w:val="2FAE5751"/>
    <w:rsid w:val="2FB1A395"/>
    <w:rsid w:val="2FD9A7D8"/>
    <w:rsid w:val="2FDBF714"/>
    <w:rsid w:val="2FFFC29F"/>
    <w:rsid w:val="30AB6865"/>
    <w:rsid w:val="30C6397A"/>
    <w:rsid w:val="30DA11D4"/>
    <w:rsid w:val="30F32296"/>
    <w:rsid w:val="315E1E05"/>
    <w:rsid w:val="31813D45"/>
    <w:rsid w:val="31833619"/>
    <w:rsid w:val="319F7F4E"/>
    <w:rsid w:val="31AB2B70"/>
    <w:rsid w:val="31B163D9"/>
    <w:rsid w:val="31D64091"/>
    <w:rsid w:val="31FE0EF2"/>
    <w:rsid w:val="320E382B"/>
    <w:rsid w:val="322F72FD"/>
    <w:rsid w:val="32755658"/>
    <w:rsid w:val="32BD1EF1"/>
    <w:rsid w:val="32EB1476"/>
    <w:rsid w:val="3304709D"/>
    <w:rsid w:val="334F40FB"/>
    <w:rsid w:val="339064C2"/>
    <w:rsid w:val="33A45AC9"/>
    <w:rsid w:val="33A773CB"/>
    <w:rsid w:val="349D6851"/>
    <w:rsid w:val="34AF4725"/>
    <w:rsid w:val="34D4418C"/>
    <w:rsid w:val="34F75F1F"/>
    <w:rsid w:val="34F8431E"/>
    <w:rsid w:val="35134CB4"/>
    <w:rsid w:val="35683252"/>
    <w:rsid w:val="36062A6B"/>
    <w:rsid w:val="360A4309"/>
    <w:rsid w:val="36280C33"/>
    <w:rsid w:val="36681030"/>
    <w:rsid w:val="36AA5135"/>
    <w:rsid w:val="36BE0DA7"/>
    <w:rsid w:val="36F11025"/>
    <w:rsid w:val="37092813"/>
    <w:rsid w:val="37135440"/>
    <w:rsid w:val="372D1AA0"/>
    <w:rsid w:val="376B6AA6"/>
    <w:rsid w:val="376D39B2"/>
    <w:rsid w:val="376F0A86"/>
    <w:rsid w:val="37797999"/>
    <w:rsid w:val="3787198A"/>
    <w:rsid w:val="379B110E"/>
    <w:rsid w:val="37B0756F"/>
    <w:rsid w:val="37BA1D5F"/>
    <w:rsid w:val="37DC0EC1"/>
    <w:rsid w:val="37E16F03"/>
    <w:rsid w:val="37F53A3B"/>
    <w:rsid w:val="37FE7E9E"/>
    <w:rsid w:val="3805122C"/>
    <w:rsid w:val="38367638"/>
    <w:rsid w:val="384D2BD3"/>
    <w:rsid w:val="38651CCB"/>
    <w:rsid w:val="387FE69A"/>
    <w:rsid w:val="389A0BB8"/>
    <w:rsid w:val="389B6C89"/>
    <w:rsid w:val="38C06F01"/>
    <w:rsid w:val="38D469F0"/>
    <w:rsid w:val="39131727"/>
    <w:rsid w:val="393A3157"/>
    <w:rsid w:val="39627CCD"/>
    <w:rsid w:val="397BAF1F"/>
    <w:rsid w:val="3982065B"/>
    <w:rsid w:val="39DC420F"/>
    <w:rsid w:val="3A287454"/>
    <w:rsid w:val="3A465B2C"/>
    <w:rsid w:val="3A606BEE"/>
    <w:rsid w:val="3AB26D1E"/>
    <w:rsid w:val="3AB79AF3"/>
    <w:rsid w:val="3AE834C0"/>
    <w:rsid w:val="3AEC66D3"/>
    <w:rsid w:val="3AFB2473"/>
    <w:rsid w:val="3B1B0D67"/>
    <w:rsid w:val="3B617CFF"/>
    <w:rsid w:val="3B6C15C2"/>
    <w:rsid w:val="3B7EF35A"/>
    <w:rsid w:val="3B9FDB6C"/>
    <w:rsid w:val="3BAB0637"/>
    <w:rsid w:val="3BE86E9B"/>
    <w:rsid w:val="3BF5BC2F"/>
    <w:rsid w:val="3C131A3E"/>
    <w:rsid w:val="3C1E0B0E"/>
    <w:rsid w:val="3C303181"/>
    <w:rsid w:val="3CAF24F9"/>
    <w:rsid w:val="3CCB2319"/>
    <w:rsid w:val="3CEBA265"/>
    <w:rsid w:val="3D5B18EE"/>
    <w:rsid w:val="3D934BE4"/>
    <w:rsid w:val="3D94095C"/>
    <w:rsid w:val="3D98207C"/>
    <w:rsid w:val="3D9B7F3D"/>
    <w:rsid w:val="3DA908AC"/>
    <w:rsid w:val="3DBB413B"/>
    <w:rsid w:val="3DD11BB1"/>
    <w:rsid w:val="3DEE7CF3"/>
    <w:rsid w:val="3E027FBC"/>
    <w:rsid w:val="3E111FAD"/>
    <w:rsid w:val="3E151A9D"/>
    <w:rsid w:val="3E740A63"/>
    <w:rsid w:val="3E78745D"/>
    <w:rsid w:val="3EA01CAF"/>
    <w:rsid w:val="3EAF1EF2"/>
    <w:rsid w:val="3EC82FB3"/>
    <w:rsid w:val="3ED01E68"/>
    <w:rsid w:val="3EE17838"/>
    <w:rsid w:val="3EF142B8"/>
    <w:rsid w:val="3F247041"/>
    <w:rsid w:val="3F3423F7"/>
    <w:rsid w:val="3F55381A"/>
    <w:rsid w:val="3F632CDC"/>
    <w:rsid w:val="3F7F7599"/>
    <w:rsid w:val="3FB84DD6"/>
    <w:rsid w:val="3FC574F3"/>
    <w:rsid w:val="3FE060DB"/>
    <w:rsid w:val="3FF4CAE0"/>
    <w:rsid w:val="3FF7B227"/>
    <w:rsid w:val="3FFA9612"/>
    <w:rsid w:val="411A73CB"/>
    <w:rsid w:val="413C37E5"/>
    <w:rsid w:val="41652D3C"/>
    <w:rsid w:val="41DD0B24"/>
    <w:rsid w:val="420662CD"/>
    <w:rsid w:val="425F3C2F"/>
    <w:rsid w:val="426E5C20"/>
    <w:rsid w:val="42786A9F"/>
    <w:rsid w:val="43BF2BD7"/>
    <w:rsid w:val="43DE2931"/>
    <w:rsid w:val="43E73EDC"/>
    <w:rsid w:val="43F839F3"/>
    <w:rsid w:val="440305EA"/>
    <w:rsid w:val="442944F4"/>
    <w:rsid w:val="445B21D4"/>
    <w:rsid w:val="44CB735A"/>
    <w:rsid w:val="44E268DA"/>
    <w:rsid w:val="450D13D7"/>
    <w:rsid w:val="45260A34"/>
    <w:rsid w:val="45506656"/>
    <w:rsid w:val="45742769"/>
    <w:rsid w:val="45AD6A5F"/>
    <w:rsid w:val="46162856"/>
    <w:rsid w:val="462211FB"/>
    <w:rsid w:val="464C0026"/>
    <w:rsid w:val="46DB2BB3"/>
    <w:rsid w:val="46F50B99"/>
    <w:rsid w:val="471A0124"/>
    <w:rsid w:val="47226FD9"/>
    <w:rsid w:val="47705F96"/>
    <w:rsid w:val="47775577"/>
    <w:rsid w:val="477B540D"/>
    <w:rsid w:val="47906638"/>
    <w:rsid w:val="47B24801"/>
    <w:rsid w:val="47DB5B06"/>
    <w:rsid w:val="48223734"/>
    <w:rsid w:val="48270D4B"/>
    <w:rsid w:val="48382F58"/>
    <w:rsid w:val="48492255"/>
    <w:rsid w:val="485811E2"/>
    <w:rsid w:val="486A6C7A"/>
    <w:rsid w:val="48904B42"/>
    <w:rsid w:val="48A05D81"/>
    <w:rsid w:val="48E94252"/>
    <w:rsid w:val="491868E5"/>
    <w:rsid w:val="49374FBE"/>
    <w:rsid w:val="4A121601"/>
    <w:rsid w:val="4A627F82"/>
    <w:rsid w:val="4A987CDE"/>
    <w:rsid w:val="4ABB577A"/>
    <w:rsid w:val="4ADA02F6"/>
    <w:rsid w:val="4AE72A13"/>
    <w:rsid w:val="4B0E749A"/>
    <w:rsid w:val="4B1B3C2D"/>
    <w:rsid w:val="4B2477C4"/>
    <w:rsid w:val="4B3C4B0D"/>
    <w:rsid w:val="4B4F25DA"/>
    <w:rsid w:val="4B524331"/>
    <w:rsid w:val="4B55797D"/>
    <w:rsid w:val="4B8B7441"/>
    <w:rsid w:val="4BA17066"/>
    <w:rsid w:val="4BDE5BC4"/>
    <w:rsid w:val="4BE068DB"/>
    <w:rsid w:val="4BFA0524"/>
    <w:rsid w:val="4C2832E3"/>
    <w:rsid w:val="4C4A325A"/>
    <w:rsid w:val="4C4D2D4A"/>
    <w:rsid w:val="4C59349D"/>
    <w:rsid w:val="4C716A38"/>
    <w:rsid w:val="4CBD57DA"/>
    <w:rsid w:val="4D577224"/>
    <w:rsid w:val="4D583754"/>
    <w:rsid w:val="4D6C7200"/>
    <w:rsid w:val="4D7F5185"/>
    <w:rsid w:val="4DBF1CEB"/>
    <w:rsid w:val="4DCD5EF0"/>
    <w:rsid w:val="4DDA060D"/>
    <w:rsid w:val="4DF0007C"/>
    <w:rsid w:val="4E1A4EAE"/>
    <w:rsid w:val="4E3221F7"/>
    <w:rsid w:val="4E45017D"/>
    <w:rsid w:val="4E9ECFBB"/>
    <w:rsid w:val="4EA330F5"/>
    <w:rsid w:val="4EAB630A"/>
    <w:rsid w:val="4ECE2238"/>
    <w:rsid w:val="4EE31744"/>
    <w:rsid w:val="4F1418FD"/>
    <w:rsid w:val="4F1B712F"/>
    <w:rsid w:val="4F833267"/>
    <w:rsid w:val="4F9547EC"/>
    <w:rsid w:val="4FA72771"/>
    <w:rsid w:val="4FAD422B"/>
    <w:rsid w:val="4FE15C83"/>
    <w:rsid w:val="4FE3904F"/>
    <w:rsid w:val="4FE9BD67"/>
    <w:rsid w:val="4FF57980"/>
    <w:rsid w:val="4FFA0AF3"/>
    <w:rsid w:val="4FFB052F"/>
    <w:rsid w:val="503009B9"/>
    <w:rsid w:val="50305F10"/>
    <w:rsid w:val="50334005"/>
    <w:rsid w:val="505E72D4"/>
    <w:rsid w:val="507E34D2"/>
    <w:rsid w:val="50AA42C7"/>
    <w:rsid w:val="50AF7B2F"/>
    <w:rsid w:val="50B05655"/>
    <w:rsid w:val="50C40DD7"/>
    <w:rsid w:val="50CC248F"/>
    <w:rsid w:val="50F639B0"/>
    <w:rsid w:val="51024103"/>
    <w:rsid w:val="513444D8"/>
    <w:rsid w:val="51870AAC"/>
    <w:rsid w:val="518B234A"/>
    <w:rsid w:val="51B3364F"/>
    <w:rsid w:val="51DA6E2E"/>
    <w:rsid w:val="51E23F34"/>
    <w:rsid w:val="529E7E5B"/>
    <w:rsid w:val="52EA3848"/>
    <w:rsid w:val="53195185"/>
    <w:rsid w:val="533407C0"/>
    <w:rsid w:val="53590226"/>
    <w:rsid w:val="53672943"/>
    <w:rsid w:val="536C1531"/>
    <w:rsid w:val="537E6D0A"/>
    <w:rsid w:val="53E45D42"/>
    <w:rsid w:val="53F32429"/>
    <w:rsid w:val="53F74C96"/>
    <w:rsid w:val="54401FF4"/>
    <w:rsid w:val="54574766"/>
    <w:rsid w:val="545A4256"/>
    <w:rsid w:val="54DE4E87"/>
    <w:rsid w:val="55170BA8"/>
    <w:rsid w:val="552A59D6"/>
    <w:rsid w:val="553218C9"/>
    <w:rsid w:val="55592760"/>
    <w:rsid w:val="556A04C9"/>
    <w:rsid w:val="567E1AA5"/>
    <w:rsid w:val="5684380C"/>
    <w:rsid w:val="56E47B74"/>
    <w:rsid w:val="57087F99"/>
    <w:rsid w:val="571050A0"/>
    <w:rsid w:val="57175D52"/>
    <w:rsid w:val="57BD3DD4"/>
    <w:rsid w:val="57C06AC6"/>
    <w:rsid w:val="57CC546B"/>
    <w:rsid w:val="5829466B"/>
    <w:rsid w:val="585B059D"/>
    <w:rsid w:val="5866766D"/>
    <w:rsid w:val="58922210"/>
    <w:rsid w:val="58D04AE7"/>
    <w:rsid w:val="58DE5456"/>
    <w:rsid w:val="58E660B8"/>
    <w:rsid w:val="590D7AE9"/>
    <w:rsid w:val="593037D7"/>
    <w:rsid w:val="59A55F73"/>
    <w:rsid w:val="59D357AF"/>
    <w:rsid w:val="59E62B92"/>
    <w:rsid w:val="59F30596"/>
    <w:rsid w:val="5AB126F6"/>
    <w:rsid w:val="5AB26B9A"/>
    <w:rsid w:val="5AD07020"/>
    <w:rsid w:val="5AD22D98"/>
    <w:rsid w:val="5AF92295"/>
    <w:rsid w:val="5B250254"/>
    <w:rsid w:val="5B3D3F8A"/>
    <w:rsid w:val="5B77749C"/>
    <w:rsid w:val="5BCC5A39"/>
    <w:rsid w:val="5BDD79E6"/>
    <w:rsid w:val="5BF561CA"/>
    <w:rsid w:val="5BFF5DFC"/>
    <w:rsid w:val="5C007491"/>
    <w:rsid w:val="5C1D44E7"/>
    <w:rsid w:val="5C1E200D"/>
    <w:rsid w:val="5C653798"/>
    <w:rsid w:val="5C981DBF"/>
    <w:rsid w:val="5CBD1826"/>
    <w:rsid w:val="5CCB3F43"/>
    <w:rsid w:val="5CD71FC4"/>
    <w:rsid w:val="5D123920"/>
    <w:rsid w:val="5D1F11B5"/>
    <w:rsid w:val="5D4E18AD"/>
    <w:rsid w:val="5D5E6B65"/>
    <w:rsid w:val="5D63AFF9"/>
    <w:rsid w:val="5D695134"/>
    <w:rsid w:val="5DA64068"/>
    <w:rsid w:val="5DAE1B18"/>
    <w:rsid w:val="5DCF7A63"/>
    <w:rsid w:val="5DD76917"/>
    <w:rsid w:val="5DDE7CA6"/>
    <w:rsid w:val="5DE7D9E5"/>
    <w:rsid w:val="5E56783C"/>
    <w:rsid w:val="5E59557E"/>
    <w:rsid w:val="5E5D506F"/>
    <w:rsid w:val="5E7B54F5"/>
    <w:rsid w:val="5EB01642"/>
    <w:rsid w:val="5ECEC941"/>
    <w:rsid w:val="5F2E2567"/>
    <w:rsid w:val="5F7C7776"/>
    <w:rsid w:val="5F875640"/>
    <w:rsid w:val="5FBF9FF3"/>
    <w:rsid w:val="5FCD4E2C"/>
    <w:rsid w:val="5FD255E8"/>
    <w:rsid w:val="5FE07D05"/>
    <w:rsid w:val="5FE570CA"/>
    <w:rsid w:val="5FE84E0C"/>
    <w:rsid w:val="5FED2942"/>
    <w:rsid w:val="5FEF394A"/>
    <w:rsid w:val="5FF67715"/>
    <w:rsid w:val="5FFEE090"/>
    <w:rsid w:val="606C77EB"/>
    <w:rsid w:val="610B0DB2"/>
    <w:rsid w:val="612260FC"/>
    <w:rsid w:val="615547CC"/>
    <w:rsid w:val="61834DEC"/>
    <w:rsid w:val="61BA4586"/>
    <w:rsid w:val="61CB5C2B"/>
    <w:rsid w:val="6211064A"/>
    <w:rsid w:val="622A34BA"/>
    <w:rsid w:val="624D71A8"/>
    <w:rsid w:val="62BF3928"/>
    <w:rsid w:val="62EC4C13"/>
    <w:rsid w:val="62FD297C"/>
    <w:rsid w:val="635A392B"/>
    <w:rsid w:val="639130C5"/>
    <w:rsid w:val="63B3701E"/>
    <w:rsid w:val="63D76E8E"/>
    <w:rsid w:val="64012DCD"/>
    <w:rsid w:val="64032214"/>
    <w:rsid w:val="64061D04"/>
    <w:rsid w:val="64175CC0"/>
    <w:rsid w:val="6428738B"/>
    <w:rsid w:val="64502F80"/>
    <w:rsid w:val="647F5392"/>
    <w:rsid w:val="64EF2799"/>
    <w:rsid w:val="65384140"/>
    <w:rsid w:val="65953340"/>
    <w:rsid w:val="65E322FD"/>
    <w:rsid w:val="65E66580"/>
    <w:rsid w:val="664B1D71"/>
    <w:rsid w:val="664B4E8E"/>
    <w:rsid w:val="664F7993"/>
    <w:rsid w:val="666351EC"/>
    <w:rsid w:val="66666A8A"/>
    <w:rsid w:val="666B40A1"/>
    <w:rsid w:val="66A51361"/>
    <w:rsid w:val="66F347C2"/>
    <w:rsid w:val="670D5158"/>
    <w:rsid w:val="67277B67"/>
    <w:rsid w:val="673F17B5"/>
    <w:rsid w:val="67AA3209"/>
    <w:rsid w:val="67BF631A"/>
    <w:rsid w:val="67C24194"/>
    <w:rsid w:val="68802085"/>
    <w:rsid w:val="68CF4DBB"/>
    <w:rsid w:val="69076303"/>
    <w:rsid w:val="69140A20"/>
    <w:rsid w:val="692F7608"/>
    <w:rsid w:val="6985191D"/>
    <w:rsid w:val="698D0931"/>
    <w:rsid w:val="69A73642"/>
    <w:rsid w:val="6A70612A"/>
    <w:rsid w:val="6A7FE5F3"/>
    <w:rsid w:val="6AA61B4B"/>
    <w:rsid w:val="6AA87D10"/>
    <w:rsid w:val="6AB9187F"/>
    <w:rsid w:val="6ACD70D8"/>
    <w:rsid w:val="6AD9782B"/>
    <w:rsid w:val="6ADE7537"/>
    <w:rsid w:val="6B053271"/>
    <w:rsid w:val="6B15282D"/>
    <w:rsid w:val="6B43383E"/>
    <w:rsid w:val="6B451364"/>
    <w:rsid w:val="6BAC3191"/>
    <w:rsid w:val="6BDD78B3"/>
    <w:rsid w:val="6C2471CC"/>
    <w:rsid w:val="6C4258A4"/>
    <w:rsid w:val="6C4A05C8"/>
    <w:rsid w:val="6C6E0447"/>
    <w:rsid w:val="6C8742B8"/>
    <w:rsid w:val="6D8C5028"/>
    <w:rsid w:val="6D9E2022"/>
    <w:rsid w:val="6DB4457F"/>
    <w:rsid w:val="6DBF5E93"/>
    <w:rsid w:val="6DCA3DA3"/>
    <w:rsid w:val="6DEF3809"/>
    <w:rsid w:val="6DFF077E"/>
    <w:rsid w:val="6E153270"/>
    <w:rsid w:val="6E714EF0"/>
    <w:rsid w:val="6E777A87"/>
    <w:rsid w:val="6E7E3605"/>
    <w:rsid w:val="6E7FDCC7"/>
    <w:rsid w:val="6E9817AB"/>
    <w:rsid w:val="6EB7656E"/>
    <w:rsid w:val="6ED6A62E"/>
    <w:rsid w:val="6EE00B15"/>
    <w:rsid w:val="6F5556D3"/>
    <w:rsid w:val="6F6FB3EB"/>
    <w:rsid w:val="6F8731EA"/>
    <w:rsid w:val="6FCD1928"/>
    <w:rsid w:val="6FCE6052"/>
    <w:rsid w:val="6FD57C00"/>
    <w:rsid w:val="6FDF6080"/>
    <w:rsid w:val="6FEFFFD8"/>
    <w:rsid w:val="6FF5CC65"/>
    <w:rsid w:val="6FFB47EC"/>
    <w:rsid w:val="6FFF034A"/>
    <w:rsid w:val="70484440"/>
    <w:rsid w:val="70741DA4"/>
    <w:rsid w:val="70934920"/>
    <w:rsid w:val="70A24B63"/>
    <w:rsid w:val="70F353BF"/>
    <w:rsid w:val="70FD7FEB"/>
    <w:rsid w:val="71105F71"/>
    <w:rsid w:val="712A28F1"/>
    <w:rsid w:val="715C0E4B"/>
    <w:rsid w:val="717B788E"/>
    <w:rsid w:val="71992E7C"/>
    <w:rsid w:val="71A97DB6"/>
    <w:rsid w:val="71DD22F7"/>
    <w:rsid w:val="72225F5B"/>
    <w:rsid w:val="72233669"/>
    <w:rsid w:val="72734D90"/>
    <w:rsid w:val="72B15531"/>
    <w:rsid w:val="72DA6836"/>
    <w:rsid w:val="72DC25AE"/>
    <w:rsid w:val="72DF209E"/>
    <w:rsid w:val="73160E6D"/>
    <w:rsid w:val="7332FE48"/>
    <w:rsid w:val="7399224D"/>
    <w:rsid w:val="73A330CC"/>
    <w:rsid w:val="73AB61DA"/>
    <w:rsid w:val="73AD73D5"/>
    <w:rsid w:val="73B6EB34"/>
    <w:rsid w:val="73D70FC8"/>
    <w:rsid w:val="73F76F74"/>
    <w:rsid w:val="73FA497D"/>
    <w:rsid w:val="74471CA9"/>
    <w:rsid w:val="744731E5"/>
    <w:rsid w:val="74634609"/>
    <w:rsid w:val="74884070"/>
    <w:rsid w:val="74A013B9"/>
    <w:rsid w:val="74BBD01D"/>
    <w:rsid w:val="74C257D4"/>
    <w:rsid w:val="74E53270"/>
    <w:rsid w:val="74ED5379"/>
    <w:rsid w:val="752913AF"/>
    <w:rsid w:val="753F0BD2"/>
    <w:rsid w:val="75483F2B"/>
    <w:rsid w:val="755723C0"/>
    <w:rsid w:val="758331B5"/>
    <w:rsid w:val="75A35605"/>
    <w:rsid w:val="75CB690A"/>
    <w:rsid w:val="75D78F44"/>
    <w:rsid w:val="75DEEEC2"/>
    <w:rsid w:val="75E32345"/>
    <w:rsid w:val="75F419BD"/>
    <w:rsid w:val="75F55735"/>
    <w:rsid w:val="76004806"/>
    <w:rsid w:val="76045978"/>
    <w:rsid w:val="76312C11"/>
    <w:rsid w:val="76592168"/>
    <w:rsid w:val="766E04DB"/>
    <w:rsid w:val="768A2321"/>
    <w:rsid w:val="768E1E11"/>
    <w:rsid w:val="76B63116"/>
    <w:rsid w:val="76D35A76"/>
    <w:rsid w:val="76E3355F"/>
    <w:rsid w:val="76E45ED5"/>
    <w:rsid w:val="76FAADA2"/>
    <w:rsid w:val="76FF5125"/>
    <w:rsid w:val="77000835"/>
    <w:rsid w:val="77356731"/>
    <w:rsid w:val="776D5ECB"/>
    <w:rsid w:val="776F6FFA"/>
    <w:rsid w:val="778769C8"/>
    <w:rsid w:val="778F488A"/>
    <w:rsid w:val="77A75DCA"/>
    <w:rsid w:val="77B60095"/>
    <w:rsid w:val="77D71596"/>
    <w:rsid w:val="77DC22F5"/>
    <w:rsid w:val="78067B81"/>
    <w:rsid w:val="783E271A"/>
    <w:rsid w:val="78616DE9"/>
    <w:rsid w:val="78743289"/>
    <w:rsid w:val="78E875D7"/>
    <w:rsid w:val="79086DAD"/>
    <w:rsid w:val="79181E66"/>
    <w:rsid w:val="793022A4"/>
    <w:rsid w:val="798E3ED6"/>
    <w:rsid w:val="79A74F98"/>
    <w:rsid w:val="79C124FE"/>
    <w:rsid w:val="79D7FD79"/>
    <w:rsid w:val="79EE5BA4"/>
    <w:rsid w:val="79F71A7C"/>
    <w:rsid w:val="7A236D15"/>
    <w:rsid w:val="7A342CD0"/>
    <w:rsid w:val="7A635363"/>
    <w:rsid w:val="7A6A4943"/>
    <w:rsid w:val="7A7C4677"/>
    <w:rsid w:val="7A811C8D"/>
    <w:rsid w:val="7A894339"/>
    <w:rsid w:val="7AA37E55"/>
    <w:rsid w:val="7AB557E5"/>
    <w:rsid w:val="7AD284E8"/>
    <w:rsid w:val="7AF83CFD"/>
    <w:rsid w:val="7AFF7572"/>
    <w:rsid w:val="7B276391"/>
    <w:rsid w:val="7B2C7E4B"/>
    <w:rsid w:val="7B6C7DFB"/>
    <w:rsid w:val="7B9854E0"/>
    <w:rsid w:val="7B9A4DB4"/>
    <w:rsid w:val="7BBFBED0"/>
    <w:rsid w:val="7BC3E394"/>
    <w:rsid w:val="7C091F3A"/>
    <w:rsid w:val="7C127041"/>
    <w:rsid w:val="7C1F3737"/>
    <w:rsid w:val="7C3A0345"/>
    <w:rsid w:val="7C52568F"/>
    <w:rsid w:val="7C574A54"/>
    <w:rsid w:val="7C773348"/>
    <w:rsid w:val="7CBFC87B"/>
    <w:rsid w:val="7CFD384D"/>
    <w:rsid w:val="7CFE0F48"/>
    <w:rsid w:val="7D056BA5"/>
    <w:rsid w:val="7D272ABC"/>
    <w:rsid w:val="7D7EC23E"/>
    <w:rsid w:val="7DAB14FB"/>
    <w:rsid w:val="7DB5663F"/>
    <w:rsid w:val="7DE92023"/>
    <w:rsid w:val="7E386B07"/>
    <w:rsid w:val="7E5020A2"/>
    <w:rsid w:val="7E585886"/>
    <w:rsid w:val="7E681777"/>
    <w:rsid w:val="7E8ADEBF"/>
    <w:rsid w:val="7E8D29AE"/>
    <w:rsid w:val="7E8F4979"/>
    <w:rsid w:val="7EB02B41"/>
    <w:rsid w:val="7EEF11D3"/>
    <w:rsid w:val="7EFE4840"/>
    <w:rsid w:val="7F0971A6"/>
    <w:rsid w:val="7F127358"/>
    <w:rsid w:val="7F1D62E7"/>
    <w:rsid w:val="7F1E5CFC"/>
    <w:rsid w:val="7F3F679B"/>
    <w:rsid w:val="7F4FC4EF"/>
    <w:rsid w:val="7F5E4D54"/>
    <w:rsid w:val="7F606315"/>
    <w:rsid w:val="7F6E0135"/>
    <w:rsid w:val="7F79F205"/>
    <w:rsid w:val="7F842003"/>
    <w:rsid w:val="7FA30C79"/>
    <w:rsid w:val="7FA79C44"/>
    <w:rsid w:val="7FABB4AD"/>
    <w:rsid w:val="7FAF8ABF"/>
    <w:rsid w:val="7FB7269E"/>
    <w:rsid w:val="7FBA3C77"/>
    <w:rsid w:val="7FBD5515"/>
    <w:rsid w:val="7FC71EF0"/>
    <w:rsid w:val="7FC96657"/>
    <w:rsid w:val="7FD3857D"/>
    <w:rsid w:val="7FD665D7"/>
    <w:rsid w:val="7FDA9588"/>
    <w:rsid w:val="7FDF220F"/>
    <w:rsid w:val="7FDF548C"/>
    <w:rsid w:val="7FE94C3B"/>
    <w:rsid w:val="7FEB2083"/>
    <w:rsid w:val="7FEDC5F7"/>
    <w:rsid w:val="7FEDD9DE"/>
    <w:rsid w:val="7FEF6ABE"/>
    <w:rsid w:val="7FF5890D"/>
    <w:rsid w:val="7FF93490"/>
    <w:rsid w:val="9637A849"/>
    <w:rsid w:val="99FF2014"/>
    <w:rsid w:val="9EDFB33E"/>
    <w:rsid w:val="9F3E8431"/>
    <w:rsid w:val="9FDEA028"/>
    <w:rsid w:val="9FFFDE89"/>
    <w:rsid w:val="A6DD0D7F"/>
    <w:rsid w:val="ACFF4FBB"/>
    <w:rsid w:val="ADC6F725"/>
    <w:rsid w:val="AFC779A3"/>
    <w:rsid w:val="B7CF06AB"/>
    <w:rsid w:val="B7CFA926"/>
    <w:rsid w:val="B7F8786B"/>
    <w:rsid w:val="BABB6AA1"/>
    <w:rsid w:val="BB2F4199"/>
    <w:rsid w:val="BB6EE666"/>
    <w:rsid w:val="BC3B5F89"/>
    <w:rsid w:val="BCDEB592"/>
    <w:rsid w:val="BCFFB442"/>
    <w:rsid w:val="BD079C78"/>
    <w:rsid w:val="BD733540"/>
    <w:rsid w:val="BE8F4103"/>
    <w:rsid w:val="BF3735D5"/>
    <w:rsid w:val="BF7F09AC"/>
    <w:rsid w:val="BFD475C3"/>
    <w:rsid w:val="BFDE5EA6"/>
    <w:rsid w:val="BFFB7F4E"/>
    <w:rsid w:val="CF6FC6F3"/>
    <w:rsid w:val="CFD3D3D7"/>
    <w:rsid w:val="CFDB47C3"/>
    <w:rsid w:val="CFDF1009"/>
    <w:rsid w:val="CFFF4E0C"/>
    <w:rsid w:val="D5EBBBF7"/>
    <w:rsid w:val="D7D7B16A"/>
    <w:rsid w:val="D7FFD860"/>
    <w:rsid w:val="D8D6DB89"/>
    <w:rsid w:val="DAD3C5F5"/>
    <w:rsid w:val="DB6F4CAB"/>
    <w:rsid w:val="DB777682"/>
    <w:rsid w:val="DC6B7C60"/>
    <w:rsid w:val="DD1FB521"/>
    <w:rsid w:val="DDF85DF1"/>
    <w:rsid w:val="DED309C3"/>
    <w:rsid w:val="DEFBFEAE"/>
    <w:rsid w:val="DF1F3B80"/>
    <w:rsid w:val="DF6F9789"/>
    <w:rsid w:val="DF7FA60F"/>
    <w:rsid w:val="DFDCC28B"/>
    <w:rsid w:val="DFE9BE81"/>
    <w:rsid w:val="DFEECA79"/>
    <w:rsid w:val="DFFFA9E8"/>
    <w:rsid w:val="E5F4E9DC"/>
    <w:rsid w:val="E70FE695"/>
    <w:rsid w:val="E7DF71C1"/>
    <w:rsid w:val="EB2E368B"/>
    <w:rsid w:val="EB5B2770"/>
    <w:rsid w:val="ECFED1BC"/>
    <w:rsid w:val="ED1D69BB"/>
    <w:rsid w:val="ED7FD312"/>
    <w:rsid w:val="EE3A18F2"/>
    <w:rsid w:val="EF2E1AC6"/>
    <w:rsid w:val="EF53993F"/>
    <w:rsid w:val="EF6FD633"/>
    <w:rsid w:val="EFBFB2F4"/>
    <w:rsid w:val="EFBFFA21"/>
    <w:rsid w:val="F2BEBCB8"/>
    <w:rsid w:val="F36FB518"/>
    <w:rsid w:val="F3DE1A04"/>
    <w:rsid w:val="F3F722E5"/>
    <w:rsid w:val="F3F955B2"/>
    <w:rsid w:val="F4FBCD07"/>
    <w:rsid w:val="F5FE70DA"/>
    <w:rsid w:val="F7FE79B1"/>
    <w:rsid w:val="FA5F1E70"/>
    <w:rsid w:val="FA5FDB97"/>
    <w:rsid w:val="FAD77317"/>
    <w:rsid w:val="FB3DF4DF"/>
    <w:rsid w:val="FB7F486A"/>
    <w:rsid w:val="FBEB43AB"/>
    <w:rsid w:val="FBFF5B2E"/>
    <w:rsid w:val="FCDF3679"/>
    <w:rsid w:val="FD7FFE2B"/>
    <w:rsid w:val="FDEE196B"/>
    <w:rsid w:val="FDFCED3B"/>
    <w:rsid w:val="FDFE6575"/>
    <w:rsid w:val="FE7F5B7F"/>
    <w:rsid w:val="FEAF2E5B"/>
    <w:rsid w:val="FEDFDDC2"/>
    <w:rsid w:val="FEED32F6"/>
    <w:rsid w:val="FEEDC79A"/>
    <w:rsid w:val="FEF781DD"/>
    <w:rsid w:val="FF1FE672"/>
    <w:rsid w:val="FF3F7E3F"/>
    <w:rsid w:val="FF76572C"/>
    <w:rsid w:val="FF7BB55F"/>
    <w:rsid w:val="FFBA12D7"/>
    <w:rsid w:val="FFCBD314"/>
    <w:rsid w:val="FFDFF91C"/>
    <w:rsid w:val="FFDFFAEE"/>
    <w:rsid w:val="FFEF6777"/>
    <w:rsid w:val="FFF3988A"/>
    <w:rsid w:val="FFF3C5FE"/>
    <w:rsid w:val="FFF9B57B"/>
    <w:rsid w:val="FFFD61D9"/>
    <w:rsid w:val="FFFD8F59"/>
    <w:rsid w:val="FFFF2BB1"/>
    <w:rsid w:val="FFFF45B4"/>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Sheet1!$B$2:$B$3</c:f>
              <c:numCache>
                <c:formatCode>General</c:formatCode>
                <c:ptCount val="2"/>
                <c:pt idx="0">
                  <c:v>311.79</c:v>
                </c:pt>
                <c:pt idx="1">
                  <c:v>311.79</c:v>
                </c:pt>
              </c:numCache>
            </c:numRef>
          </c:val>
        </c:ser>
        <c:ser>
          <c:idx val="1"/>
          <c:order val="1"/>
          <c:tx>
            <c:strRef>
              <c:f>Sheet1!$C$1</c:f>
              <c:strCache>
                <c:ptCount val="1"/>
                <c:pt idx="0">
                  <c:v>2024年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Sheet1!$C$2:$C$3</c:f>
              <c:numCache>
                <c:formatCode>General</c:formatCode>
                <c:ptCount val="2"/>
                <c:pt idx="0">
                  <c:v>364.33</c:v>
                </c:pt>
                <c:pt idx="1">
                  <c:v>364.33</c:v>
                </c:pt>
              </c:numCache>
            </c:numRef>
          </c:val>
        </c:ser>
        <c:dLbls>
          <c:showLegendKey val="0"/>
          <c:showVal val="1"/>
          <c:showCatName val="0"/>
          <c:showSerName val="0"/>
          <c:showPercent val="0"/>
          <c:showBubbleSize val="0"/>
        </c:dLbls>
        <c:gapWidth val="246"/>
        <c:overlap val="-28"/>
        <c:axId val="254029773"/>
        <c:axId val="816231007"/>
      </c:barChart>
      <c:catAx>
        <c:axId val="25402977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231007"/>
        <c:crosses val="autoZero"/>
        <c:auto val="1"/>
        <c:lblAlgn val="ctr"/>
        <c:lblOffset val="100"/>
        <c:noMultiLvlLbl val="0"/>
      </c:catAx>
      <c:valAx>
        <c:axId val="81623100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0297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815eff8-ab90-4e20-980b-e68836e8ac8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列2</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一般公共预算财政拨款收入（万元） </c:v>
                </c:pt>
                <c:pt idx="1">
                  <c:v>政府性基金预算财政拨款收入（万元）</c:v>
                </c:pt>
                <c:pt idx="2">
                  <c:v>国有资本经营预算财政拨款收入（万元）</c:v>
                </c:pt>
                <c:pt idx="3">
                  <c:v>上级补助收入（万元）</c:v>
                </c:pt>
                <c:pt idx="4">
                  <c:v>事业收入（万元）</c:v>
                </c:pt>
                <c:pt idx="5">
                  <c:v>其他收入（万元）</c:v>
                </c:pt>
              </c:strCache>
            </c:strRef>
          </c:cat>
          <c:val>
            <c:numRef>
              <c:f>Sheet1!$B$2:$B$7</c:f>
              <c:numCache>
                <c:formatCode>General</c:formatCode>
                <c:ptCount val="6"/>
                <c:pt idx="0">
                  <c:v>364.33</c:v>
                </c:pt>
                <c:pt idx="1">
                  <c:v>0</c:v>
                </c:pt>
                <c:pt idx="2">
                  <c:v>0</c:v>
                </c:pt>
                <c:pt idx="3">
                  <c:v>0</c:v>
                </c:pt>
                <c:pt idx="4">
                  <c:v>0</c:v>
                </c:pt>
                <c:pt idx="5">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d32ae81-8f6a-4435-9b08-911e8a513d2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基本支出（万元）</c:v>
                </c:pt>
                <c:pt idx="1">
                  <c:v>项目支出（万元）</c:v>
                </c:pt>
                <c:pt idx="2">
                  <c:v>上缴上级支出（万元）</c:v>
                </c:pt>
              </c:strCache>
            </c:strRef>
          </c:cat>
          <c:val>
            <c:numRef>
              <c:f>Sheet1!$B$2:$B$4</c:f>
              <c:numCache>
                <c:formatCode>General</c:formatCode>
                <c:ptCount val="3"/>
                <c:pt idx="0">
                  <c:v>290.2</c:v>
                </c:pt>
                <c:pt idx="1">
                  <c:v>74.13</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33dda52-e7b2-4b46-bf8d-fd21db89e79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Sheet1!$B$2:$B$3</c:f>
              <c:numCache>
                <c:formatCode>General</c:formatCode>
                <c:ptCount val="2"/>
                <c:pt idx="0">
                  <c:v>311.79</c:v>
                </c:pt>
                <c:pt idx="1">
                  <c:v>311.79</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Sheet1!$C$2:$C$3</c:f>
              <c:numCache>
                <c:formatCode>General</c:formatCode>
                <c:ptCount val="2"/>
                <c:pt idx="0">
                  <c:v>364.33</c:v>
                </c:pt>
                <c:pt idx="1">
                  <c:v>364.33</c:v>
                </c:pt>
              </c:numCache>
            </c:numRef>
          </c:val>
        </c:ser>
        <c:dLbls>
          <c:showLegendKey val="0"/>
          <c:showVal val="1"/>
          <c:showCatName val="0"/>
          <c:showSerName val="0"/>
          <c:showPercent val="0"/>
          <c:showBubbleSize val="0"/>
        </c:dLbls>
        <c:gapWidth val="246"/>
        <c:overlap val="-28"/>
        <c:axId val="74666693"/>
        <c:axId val="595719577"/>
      </c:barChart>
      <c:catAx>
        <c:axId val="746666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5719577"/>
        <c:crosses val="autoZero"/>
        <c:auto val="1"/>
        <c:lblAlgn val="ctr"/>
        <c:lblOffset val="100"/>
        <c:noMultiLvlLbl val="0"/>
      </c:catAx>
      <c:valAx>
        <c:axId val="59571957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6666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f26cec6-480e-4844-b32c-756865defc6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一般公共预算财政拨款支出（万元）</c:v>
                </c:pt>
              </c:strCache>
            </c:strRef>
          </c:cat>
          <c:val>
            <c:numRef>
              <c:f>Sheet1!$B$2</c:f>
              <c:numCache>
                <c:formatCode>General</c:formatCode>
                <c:ptCount val="1"/>
                <c:pt idx="0">
                  <c:v>311.79</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一般公共预算财政拨款支出（万元）</c:v>
                </c:pt>
              </c:strCache>
            </c:strRef>
          </c:cat>
          <c:val>
            <c:numRef>
              <c:f>Sheet1!$C$2</c:f>
              <c:numCache>
                <c:formatCode>General</c:formatCode>
                <c:ptCount val="1"/>
                <c:pt idx="0">
                  <c:v>364.33</c:v>
                </c:pt>
              </c:numCache>
            </c:numRef>
          </c:val>
        </c:ser>
        <c:dLbls>
          <c:showLegendKey val="0"/>
          <c:showVal val="1"/>
          <c:showCatName val="0"/>
          <c:showSerName val="0"/>
          <c:showPercent val="0"/>
          <c:showBubbleSize val="0"/>
        </c:dLbls>
        <c:gapWidth val="246"/>
        <c:overlap val="-28"/>
        <c:axId val="592334354"/>
        <c:axId val="933471270"/>
      </c:barChart>
      <c:catAx>
        <c:axId val="5923343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3471270"/>
        <c:crosses val="autoZero"/>
        <c:auto val="1"/>
        <c:lblAlgn val="ctr"/>
        <c:lblOffset val="100"/>
        <c:noMultiLvlLbl val="0"/>
      </c:catAx>
      <c:valAx>
        <c:axId val="93347127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233435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f3580fa-4388-4a39-a976-a6d1922cf28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列2</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一般公共预算财政拨款支出（万元）</c:v>
                </c:pt>
                <c:pt idx="1">
                  <c:v>社会保障和就业支出（万元）</c:v>
                </c:pt>
                <c:pt idx="2">
                  <c:v>卫生健康支出（万元）</c:v>
                </c:pt>
                <c:pt idx="3">
                  <c:v>住房保障支出（万元）</c:v>
                </c:pt>
              </c:strCache>
            </c:strRef>
          </c:cat>
          <c:val>
            <c:numRef>
              <c:f>Sheet1!$B$2:$B$5</c:f>
              <c:numCache>
                <c:formatCode>General</c:formatCode>
                <c:ptCount val="4"/>
                <c:pt idx="0">
                  <c:v>292.72</c:v>
                </c:pt>
                <c:pt idx="1">
                  <c:v>29.36</c:v>
                </c:pt>
                <c:pt idx="2">
                  <c:v>18.07</c:v>
                </c:pt>
                <c:pt idx="3">
                  <c:v>24.19</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318dd52-4202-4751-8683-f3dcda5de7b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 经费财政拨款支出结构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Sheet1!$A$2:$A$4</c:f>
              <c:strCache>
                <c:ptCount val="3"/>
                <c:pt idx="0">
                  <c:v>因公出国（境）费支出决算（万元）</c:v>
                </c:pt>
                <c:pt idx="1">
                  <c:v>公务用车购置及运行维护费支出决算（万元）</c:v>
                </c:pt>
                <c:pt idx="2">
                  <c:v>公务接待费支出决算（万元）</c:v>
                </c:pt>
              </c:strCache>
            </c:strRef>
          </c:cat>
          <c:val>
            <c:numRef>
              <c:f>Sheet1!$B$2:$B$4</c:f>
              <c:numCache>
                <c:formatCode>General</c:formatCode>
                <c:ptCount val="3"/>
                <c:pt idx="0">
                  <c:v>0</c:v>
                </c:pt>
                <c:pt idx="1">
                  <c:v>0</c:v>
                </c:pt>
                <c:pt idx="2">
                  <c:v>1.58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a6ed02a-e128-4100-a21c-8767ceff211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8299</Words>
  <Characters>8946</Characters>
  <Lines>61</Lines>
  <Paragraphs>17</Paragraphs>
  <TotalTime>25</TotalTime>
  <ScaleCrop>false</ScaleCrop>
  <LinksUpToDate>false</LinksUpToDate>
  <CharactersWithSpaces>8973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2020-08-11T01:49:00Z</dcterms:created>
  <dc:creator>曹颖</dc:creator>
  <cp:lastModifiedBy>阳光</cp:lastModifiedBy>
  <cp:lastPrinted>2025-08-08T09:34:00Z</cp:lastPrinted>
  <dcterms:modified xsi:type="dcterms:W3CDTF">2025-09-17T03:58:19Z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05E2A48A9E5F49F086EBB280A9414931</vt:lpwstr>
  </property>
  <property fmtid="{D5CDD505-2E9C-101B-9397-08002B2CF9AE}" pid="4" name="KSOTemplateDocerSaveRecord">
    <vt:lpwstr>eyJoZGlkIjoiY2IyNzMyNGY1YzQyM2ViNWQxNWY3M2RlNWJlNzQ2OWEiLCJ1c2VySWQiOiIzOTg1MTkyNDkifQ==</vt:lpwstr>
  </property>
</Properties>
</file>