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Toc15377425"/>
      <w:bookmarkStart w:id="1" w:name="_Toc15378441"/>
      <w:bookmarkStart w:id="2" w:name="_Toc15377193"/>
      <w:bookmarkStart w:id="3" w:name="_Toc15396475"/>
      <w:bookmarkStart w:id="4" w:name="_Toc15396597"/>
      <w:bookmarkStart w:id="5" w:name="_Toc15306267"/>
    </w:p>
    <w:p>
      <w:pPr>
        <w:pStyle w:val="2"/>
        <w:spacing w:before="93"/>
        <w:jc w:val="center"/>
        <w:rPr>
          <w:rFonts w:ascii="Times New Roman" w:eastAsia="方正小标宋简体"/>
          <w:kern w:val="2"/>
          <w:sz w:val="44"/>
          <w:szCs w:val="44"/>
        </w:rPr>
      </w:pPr>
    </w:p>
    <w:p>
      <w:pPr>
        <w:pStyle w:val="2"/>
        <w:spacing w:before="93"/>
        <w:jc w:val="center"/>
        <w:rPr>
          <w:rFonts w:hint="default" w:ascii="Times New Roman" w:hAnsi="Times New Roman" w:eastAsia="方正小标宋简体" w:cs="Times New Roman"/>
          <w:kern w:val="2"/>
          <w:sz w:val="44"/>
          <w:szCs w:val="44"/>
        </w:rPr>
      </w:pPr>
    </w:p>
    <w:p>
      <w:pPr>
        <w:pStyle w:val="2"/>
        <w:spacing w:before="93"/>
        <w:jc w:val="center"/>
        <w:rPr>
          <w:rFonts w:hint="default" w:ascii="Times New Roman" w:hAnsi="Times New Roman" w:eastAsia="方正小标宋简体" w:cs="Times New Roman"/>
          <w:kern w:val="2"/>
          <w:sz w:val="44"/>
          <w:szCs w:val="44"/>
        </w:rPr>
      </w:pPr>
    </w:p>
    <w:p>
      <w:pPr>
        <w:pStyle w:val="2"/>
        <w:spacing w:before="93"/>
        <w:jc w:val="center"/>
        <w:rPr>
          <w:rFonts w:hint="default" w:ascii="Times New Roman" w:hAnsi="Times New Roman" w:eastAsia="方正小标宋简体" w:cs="Times New Roman"/>
          <w:kern w:val="2"/>
          <w:sz w:val="44"/>
          <w:szCs w:val="44"/>
        </w:rPr>
      </w:pPr>
    </w:p>
    <w:bookmarkEnd w:id="0"/>
    <w:bookmarkEnd w:id="1"/>
    <w:bookmarkEnd w:id="2"/>
    <w:bookmarkEnd w:id="3"/>
    <w:bookmarkEnd w:id="4"/>
    <w:p>
      <w:pPr>
        <w:pStyle w:val="2"/>
        <w:spacing w:before="93"/>
        <w:jc w:val="center"/>
        <w:rPr>
          <w:rFonts w:hint="default" w:ascii="Times New Roman" w:hAnsi="Times New Roman" w:eastAsia="方正小标宋简体" w:cs="Times New Roman"/>
          <w:kern w:val="2"/>
          <w:sz w:val="44"/>
          <w:szCs w:val="44"/>
        </w:rPr>
      </w:pPr>
      <w:bookmarkStart w:id="6" w:name="_Toc15377194"/>
      <w:bookmarkStart w:id="7" w:name="_Toc15396476"/>
      <w:bookmarkStart w:id="8" w:name="_Toc15396598"/>
      <w:bookmarkStart w:id="9" w:name="_Toc15378442"/>
      <w:bookmarkStart w:id="10" w:name="_Toc15377426"/>
      <w:r>
        <w:rPr>
          <w:rFonts w:hint="default" w:ascii="Times New Roman" w:hAnsi="Times New Roman" w:eastAsia="方正小标宋简体" w:cs="Times New Roman"/>
          <w:kern w:val="2"/>
          <w:sz w:val="44"/>
          <w:szCs w:val="44"/>
        </w:rPr>
        <w:t>2024年度</w:t>
      </w:r>
      <w:bookmarkEnd w:id="5"/>
      <w:bookmarkStart w:id="11" w:name="_Toc15306268"/>
      <w:r>
        <w:rPr>
          <w:rFonts w:hint="default" w:ascii="Times New Roman" w:hAnsi="Times New Roman" w:eastAsia="方正小标宋简体" w:cs="Times New Roman"/>
          <w:kern w:val="2"/>
          <w:sz w:val="44"/>
          <w:szCs w:val="44"/>
          <w:lang w:val="en-US" w:eastAsia="zh-CN"/>
        </w:rPr>
        <w:t>盐边县</w:t>
      </w:r>
      <w:r>
        <w:rPr>
          <w:rFonts w:hint="default" w:ascii="Times New Roman" w:hAnsi="Times New Roman" w:eastAsia="方正小标宋简体" w:cs="Times New Roman"/>
          <w:kern w:val="2"/>
          <w:sz w:val="44"/>
          <w:szCs w:val="44"/>
        </w:rPr>
        <w:t>人民法院决算</w:t>
      </w:r>
      <w:bookmarkEnd w:id="6"/>
      <w:bookmarkEnd w:id="7"/>
      <w:bookmarkEnd w:id="8"/>
      <w:bookmarkEnd w:id="9"/>
      <w:bookmarkEnd w:id="10"/>
      <w:bookmarkEnd w:id="11"/>
    </w:p>
    <w:p>
      <w:pPr>
        <w:pStyle w:val="14"/>
        <w:adjustRightInd w:val="0"/>
        <w:snapToGrid w:val="0"/>
        <w:spacing w:line="560" w:lineRule="exact"/>
        <w:jc w:val="left"/>
        <w:rPr>
          <w:rFonts w:hint="default" w:ascii="Times New Roman" w:hAnsi="Times New Roman" w:eastAsia="仿宋_GB2312" w:cs="Times New Roman"/>
          <w:sz w:val="32"/>
          <w:szCs w:val="32"/>
        </w:rPr>
      </w:pPr>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公开时间：202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 9 月 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日</w:t>
      </w:r>
    </w:p>
    <w:p>
      <w:pPr>
        <w:rPr>
          <w:rFonts w:hint="default" w:ascii="Times New Roman" w:hAnsi="Times New Roman" w:cs="Times New Roman"/>
        </w:rPr>
      </w:pPr>
    </w:p>
    <w:p>
      <w:pPr>
        <w:pStyle w:val="12"/>
        <w:adjustRightInd w:val="0"/>
        <w:snapToGrid w:val="0"/>
        <w:spacing w:before="0"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单位概况…………………………………..……..1</w:t>
      </w:r>
    </w:p>
    <w:p>
      <w:pPr>
        <w:pStyle w:val="14"/>
        <w:adjustRightInd w:val="0"/>
        <w:snapToGrid w:val="0"/>
        <w:spacing w:line="560" w:lineRule="exact"/>
        <w:ind w:left="0" w:leftChars="0" w:firstLine="640" w:firstLineChars="200"/>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一、单位职责</w:t>
      </w:r>
      <w:r>
        <w:rPr>
          <w:rFonts w:hint="default" w:ascii="Times New Roman" w:hAnsi="Times New Roman" w:eastAsia="黑体" w:cs="Times New Roman"/>
          <w:sz w:val="32"/>
          <w:szCs w:val="32"/>
        </w:rPr>
        <w:t>…………………………………………..</w:t>
      </w:r>
      <w:r>
        <w:rPr>
          <w:rFonts w:hint="eastAsia" w:eastAsia="黑体" w:cs="Times New Roman"/>
          <w:sz w:val="32"/>
          <w:szCs w:val="32"/>
          <w:lang w:val="en-US" w:eastAsia="zh-CN"/>
        </w:rPr>
        <w:t>1</w:t>
      </w:r>
    </w:p>
    <w:p>
      <w:pPr>
        <w:pStyle w:val="14"/>
        <w:adjustRightInd w:val="0"/>
        <w:snapToGrid w:val="0"/>
        <w:spacing w:line="560" w:lineRule="exact"/>
        <w:ind w:left="0" w:leftChars="0" w:firstLine="640" w:firstLineChars="200"/>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二、机构设置</w:t>
      </w:r>
      <w:r>
        <w:rPr>
          <w:rFonts w:hint="default" w:ascii="Times New Roman" w:hAnsi="Times New Roman" w:eastAsia="黑体" w:cs="Times New Roman"/>
          <w:sz w:val="32"/>
          <w:szCs w:val="32"/>
        </w:rPr>
        <w:t>……………………………….…...……..</w:t>
      </w:r>
      <w:r>
        <w:rPr>
          <w:rFonts w:hint="eastAsia" w:eastAsia="黑体" w:cs="Times New Roman"/>
          <w:sz w:val="32"/>
          <w:szCs w:val="32"/>
          <w:lang w:val="en-US" w:eastAsia="zh-CN"/>
        </w:rPr>
        <w:t>1</w:t>
      </w:r>
    </w:p>
    <w:p>
      <w:pPr>
        <w:pStyle w:val="12"/>
        <w:adjustRightInd w:val="0"/>
        <w:snapToGrid w:val="0"/>
        <w:spacing w:before="0" w:line="560" w:lineRule="exact"/>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第二部分 2024年度单位决算情况说明…………….……..</w:t>
      </w:r>
      <w:r>
        <w:rPr>
          <w:rFonts w:hint="eastAsia" w:ascii="Times New Roman" w:hAnsi="Times New Roman" w:eastAsia="黑体" w:cs="Times New Roman"/>
          <w:sz w:val="32"/>
          <w:szCs w:val="32"/>
          <w:lang w:val="en-US" w:eastAsia="zh-CN"/>
        </w:rPr>
        <w:t>2</w:t>
      </w:r>
    </w:p>
    <w:p>
      <w:pPr>
        <w:pStyle w:val="14"/>
        <w:adjustRightInd w:val="0"/>
        <w:snapToGrid w:val="0"/>
        <w:spacing w:line="560" w:lineRule="exact"/>
        <w:ind w:left="0" w:leftChars="0" w:firstLine="640" w:firstLineChars="200"/>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一、收入支出决算总体情况说明</w:t>
      </w:r>
      <w:r>
        <w:rPr>
          <w:rFonts w:hint="default" w:ascii="Times New Roman" w:hAnsi="Times New Roman" w:eastAsia="黑体" w:cs="Times New Roman"/>
          <w:sz w:val="32"/>
          <w:szCs w:val="32"/>
        </w:rPr>
        <w:t>……………………..</w:t>
      </w:r>
      <w:r>
        <w:rPr>
          <w:rFonts w:hint="eastAsia" w:eastAsia="黑体" w:cs="Times New Roman"/>
          <w:sz w:val="32"/>
          <w:szCs w:val="32"/>
          <w:lang w:val="en-US" w:eastAsia="zh-CN"/>
        </w:rPr>
        <w:t>2</w:t>
      </w:r>
    </w:p>
    <w:p>
      <w:pPr>
        <w:pStyle w:val="14"/>
        <w:adjustRightInd w:val="0"/>
        <w:snapToGrid w:val="0"/>
        <w:spacing w:line="560" w:lineRule="exact"/>
        <w:ind w:left="0" w:leftChars="0" w:firstLine="640" w:firstLineChars="200"/>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二、收入决算情况说明</w:t>
      </w:r>
      <w:r>
        <w:rPr>
          <w:rFonts w:hint="default" w:ascii="Times New Roman" w:hAnsi="Times New Roman" w:eastAsia="黑体" w:cs="Times New Roman"/>
          <w:sz w:val="32"/>
          <w:szCs w:val="32"/>
        </w:rPr>
        <w:t>………………………………..</w:t>
      </w:r>
      <w:r>
        <w:rPr>
          <w:rFonts w:hint="eastAsia" w:eastAsia="黑体" w:cs="Times New Roman"/>
          <w:sz w:val="32"/>
          <w:szCs w:val="32"/>
          <w:lang w:val="en-US" w:eastAsia="zh-CN"/>
        </w:rPr>
        <w:t>2</w:t>
      </w:r>
    </w:p>
    <w:p>
      <w:pPr>
        <w:pStyle w:val="14"/>
        <w:adjustRightInd w:val="0"/>
        <w:snapToGrid w:val="0"/>
        <w:spacing w:line="560" w:lineRule="exact"/>
        <w:ind w:left="0" w:leftChars="0" w:firstLine="640" w:firstLineChars="200"/>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三、支出决算情况说明</w:t>
      </w:r>
      <w:r>
        <w:rPr>
          <w:rFonts w:hint="default" w:ascii="Times New Roman" w:hAnsi="Times New Roman" w:eastAsia="黑体" w:cs="Times New Roman"/>
          <w:sz w:val="32"/>
          <w:szCs w:val="32"/>
        </w:rPr>
        <w:t>………………………………..</w:t>
      </w:r>
      <w:r>
        <w:rPr>
          <w:rFonts w:hint="eastAsia" w:eastAsia="黑体" w:cs="Times New Roman"/>
          <w:sz w:val="32"/>
          <w:szCs w:val="32"/>
          <w:lang w:val="en-US" w:eastAsia="zh-CN"/>
        </w:rPr>
        <w:t>3</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四、财政拨款收入支出决算总体情况说明…………..4</w:t>
      </w:r>
    </w:p>
    <w:p>
      <w:pPr>
        <w:pStyle w:val="14"/>
        <w:adjustRightInd w:val="0"/>
        <w:snapToGrid w:val="0"/>
        <w:spacing w:line="560" w:lineRule="exact"/>
        <w:ind w:left="0" w:leftChars="0"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五、一般公共预算财政拨款支出决算情况说明……..</w:t>
      </w:r>
      <w:r>
        <w:rPr>
          <w:rFonts w:hint="eastAsia" w:eastAsia="仿宋_GB2312" w:cs="Times New Roman"/>
          <w:sz w:val="32"/>
          <w:szCs w:val="32"/>
          <w:lang w:val="en-US" w:eastAsia="zh-CN"/>
        </w:rPr>
        <w:t>4</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六、一般公共预算财政拨款基本支出决算情况说明..7</w:t>
      </w:r>
    </w:p>
    <w:p>
      <w:pPr>
        <w:pStyle w:val="14"/>
        <w:adjustRightInd w:val="0"/>
        <w:snapToGrid w:val="0"/>
        <w:spacing w:line="560" w:lineRule="exact"/>
        <w:ind w:left="0" w:leftChars="0"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七、财政拨款“三公”经费支出决算情况说明…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7</w:t>
      </w:r>
    </w:p>
    <w:p>
      <w:pPr>
        <w:pStyle w:val="14"/>
        <w:adjustRightInd w:val="0"/>
        <w:snapToGrid w:val="0"/>
        <w:spacing w:line="560" w:lineRule="exact"/>
        <w:ind w:left="0" w:leftChars="0"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八、政府性基金预算支出决算情况说明………… …</w:t>
      </w:r>
      <w:r>
        <w:rPr>
          <w:rFonts w:hint="eastAsia" w:eastAsia="仿宋_GB2312" w:cs="Times New Roman"/>
          <w:sz w:val="32"/>
          <w:szCs w:val="32"/>
          <w:lang w:val="en-US" w:eastAsia="zh-CN"/>
        </w:rPr>
        <w:t>9</w:t>
      </w:r>
    </w:p>
    <w:p>
      <w:pPr>
        <w:pStyle w:val="14"/>
        <w:adjustRightInd w:val="0"/>
        <w:snapToGrid w:val="0"/>
        <w:spacing w:line="560" w:lineRule="exact"/>
        <w:ind w:left="0" w:leftChars="0"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九、国有资本经营预算支出决算情况说明……… …</w:t>
      </w:r>
      <w:r>
        <w:rPr>
          <w:rFonts w:hint="eastAsia" w:eastAsia="仿宋_GB2312" w:cs="Times New Roman"/>
          <w:sz w:val="32"/>
          <w:szCs w:val="32"/>
          <w:lang w:val="en-US" w:eastAsia="zh-CN"/>
        </w:rPr>
        <w:t>9</w:t>
      </w:r>
    </w:p>
    <w:p>
      <w:pPr>
        <w:pStyle w:val="14"/>
        <w:adjustRightInd w:val="0"/>
        <w:snapToGrid w:val="0"/>
        <w:spacing w:line="560" w:lineRule="exact"/>
        <w:ind w:left="0" w:leftChars="0"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十、其他重要事项的情况说明…………………… …</w:t>
      </w:r>
      <w:r>
        <w:rPr>
          <w:rFonts w:hint="eastAsia" w:eastAsia="仿宋_GB2312" w:cs="Times New Roman"/>
          <w:sz w:val="32"/>
          <w:szCs w:val="32"/>
          <w:lang w:val="en-US" w:eastAsia="zh-CN"/>
        </w:rPr>
        <w:t>9</w:t>
      </w:r>
    </w:p>
    <w:p>
      <w:pPr>
        <w:pStyle w:val="12"/>
        <w:adjustRightInd w:val="0"/>
        <w:snapToGrid w:val="0"/>
        <w:spacing w:before="0" w:line="560" w:lineRule="exact"/>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第三部分 名词解释…………………………………… …..1</w:t>
      </w:r>
      <w:r>
        <w:rPr>
          <w:rFonts w:hint="eastAsia" w:ascii="Times New Roman" w:hAnsi="Times New Roman" w:eastAsia="黑体" w:cs="Times New Roman"/>
          <w:sz w:val="32"/>
          <w:szCs w:val="32"/>
          <w:lang w:val="en-US" w:eastAsia="zh-CN"/>
        </w:rPr>
        <w:t>1</w:t>
      </w:r>
    </w:p>
    <w:p>
      <w:pPr>
        <w:pStyle w:val="12"/>
        <w:adjustRightInd w:val="0"/>
        <w:snapToGrid w:val="0"/>
        <w:spacing w:before="0" w:line="560" w:lineRule="exact"/>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第四部分 附件……………………………………… .…….1</w:t>
      </w:r>
      <w:r>
        <w:rPr>
          <w:rFonts w:hint="eastAsia" w:ascii="Times New Roman" w:hAnsi="Times New Roman" w:eastAsia="黑体" w:cs="Times New Roman"/>
          <w:sz w:val="32"/>
          <w:szCs w:val="32"/>
          <w:lang w:val="en-US" w:eastAsia="zh-CN"/>
        </w:rPr>
        <w:t>5</w:t>
      </w:r>
    </w:p>
    <w:p>
      <w:pPr>
        <w:pStyle w:val="12"/>
        <w:adjustRightInd w:val="0"/>
        <w:snapToGrid w:val="0"/>
        <w:spacing w:before="0"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第五部分 附表………………………………………..…….</w:t>
      </w:r>
      <w:r>
        <w:rPr>
          <w:rFonts w:hint="eastAsia" w:ascii="Times New Roman" w:hAnsi="Times New Roman" w:eastAsia="黑体" w:cs="Times New Roman"/>
          <w:sz w:val="32"/>
          <w:szCs w:val="32"/>
          <w:lang w:val="en-US" w:eastAsia="zh-CN"/>
        </w:rPr>
        <w:t>16</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五、财政拨款支出决算明细表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七、一般公共预算财政拨款支出决算明细表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八、一般公共预算财政拨款基本支出决算明细表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九、一般公共预算财政拨款项目支出决算表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十、政府性基金预算财政拨款收入支出决算表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十一、国有资本经营预算财政拨款收入支出决算表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十二、国有资本经营预算财政拨款支出决算表</w:t>
      </w:r>
    </w:p>
    <w:p>
      <w:pPr>
        <w:pStyle w:val="14"/>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十三、财政拨款“三公”经费支出决算表</w:t>
      </w:r>
    </w:p>
    <w:p>
      <w:pPr>
        <w:widowControl/>
        <w:spacing w:line="560" w:lineRule="exact"/>
        <w:jc w:val="left"/>
        <w:rPr>
          <w:rFonts w:hint="default" w:ascii="Times New Roman" w:hAnsi="Times New Roman" w:eastAsia="仿宋_GB2312" w:cs="Times New Roman"/>
          <w:bCs/>
          <w:kern w:val="44"/>
          <w:sz w:val="32"/>
          <w:szCs w:val="32"/>
        </w:rPr>
      </w:pPr>
      <w:bookmarkStart w:id="12" w:name="_Toc15377196"/>
      <w:bookmarkStart w:id="13" w:name="_Toc15396599"/>
      <w:r>
        <w:rPr>
          <w:rFonts w:hint="default" w:ascii="Times New Roman" w:hAnsi="Times New Roman" w:eastAsia="仿宋_GB2312" w:cs="Times New Roman"/>
          <w:b/>
          <w:sz w:val="32"/>
          <w:szCs w:val="32"/>
        </w:rPr>
        <w:br w:type="page"/>
      </w:r>
    </w:p>
    <w:p>
      <w:pPr>
        <w:pStyle w:val="3"/>
        <w:jc w:val="center"/>
        <w:rPr>
          <w:rFonts w:hint="default" w:ascii="Times New Roman" w:hAnsi="Times New Roman" w:eastAsia="方正小标宋简体" w:cs="Times New Roman"/>
          <w:b w:val="0"/>
        </w:rPr>
        <w:sectPr>
          <w:footerReference r:id="rId3" w:type="default"/>
          <w:pgSz w:w="11906" w:h="16838"/>
          <w:pgMar w:top="1440" w:right="1800" w:bottom="1440" w:left="1800" w:header="851" w:footer="992" w:gutter="0"/>
          <w:pgNumType w:fmt="numberInDash" w:start="1"/>
          <w:cols w:space="425" w:num="1"/>
          <w:titlePg/>
          <w:docGrid w:type="lines" w:linePitch="312" w:charSpace="0"/>
        </w:sectPr>
      </w:pPr>
    </w:p>
    <w:p>
      <w:pPr>
        <w:pStyle w:val="3"/>
        <w:jc w:val="center"/>
        <w:rPr>
          <w:rFonts w:hint="default" w:ascii="Times New Roman" w:hAnsi="Times New Roman" w:eastAsia="方正小标宋简体" w:cs="Times New Roman"/>
          <w:bCs w:val="0"/>
        </w:rPr>
      </w:pPr>
      <w:r>
        <w:rPr>
          <w:rFonts w:hint="default" w:ascii="Times New Roman" w:hAnsi="Times New Roman" w:eastAsia="方正小标宋简体" w:cs="Times New Roman"/>
          <w:b w:val="0"/>
        </w:rPr>
        <w:t xml:space="preserve">第一部分  </w:t>
      </w:r>
      <w:r>
        <w:rPr>
          <w:rStyle w:val="28"/>
          <w:rFonts w:hint="default" w:ascii="Times New Roman" w:hAnsi="Times New Roman" w:eastAsia="方正小标宋简体" w:cs="Times New Roman"/>
          <w:b w:val="0"/>
          <w:bCs w:val="0"/>
        </w:rPr>
        <w:t>单位概况</w:t>
      </w:r>
      <w:bookmarkEnd w:id="12"/>
      <w:bookmarkEnd w:id="13"/>
    </w:p>
    <w:p>
      <w:pPr>
        <w:pStyle w:val="4"/>
        <w:keepNext/>
        <w:keepLines/>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rPr>
      </w:pPr>
      <w:r>
        <w:rPr>
          <w:rFonts w:hint="eastAsia" w:ascii="Times New Roman" w:hAnsi="Times New Roman" w:eastAsia="黑体" w:cs="Times New Roman"/>
          <w:b w:val="0"/>
          <w:lang w:val="en-US" w:eastAsia="zh-CN"/>
        </w:rPr>
        <w:t>一、</w:t>
      </w:r>
      <w:r>
        <w:rPr>
          <w:rFonts w:hint="default" w:ascii="Times New Roman" w:hAnsi="Times New Roman" w:eastAsia="黑体" w:cs="Times New Roman"/>
          <w:b w:val="0"/>
        </w:rPr>
        <w:t>单位职责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盐边县人民法院</w:t>
      </w:r>
      <w:r>
        <w:rPr>
          <w:rFonts w:hint="default" w:ascii="Times New Roman" w:hAnsi="Times New Roman" w:eastAsia="仿宋_GB2312" w:cs="Times New Roman"/>
          <w:sz w:val="32"/>
          <w:szCs w:val="32"/>
        </w:rPr>
        <w:t>属审判机关，主要负责案件审判工作，主要职责是：（一）审判法律规定、上级人民法院指定由县法院管辖以及县法院认为应当由自己审判的刑事、民事、行政等第一审案件。（二）审查处理不服本院判决各类申诉案。（三）监督指导人民法庭的审判工作。（四）依法行使司法执行权和司法决定权。（五）管理协调本院的审判和执行工作。（六）负责全院思想政治、教育培训工作，按照权限管理法官和其他人员，主管本院的监察工作；领导院直属单位和群团工作。（七）管理本法院的有关经费和物资装备。（八）结合审判工作宣传法制，教育公民遵守宪法和法律。（九）承办其他应由本院负责的工作。（十）派出机构及职责。派出法庭有四个，分别是红格法庭、渔门法庭、共和法庭、永兴法庭，依法审理和执行辖区内一般的民事案件、指导人民调解委员会工作及办理法庭审判工作有关的其他事项。</w:t>
      </w:r>
    </w:p>
    <w:p>
      <w:pPr>
        <w:pStyle w:val="4"/>
        <w:pageBreakBefore w:val="0"/>
        <w:widowControl w:val="0"/>
        <w:kinsoku/>
        <w:wordWrap/>
        <w:overflowPunct/>
        <w:topLinePunct w:val="0"/>
        <w:bidi w:val="0"/>
        <w:snapToGrid/>
        <w:spacing w:line="600" w:lineRule="exact"/>
        <w:ind w:firstLine="640" w:firstLineChars="200"/>
        <w:textAlignment w:val="auto"/>
        <w:rPr>
          <w:rStyle w:val="29"/>
          <w:rFonts w:hint="default" w:ascii="Times New Roman" w:hAnsi="Times New Roman" w:cs="Times New Roman"/>
          <w:b w:val="0"/>
          <w:bCs w:val="0"/>
        </w:rPr>
      </w:pPr>
      <w:bookmarkStart w:id="14" w:name="_Toc15377200"/>
      <w:bookmarkStart w:id="15" w:name="_Toc15396601"/>
      <w:r>
        <w:rPr>
          <w:rFonts w:hint="default" w:ascii="Times New Roman" w:hAnsi="Times New Roman" w:eastAsia="黑体" w:cs="Times New Roman"/>
          <w:b w:val="0"/>
        </w:rPr>
        <w:t>二、机</w:t>
      </w:r>
      <w:r>
        <w:rPr>
          <w:rStyle w:val="29"/>
          <w:rFonts w:hint="default" w:ascii="Times New Roman" w:hAnsi="Times New Roman" w:eastAsia="黑体" w:cs="Times New Roman"/>
          <w:b w:val="0"/>
          <w:bCs w:val="0"/>
        </w:rPr>
        <w:t>构设置</w:t>
      </w:r>
      <w:bookmarkEnd w:id="14"/>
      <w:bookmarkEnd w:id="15"/>
    </w:p>
    <w:p>
      <w:pPr>
        <w:pStyle w:val="26"/>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eastAsia="仿宋_GB2312" w:cs="Times New Roman"/>
          <w:color w:val="auto"/>
          <w:kern w:val="2"/>
          <w:sz w:val="32"/>
          <w:szCs w:val="32"/>
        </w:rPr>
        <w:t>盐边县人民法院下属二级预算单位0个，其中行政单位0个，参照公务员法管理的事业单位0个，其他事业单位0个。</w:t>
      </w:r>
    </w:p>
    <w:p>
      <w:pPr>
        <w:pageBreakBefore w:val="0"/>
        <w:kinsoku/>
        <w:wordWrap/>
        <w:overflowPunct/>
        <w:topLinePunct w:val="0"/>
        <w:bidi w:val="0"/>
        <w:spacing w:line="600" w:lineRule="exact"/>
        <w:ind w:firstLine="800" w:firstLineChars="250"/>
        <w:textAlignment w:val="auto"/>
        <w:rPr>
          <w:rFonts w:hint="default" w:ascii="Times New Roman" w:hAnsi="Times New Roman" w:eastAsia="仿宋_GB2312" w:cs="Times New Roman"/>
          <w:sz w:val="32"/>
          <w:szCs w:val="32"/>
        </w:rPr>
      </w:pPr>
    </w:p>
    <w:p>
      <w:pPr>
        <w:pageBreakBefore w:val="0"/>
        <w:widowControl/>
        <w:kinsoku/>
        <w:wordWrap/>
        <w:overflowPunct/>
        <w:topLinePunct w:val="0"/>
        <w:bidi w:val="0"/>
        <w:spacing w:line="600" w:lineRule="exact"/>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b w:val="0"/>
        </w:rPr>
      </w:pPr>
      <w:bookmarkStart w:id="16" w:name="_Toc15396602"/>
      <w:bookmarkStart w:id="17" w:name="_Toc15377204"/>
      <w:r>
        <w:rPr>
          <w:rFonts w:hint="default" w:ascii="Times New Roman" w:hAnsi="Times New Roman" w:eastAsia="方正小标宋简体" w:cs="Times New Roman"/>
          <w:b w:val="0"/>
        </w:rPr>
        <w:t>第二部分  2024年度单位决算情况说明</w:t>
      </w:r>
      <w:bookmarkEnd w:id="16"/>
      <w:bookmarkEnd w:id="17"/>
    </w:p>
    <w:p>
      <w:pPr>
        <w:pageBreakBefore w:val="0"/>
        <w:kinsoku/>
        <w:wordWrap/>
        <w:overflowPunct/>
        <w:topLinePunct w:val="0"/>
        <w:bidi w:val="0"/>
        <w:spacing w:line="600" w:lineRule="exact"/>
        <w:textAlignment w:val="auto"/>
        <w:rPr>
          <w:rFonts w:hint="default" w:ascii="Times New Roman" w:hAnsi="Times New Roman" w:cs="Times New Roman"/>
        </w:rPr>
      </w:pPr>
    </w:p>
    <w:p>
      <w:pPr>
        <w:pStyle w:val="27"/>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29"/>
          <w:rFonts w:hint="default" w:ascii="Times New Roman" w:hAnsi="Times New Roman" w:eastAsia="黑体" w:cs="Times New Roman"/>
          <w:b w:val="0"/>
        </w:rPr>
      </w:pPr>
      <w:bookmarkStart w:id="18" w:name="_Toc15377205"/>
      <w:bookmarkStart w:id="19" w:name="_Toc15396603"/>
      <w:r>
        <w:rPr>
          <w:rFonts w:hint="default" w:ascii="Times New Roman" w:hAnsi="Times New Roman" w:eastAsia="黑体" w:cs="Times New Roman"/>
          <w:sz w:val="32"/>
          <w:szCs w:val="32"/>
        </w:rPr>
        <w:t>一、</w:t>
      </w:r>
      <w:r>
        <w:rPr>
          <w:rStyle w:val="29"/>
          <w:rFonts w:hint="default" w:ascii="Times New Roman" w:hAnsi="Times New Roman" w:eastAsia="黑体" w:cs="Times New Roman"/>
          <w:b w:val="0"/>
          <w:bCs w:val="0"/>
          <w:lang w:val="en-US" w:eastAsia="zh-CN" w:bidi="ar-SA"/>
        </w:rPr>
        <w:t>收入支出决算总体情况说明</w:t>
      </w:r>
      <w:bookmarkEnd w:id="18"/>
      <w:bookmarkEnd w:id="19"/>
    </w:p>
    <w:p>
      <w:pPr>
        <w:pStyle w:val="27"/>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2024年度收入、支出总计均为2297.94万元。与2023年度相比，收入、支出总计各增加</w:t>
      </w:r>
      <w:r>
        <w:rPr>
          <w:rFonts w:hint="eastAsia" w:eastAsia="仿宋_GB2312" w:cs="Times New Roman"/>
          <w:sz w:val="32"/>
          <w:szCs w:val="32"/>
          <w:lang w:val="en-US" w:eastAsia="zh-CN"/>
        </w:rPr>
        <w:t>61.15</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2.73</w:t>
      </w:r>
      <w:r>
        <w:rPr>
          <w:rFonts w:hint="default" w:ascii="Times New Roman" w:hAnsi="Times New Roman" w:eastAsia="仿宋_GB2312" w:cs="Times New Roman"/>
          <w:sz w:val="32"/>
          <w:szCs w:val="32"/>
        </w:rPr>
        <w:t>%。主要变动原因是</w:t>
      </w:r>
      <w:r>
        <w:rPr>
          <w:rFonts w:hint="eastAsia" w:eastAsia="仿宋_GB2312" w:cs="Times New Roman"/>
          <w:sz w:val="32"/>
          <w:szCs w:val="32"/>
          <w:lang w:val="en-US" w:eastAsia="zh-CN"/>
        </w:rPr>
        <w:t>正常的人员经费、公用经费变动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图1：收、支决算总计变动情况图</w:t>
      </w:r>
      <w:r>
        <w:rPr>
          <w:rFonts w:hint="eastAsia"/>
        </w:rPr>
        <w:drawing>
          <wp:inline distT="0" distB="0" distL="114300" distR="114300">
            <wp:extent cx="4699000" cy="2734310"/>
            <wp:effectExtent l="4445" t="4445" r="20955" b="234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Fonts w:hint="default" w:ascii="Times New Roman" w:hAnsi="Times New Roman" w:eastAsia="黑体" w:cs="Times New Roman"/>
          <w:sz w:val="32"/>
          <w:szCs w:val="32"/>
        </w:rPr>
      </w:pPr>
      <w:bookmarkStart w:id="20" w:name="_Toc15396604"/>
      <w:bookmarkStart w:id="21" w:name="_Toc15377206"/>
      <w:r>
        <w:rPr>
          <w:rFonts w:hint="default" w:ascii="Times New Roman" w:hAnsi="Times New Roman" w:eastAsia="黑体" w:cs="Times New Roman"/>
          <w:sz w:val="32"/>
          <w:szCs w:val="32"/>
        </w:rPr>
        <w:t>二、收入决算情况说明</w:t>
      </w:r>
      <w:bookmarkEnd w:id="20"/>
      <w:bookmarkEnd w:id="21"/>
    </w:p>
    <w:p>
      <w:pPr>
        <w:pStyle w:val="27"/>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2024年度本年收入合计2297.94万元，其中：一般公共预算财政拨款收入1722.70万元，占</w:t>
      </w:r>
      <w:r>
        <w:rPr>
          <w:rFonts w:hint="eastAsia" w:eastAsia="仿宋_GB2312" w:cs="Times New Roman"/>
          <w:sz w:val="32"/>
          <w:szCs w:val="32"/>
          <w:lang w:val="en-US" w:eastAsia="zh-CN"/>
        </w:rPr>
        <w:t>74.97</w:t>
      </w:r>
      <w:r>
        <w:rPr>
          <w:rFonts w:hint="default" w:ascii="Times New Roman" w:hAnsi="Times New Roman" w:eastAsia="仿宋_GB2312" w:cs="Times New Roman"/>
          <w:sz w:val="32"/>
          <w:szCs w:val="32"/>
        </w:rPr>
        <w:t>%；上级补助收入0万元，占0%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事业收入0万元，占0%；经营收入0万元，占0%；附属单位上缴收入0万元，占0%；其他收入575.24万元，占</w:t>
      </w:r>
      <w:r>
        <w:rPr>
          <w:rFonts w:hint="eastAsia" w:eastAsia="仿宋_GB2312" w:cs="Times New Roman"/>
          <w:sz w:val="32"/>
          <w:szCs w:val="32"/>
          <w:lang w:val="en-US" w:eastAsia="zh-CN"/>
        </w:rPr>
        <w:t>25.03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50"/>
        <w:jc w:val="center"/>
        <w:textAlignment w:val="auto"/>
        <w:rPr>
          <w:rFonts w:hint="default"/>
        </w:rPr>
      </w:pPr>
      <w:r>
        <w:rPr>
          <w:rFonts w:hint="default" w:ascii="Times New Roman" w:hAnsi="Times New Roman" w:eastAsia="仿宋_GB2312" w:cs="Times New Roman"/>
          <w:sz w:val="32"/>
          <w:szCs w:val="32"/>
        </w:rPr>
        <w:t>图2：收入决算结构图</w:t>
      </w:r>
      <w:r>
        <w:rPr>
          <w:rFonts w:hint="eastAsia" w:eastAsia="仿宋"/>
        </w:rPr>
        <w:drawing>
          <wp:inline distT="0" distB="0" distL="114300" distR="114300">
            <wp:extent cx="4338320" cy="3019425"/>
            <wp:effectExtent l="47625" t="4445" r="52705" b="1003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pageBreakBefore w:val="0"/>
        <w:kinsoku/>
        <w:wordWrap/>
        <w:overflowPunct/>
        <w:topLinePunct w:val="0"/>
        <w:bidi w:val="0"/>
        <w:spacing w:line="600" w:lineRule="exact"/>
        <w:ind w:firstLine="640"/>
        <w:textAlignment w:val="auto"/>
        <w:outlineLvl w:val="1"/>
        <w:rPr>
          <w:rStyle w:val="29"/>
          <w:rFonts w:hint="default" w:ascii="Times New Roman" w:hAnsi="Times New Roman" w:eastAsia="黑体" w:cs="Times New Roman"/>
          <w:b w:val="0"/>
        </w:rPr>
      </w:pPr>
      <w:bookmarkStart w:id="22" w:name="_Toc15396605"/>
      <w:bookmarkStart w:id="23" w:name="_Toc15377207"/>
      <w:r>
        <w:rPr>
          <w:rFonts w:hint="default" w:ascii="Times New Roman" w:hAnsi="Times New Roman" w:eastAsia="黑体" w:cs="Times New Roman"/>
          <w:sz w:val="32"/>
          <w:szCs w:val="32"/>
        </w:rPr>
        <w:t>三、支</w:t>
      </w:r>
      <w:r>
        <w:rPr>
          <w:rStyle w:val="29"/>
          <w:rFonts w:hint="default" w:ascii="Times New Roman" w:hAnsi="Times New Roman" w:eastAsia="黑体" w:cs="Times New Roman"/>
          <w:b w:val="0"/>
        </w:rPr>
        <w:t>出决算情况说明</w:t>
      </w:r>
      <w:bookmarkEnd w:id="22"/>
      <w:bookmarkEnd w:id="23"/>
    </w:p>
    <w:p>
      <w:pPr>
        <w:pStyle w:val="27"/>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2024年度本年支出合计2297.94万元，其中：基本支出1728.48万元，占</w:t>
      </w:r>
      <w:r>
        <w:rPr>
          <w:rFonts w:hint="eastAsia" w:eastAsia="仿宋_GB2312" w:cs="Times New Roman"/>
          <w:sz w:val="32"/>
          <w:szCs w:val="32"/>
          <w:lang w:val="en-US" w:eastAsia="zh-CN"/>
        </w:rPr>
        <w:t>75.22</w:t>
      </w:r>
      <w:r>
        <w:rPr>
          <w:rFonts w:hint="default" w:ascii="Times New Roman" w:hAnsi="Times New Roman" w:eastAsia="仿宋_GB2312" w:cs="Times New Roman"/>
          <w:sz w:val="32"/>
          <w:szCs w:val="32"/>
        </w:rPr>
        <w:t>%；项目支出569.46万元，占</w:t>
      </w:r>
      <w:r>
        <w:rPr>
          <w:rFonts w:hint="eastAsia" w:eastAsia="仿宋_GB2312" w:cs="Times New Roman"/>
          <w:sz w:val="32"/>
          <w:szCs w:val="32"/>
          <w:lang w:val="en-US" w:eastAsia="zh-CN"/>
        </w:rPr>
        <w:t>24.78</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；上缴上级支出0万元，占0%；经营支出0万元，占0%；对附属单位补助支出0万元，占0%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5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w:t>
      </w:r>
      <w:r>
        <w:rPr>
          <w:rFonts w:hint="eastAsia" w:eastAsia="仿宋"/>
        </w:rPr>
        <w:drawing>
          <wp:inline distT="0" distB="0" distL="114300" distR="114300">
            <wp:extent cx="4423410" cy="2790825"/>
            <wp:effectExtent l="47625" t="9525" r="62865" b="952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600" w:lineRule="exact"/>
        <w:ind w:firstLine="640" w:firstLineChars="200"/>
        <w:textAlignment w:val="auto"/>
        <w:outlineLvl w:val="1"/>
        <w:rPr>
          <w:rFonts w:hint="default" w:ascii="Times New Roman" w:hAnsi="Times New Roman" w:eastAsia="黑体" w:cs="Times New Roman"/>
          <w:sz w:val="32"/>
          <w:szCs w:val="32"/>
        </w:rPr>
      </w:pPr>
      <w:bookmarkStart w:id="24" w:name="_Toc15396606"/>
      <w:bookmarkStart w:id="25" w:name="_Toc15377208"/>
    </w:p>
    <w:p>
      <w:pPr>
        <w:pageBreakBefore w:val="0"/>
        <w:kinsoku/>
        <w:wordWrap/>
        <w:overflowPunct/>
        <w:topLinePunct w:val="0"/>
        <w:bidi w:val="0"/>
        <w:spacing w:line="600" w:lineRule="exact"/>
        <w:ind w:firstLine="640" w:firstLineChars="200"/>
        <w:textAlignment w:val="auto"/>
        <w:outlineLvl w:val="1"/>
        <w:rPr>
          <w:rStyle w:val="29"/>
          <w:rFonts w:hint="default" w:ascii="Times New Roman" w:hAnsi="Times New Roman" w:eastAsia="黑体" w:cs="Times New Roman"/>
          <w:b w:val="0"/>
        </w:rPr>
      </w:pPr>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2024年度财政拨款收入、支出总计均为</w:t>
      </w:r>
      <w:r>
        <w:rPr>
          <w:rFonts w:hint="eastAsia" w:eastAsia="仿宋_GB2312" w:cs="Times New Roman"/>
          <w:sz w:val="32"/>
          <w:szCs w:val="32"/>
          <w:lang w:val="en-US" w:eastAsia="zh-CN"/>
        </w:rPr>
        <w:t>1722.7</w:t>
      </w:r>
      <w:r>
        <w:rPr>
          <w:rFonts w:hint="default" w:ascii="Times New Roman" w:hAnsi="Times New Roman" w:eastAsia="仿宋_GB2312" w:cs="Times New Roman"/>
          <w:sz w:val="32"/>
          <w:szCs w:val="32"/>
        </w:rPr>
        <w:t>万元。与2023年度相比，财政拨款收入总计、支出总计各</w:t>
      </w:r>
      <w:r>
        <w:rPr>
          <w:rFonts w:hint="eastAsia" w:eastAsia="仿宋_GB2312" w:cs="Times New Roman"/>
          <w:sz w:val="32"/>
          <w:szCs w:val="32"/>
          <w:lang w:val="en-US" w:eastAsia="zh-CN"/>
        </w:rPr>
        <w:t>减少84.29</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下降4.66</w:t>
      </w:r>
      <w:r>
        <w:rPr>
          <w:rFonts w:hint="default" w:ascii="Times New Roman" w:hAnsi="Times New Roman" w:eastAsia="仿宋_GB2312" w:cs="Times New Roman"/>
          <w:sz w:val="32"/>
          <w:szCs w:val="32"/>
        </w:rPr>
        <w:t>%。主要变动原因是</w:t>
      </w:r>
      <w:r>
        <w:rPr>
          <w:rFonts w:hint="eastAsia" w:eastAsia="仿宋_GB2312" w:cs="Times New Roman"/>
          <w:sz w:val="32"/>
          <w:szCs w:val="32"/>
          <w:lang w:val="en-US" w:eastAsia="zh-CN"/>
        </w:rPr>
        <w:t>正常的人员经费、公用经费变动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bookmarkStart w:id="26" w:name="_Toc15377209"/>
      <w:bookmarkStart w:id="27" w:name="_Toc15396607"/>
      <w:r>
        <w:rPr>
          <w:rFonts w:hint="eastAsia" w:ascii="仿宋" w:hAnsi="仿宋" w:eastAsia="仿宋"/>
          <w:sz w:val="32"/>
          <w:szCs w:val="32"/>
        </w:rPr>
        <w:t>图4：财政拨款收、支决算总计变动情况</w:t>
      </w:r>
    </w:p>
    <w:p>
      <w:pPr>
        <w:pStyle w:val="13"/>
        <w:keepNext w:val="0"/>
        <w:keepLines w:val="0"/>
        <w:pageBreakBefore w:val="0"/>
        <w:widowControl w:val="0"/>
        <w:kinsoku/>
        <w:wordWrap/>
        <w:overflowPunct/>
        <w:topLinePunct w:val="0"/>
        <w:autoSpaceDE/>
        <w:autoSpaceDN/>
        <w:bidi w:val="0"/>
        <w:adjustRightInd/>
        <w:spacing w:line="240" w:lineRule="auto"/>
        <w:ind w:left="638" w:leftChars="304" w:firstLine="0" w:firstLineChars="0"/>
        <w:textAlignment w:val="auto"/>
        <w:rPr>
          <w:rFonts w:hint="default" w:ascii="Times New Roman" w:hAnsi="Times New Roman" w:cs="Times New Roman"/>
        </w:rPr>
      </w:pPr>
      <w:r>
        <w:rPr>
          <w:rFonts w:hint="eastAsia" w:eastAsia="仿宋"/>
        </w:rPr>
        <w:drawing>
          <wp:inline distT="0" distB="0" distL="114300" distR="114300">
            <wp:extent cx="4565650" cy="264795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600" w:lineRule="exact"/>
        <w:ind w:firstLine="640" w:firstLineChars="200"/>
        <w:textAlignment w:val="auto"/>
        <w:outlineLvl w:val="1"/>
        <w:rPr>
          <w:rStyle w:val="29"/>
          <w:rFonts w:hint="default" w:ascii="Times New Roman" w:hAnsi="Times New Roman" w:eastAsia="黑体" w:cs="Times New Roman"/>
          <w:b w:val="0"/>
        </w:rPr>
      </w:pPr>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26"/>
      <w:bookmarkEnd w:id="27"/>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28" w:name="_Toc15377210"/>
      <w:r>
        <w:rPr>
          <w:rFonts w:hint="default" w:ascii="Times New Roman" w:hAnsi="Times New Roman" w:eastAsia="楷体_GB2312" w:cs="Times New Roman"/>
          <w:b/>
          <w:sz w:val="32"/>
          <w:szCs w:val="32"/>
        </w:rPr>
        <w:t>（一）一般公共预算财政拨款支出决算总体情况</w:t>
      </w:r>
      <w:bookmarkEnd w:id="28"/>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2024年度一般公共预算财政拨款支出</w:t>
      </w:r>
      <w:r>
        <w:rPr>
          <w:rFonts w:hint="eastAsia" w:eastAsia="仿宋_GB2312" w:cs="Times New Roman"/>
          <w:sz w:val="32"/>
          <w:szCs w:val="32"/>
          <w:lang w:val="en-US" w:eastAsia="zh-CN"/>
        </w:rPr>
        <w:t>1722.7</w:t>
      </w:r>
      <w:r>
        <w:rPr>
          <w:rFonts w:hint="default" w:ascii="Times New Roman" w:hAnsi="Times New Roman" w:eastAsia="仿宋_GB2312" w:cs="Times New Roman"/>
          <w:sz w:val="32"/>
          <w:szCs w:val="32"/>
        </w:rPr>
        <w:t>万元，占本年支出合计的</w:t>
      </w:r>
      <w:r>
        <w:rPr>
          <w:rFonts w:hint="eastAsia" w:eastAsia="仿宋_GB2312" w:cs="Times New Roman"/>
          <w:sz w:val="32"/>
          <w:szCs w:val="32"/>
          <w:lang w:val="en-US" w:eastAsia="zh-CN"/>
        </w:rPr>
        <w:t>74.97</w:t>
      </w:r>
      <w:r>
        <w:rPr>
          <w:rFonts w:hint="default" w:ascii="Times New Roman" w:hAnsi="Times New Roman" w:eastAsia="仿宋_GB2312" w:cs="Times New Roman"/>
          <w:sz w:val="32"/>
          <w:szCs w:val="32"/>
        </w:rPr>
        <w:t>%。与2023年度相比，一般公共预算财政拨款支出</w:t>
      </w:r>
      <w:r>
        <w:rPr>
          <w:rFonts w:hint="eastAsia" w:eastAsia="仿宋_GB2312" w:cs="Times New Roman"/>
          <w:sz w:val="32"/>
          <w:szCs w:val="32"/>
          <w:lang w:val="en-US" w:eastAsia="zh-CN"/>
        </w:rPr>
        <w:t>减少84.29</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下降4.66</w:t>
      </w:r>
      <w:r>
        <w:rPr>
          <w:rFonts w:hint="default" w:ascii="Times New Roman" w:hAnsi="Times New Roman" w:eastAsia="仿宋_GB2312" w:cs="Times New Roman"/>
          <w:sz w:val="32"/>
          <w:szCs w:val="32"/>
        </w:rPr>
        <w:t>%。主要变动原因是</w:t>
      </w:r>
      <w:r>
        <w:rPr>
          <w:rFonts w:hint="eastAsia" w:ascii="Times New Roman" w:hAnsi="Times New Roman" w:eastAsia="仿宋_GB2312" w:cs="Times New Roman"/>
          <w:sz w:val="32"/>
          <w:szCs w:val="32"/>
          <w:lang w:val="en-US" w:eastAsia="zh-CN"/>
        </w:rPr>
        <w:t>正常的人员经费、公用经费变动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w:t>
      </w:r>
    </w:p>
    <w:p>
      <w:pPr>
        <w:pStyle w:val="13"/>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cs="Times New Roman"/>
        </w:rPr>
      </w:pPr>
      <w:r>
        <w:rPr>
          <w:rFonts w:hint="eastAsia" w:eastAsia="仿宋"/>
        </w:rPr>
        <w:drawing>
          <wp:inline distT="0" distB="0" distL="114300" distR="114300">
            <wp:extent cx="4423410" cy="2610485"/>
            <wp:effectExtent l="4445" t="5080" r="10795"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29" w:name="_Toc15377211"/>
      <w:r>
        <w:rPr>
          <w:rFonts w:hint="default" w:ascii="Times New Roman" w:hAnsi="Times New Roman" w:eastAsia="楷体_GB2312" w:cs="Times New Roman"/>
          <w:b/>
          <w:sz w:val="32"/>
          <w:szCs w:val="32"/>
        </w:rPr>
        <w:t>（二）一般公共预算财政拨款支出决算结构情况</w:t>
      </w:r>
      <w:bookmarkEnd w:id="29"/>
    </w:p>
    <w:p>
      <w:pPr>
        <w:pageBreakBefore w:val="0"/>
        <w:kinsoku/>
        <w:wordWrap/>
        <w:overflowPunct/>
        <w:topLinePunct w:val="0"/>
        <w:bidi w:val="0"/>
        <w:spacing w:line="600" w:lineRule="exact"/>
        <w:ind w:firstLine="640"/>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2024年度一般公共预算财政拨款支出</w:t>
      </w:r>
      <w:r>
        <w:rPr>
          <w:rFonts w:hint="eastAsia" w:eastAsia="仿宋_GB2312" w:cs="Times New Roman"/>
          <w:sz w:val="32"/>
          <w:szCs w:val="32"/>
          <w:lang w:val="en-US" w:eastAsia="zh-CN"/>
        </w:rPr>
        <w:t>1722.7</w:t>
      </w:r>
      <w:r>
        <w:rPr>
          <w:rFonts w:hint="default" w:ascii="Times New Roman" w:hAnsi="Times New Roman" w:eastAsia="仿宋_GB2312" w:cs="Times New Roman"/>
          <w:sz w:val="32"/>
          <w:szCs w:val="32"/>
        </w:rPr>
        <w:t>万元，主要用于以下方面：公共安全支出</w:t>
      </w:r>
      <w:r>
        <w:rPr>
          <w:rFonts w:hint="eastAsia" w:eastAsia="仿宋_GB2312" w:cs="Times New Roman"/>
          <w:sz w:val="32"/>
          <w:szCs w:val="32"/>
          <w:lang w:val="en-US" w:eastAsia="zh-CN"/>
        </w:rPr>
        <w:t>1381.45</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80.19</w:t>
      </w:r>
      <w:r>
        <w:rPr>
          <w:rFonts w:hint="default" w:ascii="Times New Roman" w:hAnsi="Times New Roman" w:eastAsia="仿宋_GB2312" w:cs="Times New Roman"/>
          <w:sz w:val="32"/>
          <w:szCs w:val="32"/>
        </w:rPr>
        <w:t>%；社会</w:t>
      </w:r>
      <w:r>
        <w:rPr>
          <w:rFonts w:hint="default" w:eastAsia="仿宋_GB2312" w:cs="Times New Roman"/>
          <w:sz w:val="32"/>
          <w:szCs w:val="32"/>
          <w:lang w:val="en-US" w:eastAsia="zh-CN"/>
        </w:rPr>
        <w:t>保障和就业支出</w:t>
      </w:r>
      <w:r>
        <w:rPr>
          <w:rFonts w:hint="eastAsia" w:eastAsia="仿宋_GB2312" w:cs="Times New Roman"/>
          <w:sz w:val="32"/>
          <w:szCs w:val="32"/>
          <w:lang w:val="en-US" w:eastAsia="zh-CN"/>
        </w:rPr>
        <w:t>137.28</w:t>
      </w:r>
      <w:r>
        <w:rPr>
          <w:rFonts w:hint="default" w:eastAsia="仿宋_GB2312" w:cs="Times New Roman"/>
          <w:sz w:val="32"/>
          <w:szCs w:val="32"/>
          <w:lang w:val="en-US" w:eastAsia="zh-CN"/>
        </w:rPr>
        <w:t>万元，占</w:t>
      </w:r>
      <w:r>
        <w:rPr>
          <w:rFonts w:hint="eastAsia" w:eastAsia="仿宋_GB2312" w:cs="Times New Roman"/>
          <w:sz w:val="32"/>
          <w:szCs w:val="32"/>
          <w:lang w:val="en-US" w:eastAsia="zh-CN"/>
        </w:rPr>
        <w:t>7.97</w:t>
      </w:r>
      <w:r>
        <w:rPr>
          <w:rFonts w:hint="default" w:eastAsia="仿宋_GB2312" w:cs="Times New Roman"/>
          <w:sz w:val="32"/>
          <w:szCs w:val="32"/>
          <w:lang w:val="en-US" w:eastAsia="zh-CN"/>
        </w:rPr>
        <w:t>%；卫生健康支出</w:t>
      </w:r>
      <w:r>
        <w:rPr>
          <w:rFonts w:hint="eastAsia" w:eastAsia="仿宋_GB2312" w:cs="Times New Roman"/>
          <w:sz w:val="32"/>
          <w:szCs w:val="32"/>
          <w:lang w:val="en-US" w:eastAsia="zh-CN"/>
        </w:rPr>
        <w:t>86.12</w:t>
      </w:r>
      <w:r>
        <w:rPr>
          <w:rFonts w:hint="default" w:eastAsia="仿宋_GB2312" w:cs="Times New Roman"/>
          <w:sz w:val="32"/>
          <w:szCs w:val="32"/>
          <w:lang w:val="en-US" w:eastAsia="zh-CN"/>
        </w:rPr>
        <w:t>万元，占</w:t>
      </w:r>
      <w:r>
        <w:rPr>
          <w:rFonts w:hint="eastAsia" w:eastAsia="仿宋_GB2312" w:cs="Times New Roman"/>
          <w:sz w:val="32"/>
          <w:szCs w:val="32"/>
          <w:lang w:val="en-US" w:eastAsia="zh-CN"/>
        </w:rPr>
        <w:t>5</w:t>
      </w:r>
      <w:r>
        <w:rPr>
          <w:rFonts w:hint="default" w:eastAsia="仿宋_GB2312" w:cs="Times New Roman"/>
          <w:sz w:val="32"/>
          <w:szCs w:val="32"/>
          <w:lang w:val="en-US" w:eastAsia="zh-CN"/>
        </w:rPr>
        <w:t>%；住房保障支出</w:t>
      </w:r>
      <w:r>
        <w:rPr>
          <w:rFonts w:hint="eastAsia" w:eastAsia="仿宋_GB2312" w:cs="Times New Roman"/>
          <w:sz w:val="32"/>
          <w:szCs w:val="32"/>
          <w:lang w:val="en-US" w:eastAsia="zh-CN"/>
        </w:rPr>
        <w:t>117.86</w:t>
      </w:r>
      <w:r>
        <w:rPr>
          <w:rFonts w:hint="default" w:eastAsia="仿宋_GB2312" w:cs="Times New Roman"/>
          <w:sz w:val="32"/>
          <w:szCs w:val="32"/>
          <w:lang w:val="en-US" w:eastAsia="zh-CN"/>
        </w:rPr>
        <w:t>万元，占</w:t>
      </w:r>
      <w:r>
        <w:rPr>
          <w:rFonts w:hint="eastAsia" w:eastAsia="仿宋_GB2312" w:cs="Times New Roman"/>
          <w:sz w:val="32"/>
          <w:szCs w:val="32"/>
          <w:lang w:val="en-US" w:eastAsia="zh-CN"/>
        </w:rPr>
        <w:t>6.84</w:t>
      </w:r>
      <w:r>
        <w:rPr>
          <w:rFonts w:hint="default"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图6：一般公共预算财政拨款支出决算结构</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eastAsia="仿宋"/>
        </w:rPr>
        <w:drawing>
          <wp:inline distT="0" distB="0" distL="114300" distR="114300">
            <wp:extent cx="4756150" cy="2734310"/>
            <wp:effectExtent l="47625" t="9525" r="53975" b="9461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30" w:name="_Toc15377212"/>
      <w:r>
        <w:rPr>
          <w:rFonts w:hint="default" w:ascii="Times New Roman" w:hAnsi="Times New Roman" w:eastAsia="楷体_GB2312" w:cs="Times New Roman"/>
          <w:b/>
          <w:sz w:val="32"/>
          <w:szCs w:val="32"/>
        </w:rPr>
        <w:t>（三）一般公共预算财政拨款支出决算具体情况</w:t>
      </w:r>
      <w:bookmarkEnd w:id="30"/>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bookmarkStart w:id="31" w:name="_Toc15377444"/>
      <w:bookmarkStart w:id="32" w:name="_Toc15378460"/>
      <w:bookmarkStart w:id="33" w:name="_Toc15377213"/>
      <w:r>
        <w:rPr>
          <w:rFonts w:hint="default" w:ascii="Times New Roman" w:hAnsi="Times New Roman" w:eastAsia="仿宋_GB2312" w:cs="Times New Roman"/>
          <w:sz w:val="32"/>
          <w:szCs w:val="32"/>
        </w:rPr>
        <w:t>2024年度一般公共预算财政拨款支出决算数为</w:t>
      </w:r>
      <w:r>
        <w:rPr>
          <w:rFonts w:hint="eastAsia" w:eastAsia="仿宋_GB2312" w:cs="Times New Roman"/>
          <w:sz w:val="32"/>
          <w:szCs w:val="32"/>
          <w:lang w:val="en-US" w:eastAsia="zh-CN"/>
        </w:rPr>
        <w:t>1722.7</w:t>
      </w:r>
      <w:r>
        <w:rPr>
          <w:rFonts w:hint="default" w:ascii="Times New Roman" w:hAnsi="Times New Roman" w:eastAsia="仿宋_GB2312" w:cs="Times New Roman"/>
          <w:sz w:val="32"/>
          <w:szCs w:val="32"/>
        </w:rPr>
        <w:t>万元，完成预算100%。其中：</w:t>
      </w:r>
      <w:bookmarkEnd w:id="31"/>
      <w:bookmarkEnd w:id="32"/>
      <w:bookmarkEnd w:id="33"/>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1.公共安全支出（类）法院（款）行政运行（项）: 支出决算为1086万元，完成预算100%，决算数等于预算数。</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2.公共安全支出（类）法院（款）一般行政管理事务（项）: 支出决算为25万元，完成预算100%，决算数等于预算数。</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3.公共安全支出（类）法院（款）其他法院支出（项）: 支出决算为270.45万元，完成预算100%，决算数等于预算数。</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4.社会保障和就业支出（类）行政事业单位养老支出（款）行政单位离退休（项）: 支出决算为7.69万元，完成预算100%，决算数等于预算数。</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5.社会保障和就业支出（类）行政事业单位养老支出（款）机关事业单位基本养老保险缴费支出（项）: 支出决算为119.27万元，完成预算100%，决算数等于预算数。</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6.社会保障和就业支出（类）行政事业单位养老支出（款）机关事业单位职业年金缴费支出（项）: 支出决算为10.31万元，完成预算100%，决算数等于预算数。</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7.卫生健康支出（类）行政事业单位医疗（款）行政单位医疗（项）: 支出决算为69.7万元，完成预算100%，决算数等于预算数。</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8.卫生健康支出（类）行政事业单位医疗（款）公务员医疗补助（项）:支出决算为6.91万元，完成预算100%，决算数等于预算数。</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9.卫生健康支出（类）行政事业单位医疗（款）其他行政事业单位医疗支出（项）:支出决算为9.5万元，完成预算100%，决算数等于预算数。</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10.卫生健康支出（类）其他卫生健康支出（款）其他卫生健康支出（项）：支出决算为0.01万元，完成预算100%，决算数等于预算数。</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11.住房保障支出（类）住房改革支出（款）住房公积金（项）：支出决算为117.86万元，完成预算100%，决算数等于预算数。</w:t>
      </w:r>
    </w:p>
    <w:p>
      <w:pPr>
        <w:pageBreakBefore w:val="0"/>
        <w:tabs>
          <w:tab w:val="right" w:pos="8306"/>
        </w:tabs>
        <w:kinsoku/>
        <w:wordWrap/>
        <w:overflowPunct/>
        <w:topLinePunct w:val="0"/>
        <w:bidi w:val="0"/>
        <w:spacing w:line="600" w:lineRule="exact"/>
        <w:ind w:firstLine="640"/>
        <w:textAlignment w:val="auto"/>
        <w:outlineLvl w:val="1"/>
        <w:rPr>
          <w:rStyle w:val="29"/>
          <w:rFonts w:hint="default" w:ascii="Times New Roman" w:hAnsi="Times New Roman" w:cs="Times New Roman"/>
        </w:rPr>
      </w:pPr>
      <w:bookmarkStart w:id="34" w:name="_Toc15396608"/>
      <w:bookmarkStart w:id="3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34"/>
      <w:bookmarkEnd w:id="35"/>
      <w:r>
        <w:rPr>
          <w:rStyle w:val="29"/>
          <w:rFonts w:hint="default" w:ascii="Times New Roman" w:hAnsi="Times New Roman" w:eastAsia="黑体" w:cs="Times New Roman"/>
          <w:b w:val="0"/>
        </w:rPr>
        <w:tab/>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2024年度一般公共预算财政拨款基本支出1427.25万元，其中：</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eastAsia" w:eastAsia="仿宋_GB2312" w:cs="Times New Roman"/>
          <w:sz w:val="32"/>
          <w:szCs w:val="32"/>
          <w:lang w:val="en-US" w:eastAsia="zh-CN"/>
        </w:rPr>
        <w:t>1261.81</w:t>
      </w:r>
      <w:r>
        <w:rPr>
          <w:rFonts w:hint="default" w:ascii="Times New Roman" w:hAnsi="Times New Roman" w:eastAsia="仿宋_GB2312" w:cs="Times New Roman"/>
          <w:sz w:val="32"/>
          <w:szCs w:val="32"/>
        </w:rPr>
        <w:t>万元，主要包括：基本工资、津贴补贴、奖金、机关事业单位基本养老保险缴费、职业年金缴费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职工基本医疗保险缴费、公务员医疗补助缴费、他社会保障缴费、住房公积金、其他工资福利支出、生活补助、奖励金。</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w:t>
      </w:r>
      <w:r>
        <w:rPr>
          <w:rFonts w:hint="eastAsia" w:eastAsia="仿宋_GB2312" w:cs="Times New Roman"/>
          <w:sz w:val="32"/>
          <w:szCs w:val="32"/>
          <w:lang w:val="en-US" w:eastAsia="zh-CN"/>
        </w:rPr>
        <w:t>165.44</w:t>
      </w:r>
      <w:r>
        <w:rPr>
          <w:rFonts w:hint="default" w:ascii="Times New Roman" w:hAnsi="Times New Roman" w:eastAsia="仿宋_GB2312" w:cs="Times New Roman"/>
          <w:sz w:val="32"/>
          <w:szCs w:val="32"/>
        </w:rPr>
        <w:t>万元，主要包括：办公费、水费、电费、邮电费、差旅费、维修（护）费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公务接待费、劳务费、工会经费、福利费、公务用车运行维护费、其他交通费、其他商品和服务支出。</w:t>
      </w:r>
    </w:p>
    <w:p>
      <w:pPr>
        <w:pageBreakBefore w:val="0"/>
        <w:kinsoku/>
        <w:wordWrap/>
        <w:overflowPunct/>
        <w:topLinePunct w:val="0"/>
        <w:bidi w:val="0"/>
        <w:spacing w:line="600" w:lineRule="exact"/>
        <w:ind w:firstLine="640"/>
        <w:textAlignment w:val="auto"/>
        <w:outlineLvl w:val="1"/>
        <w:rPr>
          <w:rStyle w:val="29"/>
          <w:rFonts w:hint="default" w:ascii="Times New Roman" w:hAnsi="Times New Roman" w:eastAsia="黑体" w:cs="Times New Roman"/>
          <w:b w:val="0"/>
        </w:rPr>
      </w:pPr>
      <w:bookmarkStart w:id="36" w:name="_Toc15377215"/>
      <w:bookmarkStart w:id="37" w:name="_Toc15396609"/>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36"/>
      <w:bookmarkEnd w:id="37"/>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38" w:name="_Toc15377216"/>
      <w:r>
        <w:rPr>
          <w:rFonts w:hint="default" w:ascii="Times New Roman" w:hAnsi="Times New Roman" w:eastAsia="楷体_GB2312" w:cs="Times New Roman"/>
          <w:b/>
          <w:sz w:val="32"/>
          <w:szCs w:val="32"/>
        </w:rPr>
        <w:t>（一）“三公”经费财政拨款支出决算总体情况说明</w:t>
      </w:r>
      <w:bookmarkEnd w:id="38"/>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2024年度“三公”经费财政拨款支出决算为</w:t>
      </w:r>
      <w:r>
        <w:rPr>
          <w:rFonts w:hint="eastAsia" w:eastAsia="仿宋_GB2312" w:cs="Times New Roman"/>
          <w:sz w:val="32"/>
          <w:szCs w:val="32"/>
          <w:lang w:val="en-US" w:eastAsia="zh-CN"/>
        </w:rPr>
        <w:t>12.46</w:t>
      </w:r>
      <w:r>
        <w:rPr>
          <w:rFonts w:hint="default" w:ascii="Times New Roman" w:hAnsi="Times New Roman" w:eastAsia="仿宋_GB2312" w:cs="Times New Roman"/>
          <w:sz w:val="32"/>
          <w:szCs w:val="32"/>
        </w:rPr>
        <w:t>万元，完成预算100%，较上年度</w:t>
      </w:r>
      <w:r>
        <w:rPr>
          <w:rFonts w:hint="eastAsia" w:eastAsia="仿宋_GB2312" w:cs="Times New Roman"/>
          <w:sz w:val="32"/>
          <w:szCs w:val="32"/>
          <w:lang w:val="en-US" w:eastAsia="zh-CN"/>
        </w:rPr>
        <w:t>减少1.01</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下降7.5</w:t>
      </w:r>
      <w:r>
        <w:rPr>
          <w:rFonts w:hint="default" w:ascii="Times New Roman" w:hAnsi="Times New Roman" w:eastAsia="仿宋_GB2312" w:cs="Times New Roman"/>
          <w:sz w:val="32"/>
          <w:szCs w:val="32"/>
        </w:rPr>
        <w:t>%。决算数与预算数持平的主要原因是202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年公务用车运行维护费和公务接待费</w:t>
      </w:r>
      <w:r>
        <w:rPr>
          <w:rFonts w:hint="eastAsia" w:eastAsia="仿宋_GB2312" w:cs="Times New Roman"/>
          <w:sz w:val="32"/>
          <w:szCs w:val="32"/>
          <w:lang w:val="en-US" w:eastAsia="zh-CN"/>
        </w:rPr>
        <w:t>均在预算内支出</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39" w:name="_Toc15377217"/>
      <w:r>
        <w:rPr>
          <w:rFonts w:hint="default" w:ascii="Times New Roman" w:hAnsi="Times New Roman" w:eastAsia="楷体_GB2312" w:cs="Times New Roman"/>
          <w:b/>
          <w:sz w:val="32"/>
          <w:szCs w:val="32"/>
        </w:rPr>
        <w:t>（二）“三公”经费财政拨款支出决算具体情况说明</w:t>
      </w:r>
      <w:bookmarkEnd w:id="39"/>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2024年度“三公”经费财政拨款支出决算中，因公出国（境）费支出决算0万元，占0%；公务用车购置及运行维护费支出决算</w:t>
      </w:r>
      <w:r>
        <w:rPr>
          <w:rFonts w:hint="eastAsia" w:eastAsia="仿宋_GB2312" w:cs="Times New Roman"/>
          <w:sz w:val="32"/>
          <w:szCs w:val="32"/>
          <w:lang w:val="en-US" w:eastAsia="zh-CN"/>
        </w:rPr>
        <w:t>11.14</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89.41</w:t>
      </w:r>
      <w:r>
        <w:rPr>
          <w:rFonts w:hint="default" w:ascii="Times New Roman" w:hAnsi="Times New Roman" w:eastAsia="仿宋_GB2312" w:cs="Times New Roman"/>
          <w:sz w:val="32"/>
          <w:szCs w:val="32"/>
        </w:rPr>
        <w:t>%；公务接待费支出决算</w:t>
      </w:r>
      <w:r>
        <w:rPr>
          <w:rFonts w:hint="eastAsia" w:eastAsia="仿宋_GB2312" w:cs="Times New Roman"/>
          <w:sz w:val="32"/>
          <w:szCs w:val="32"/>
          <w:lang w:val="en-US" w:eastAsia="zh-CN"/>
        </w:rPr>
        <w:t>1.32</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10.59</w:t>
      </w:r>
      <w:r>
        <w:rPr>
          <w:rFonts w:hint="default" w:ascii="Times New Roman" w:hAnsi="Times New Roman" w:eastAsia="仿宋_GB2312" w:cs="Times New Roman"/>
          <w:sz w:val="32"/>
          <w:szCs w:val="32"/>
        </w:rPr>
        <w:t>%。具体情况如下：</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仿宋" w:hAnsi="仿宋" w:eastAsia="仿宋"/>
          <w:sz w:val="32"/>
          <w:szCs w:val="32"/>
        </w:rPr>
      </w:pPr>
      <w:r>
        <w:rPr>
          <w:rFonts w:hint="eastAsia" w:ascii="仿宋" w:hAnsi="仿宋" w:eastAsia="仿宋"/>
          <w:sz w:val="32"/>
          <w:szCs w:val="32"/>
        </w:rPr>
        <w:t>图7：“三公”经费财政拨款支出结构</w:t>
      </w:r>
    </w:p>
    <w:p>
      <w:pPr>
        <w:pStyle w:val="13"/>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cs="Times New Roman"/>
        </w:rPr>
      </w:pPr>
      <w:r>
        <w:rPr>
          <w:rFonts w:hint="eastAsia" w:eastAsia="仿宋"/>
        </w:rPr>
        <w:drawing>
          <wp:inline distT="0" distB="0" distL="114300" distR="114300">
            <wp:extent cx="5080000" cy="3810000"/>
            <wp:effectExtent l="74295" t="20955" r="27305" b="742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1.因公出国（境）经费支出0万元，完成预算0%。</w:t>
      </w:r>
      <w:r>
        <w:rPr>
          <w:rFonts w:hint="default" w:ascii="Times New Roman" w:hAnsi="Times New Roman" w:eastAsia="仿宋_GB2312" w:cs="Times New Roman"/>
          <w:sz w:val="32"/>
          <w:szCs w:val="32"/>
        </w:rPr>
        <w:t>全年安排因公出国（境）团组0次，出国（境）0人。因公出国（境）支出决算与2023年持平。</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2.公务用车购置及运行维护费支出</w:t>
      </w:r>
      <w:r>
        <w:rPr>
          <w:rFonts w:hint="eastAsia" w:eastAsia="仿宋_GB2312" w:cs="Times New Roman"/>
          <w:b/>
          <w:bCs/>
          <w:sz w:val="32"/>
          <w:szCs w:val="32"/>
          <w:lang w:val="en-US" w:eastAsia="zh-CN"/>
        </w:rPr>
        <w:t>11.14</w:t>
      </w:r>
      <w:r>
        <w:rPr>
          <w:rFonts w:hint="default" w:ascii="Times New Roman" w:hAnsi="Times New Roman" w:eastAsia="仿宋_GB2312" w:cs="Times New Roman"/>
          <w:b/>
          <w:bCs/>
          <w:sz w:val="32"/>
          <w:szCs w:val="32"/>
        </w:rPr>
        <w:t>万元，完成预算</w:t>
      </w:r>
      <w:r>
        <w:rPr>
          <w:rFonts w:hint="eastAsia"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公务用车购置及运行维护费支出决算比2023年度</w:t>
      </w:r>
      <w:r>
        <w:rPr>
          <w:rFonts w:hint="eastAsia" w:eastAsia="仿宋_GB2312" w:cs="Times New Roman"/>
          <w:sz w:val="32"/>
          <w:szCs w:val="32"/>
          <w:lang w:val="en-US" w:eastAsia="zh-CN"/>
        </w:rPr>
        <w:t>减少1.62</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下降12.7</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较上年车辆维修费减少</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其中：公务用车购置支出0万元。全年按规定更新购置公务用车0辆，其中：轿车0辆、金额0万元，越野车0辆、金额0万元，载客汽车0辆、金额0万元。截至2024年12月31日，单位共有公务用车10辆，其中：轿车</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辆、越野车</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辆。</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w:t>
      </w:r>
      <w:r>
        <w:rPr>
          <w:rFonts w:hint="eastAsia" w:eastAsia="仿宋_GB2312" w:cs="Times New Roman"/>
          <w:sz w:val="32"/>
          <w:szCs w:val="32"/>
          <w:lang w:val="en-US" w:eastAsia="zh-CN"/>
        </w:rPr>
        <w:t>11.14</w:t>
      </w:r>
      <w:r>
        <w:rPr>
          <w:rFonts w:hint="default" w:ascii="Times New Roman" w:hAnsi="Times New Roman" w:eastAsia="仿宋_GB2312" w:cs="Times New Roman"/>
          <w:sz w:val="32"/>
          <w:szCs w:val="32"/>
        </w:rPr>
        <w:t>万元。主要法院审判、调查、送达文书、执行等所需的公务用车燃料费、维修费、过路过桥费、保险费等支出。</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3.公务接待费支出</w:t>
      </w:r>
      <w:r>
        <w:rPr>
          <w:rFonts w:hint="eastAsia" w:eastAsia="仿宋_GB2312" w:cs="Times New Roman"/>
          <w:b/>
          <w:bCs/>
          <w:sz w:val="32"/>
          <w:szCs w:val="32"/>
          <w:lang w:val="en-US" w:eastAsia="zh-CN"/>
        </w:rPr>
        <w:t>1.32</w:t>
      </w:r>
      <w:r>
        <w:rPr>
          <w:rFonts w:hint="default" w:ascii="Times New Roman" w:hAnsi="Times New Roman" w:eastAsia="仿宋_GB2312" w:cs="Times New Roman"/>
          <w:b/>
          <w:bCs/>
          <w:sz w:val="32"/>
          <w:szCs w:val="32"/>
        </w:rPr>
        <w:t>万元，完成预算</w:t>
      </w:r>
      <w:r>
        <w:rPr>
          <w:rFonts w:hint="eastAsia"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公务接待费支出决算比2023年度</w:t>
      </w:r>
      <w:r>
        <w:rPr>
          <w:rFonts w:hint="eastAsia" w:eastAsia="仿宋_GB2312" w:cs="Times New Roman"/>
          <w:sz w:val="32"/>
          <w:szCs w:val="32"/>
          <w:lang w:val="en-US" w:eastAsia="zh-CN"/>
        </w:rPr>
        <w:t>增加0.61</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增长85.92</w:t>
      </w:r>
      <w:r>
        <w:rPr>
          <w:rFonts w:hint="default" w:ascii="Times New Roman" w:hAnsi="Times New Roman" w:eastAsia="仿宋_GB2312" w:cs="Times New Roman"/>
          <w:sz w:val="32"/>
          <w:szCs w:val="32"/>
        </w:rPr>
        <w:t>%。主要原因是2024年接待任务较</w:t>
      </w:r>
      <w:r>
        <w:rPr>
          <w:rFonts w:hint="eastAsia" w:eastAsia="仿宋_GB2312" w:cs="Times New Roman"/>
          <w:sz w:val="32"/>
          <w:szCs w:val="32"/>
          <w:lang w:val="en-US" w:eastAsia="zh-CN"/>
        </w:rPr>
        <w:t>多</w:t>
      </w:r>
      <w:r>
        <w:rPr>
          <w:rFonts w:hint="default" w:ascii="Times New Roman" w:hAnsi="Times New Roman" w:eastAsia="仿宋_GB2312" w:cs="Times New Roman"/>
          <w:sz w:val="32"/>
          <w:szCs w:val="32"/>
        </w:rPr>
        <w:t>。其中：</w:t>
      </w:r>
    </w:p>
    <w:p>
      <w:pPr>
        <w:pageBreakBefore w:val="0"/>
        <w:kinsoku/>
        <w:wordWrap/>
        <w:overflowPunct/>
        <w:topLinePunct w:val="0"/>
        <w:bidi w:val="0"/>
        <w:spacing w:line="600" w:lineRule="exact"/>
        <w:ind w:firstLine="64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国内公务接待支出</w:t>
      </w:r>
      <w:r>
        <w:rPr>
          <w:rFonts w:hint="eastAsia" w:eastAsia="仿宋_GB2312" w:cs="Times New Roman"/>
          <w:sz w:val="32"/>
          <w:szCs w:val="32"/>
          <w:lang w:val="en-US" w:eastAsia="zh-CN"/>
        </w:rPr>
        <w:t>1.32</w:t>
      </w:r>
      <w:r>
        <w:rPr>
          <w:rFonts w:hint="default" w:ascii="Times New Roman" w:hAnsi="Times New Roman" w:eastAsia="仿宋_GB2312" w:cs="Times New Roman"/>
          <w:sz w:val="32"/>
          <w:szCs w:val="32"/>
        </w:rPr>
        <w:t>万元，主要用于执行公务、开展业务活动</w:t>
      </w:r>
      <w:r>
        <w:rPr>
          <w:rFonts w:hint="eastAsia" w:eastAsia="仿宋_GB2312" w:cs="Times New Roman"/>
          <w:sz w:val="32"/>
          <w:szCs w:val="32"/>
          <w:lang w:eastAsia="zh-CN"/>
        </w:rPr>
        <w:t>、</w:t>
      </w:r>
      <w:r>
        <w:rPr>
          <w:rFonts w:hint="eastAsia" w:eastAsia="仿宋_GB2312" w:cs="Times New Roman"/>
          <w:sz w:val="32"/>
          <w:szCs w:val="32"/>
          <w:lang w:val="en-US" w:eastAsia="zh-CN"/>
        </w:rPr>
        <w:t>调研学习等</w:t>
      </w:r>
      <w:r>
        <w:rPr>
          <w:rFonts w:hint="default" w:ascii="Times New Roman" w:hAnsi="Times New Roman" w:eastAsia="仿宋_GB2312" w:cs="Times New Roman"/>
          <w:sz w:val="32"/>
          <w:szCs w:val="32"/>
        </w:rPr>
        <w:t>开支的</w:t>
      </w:r>
      <w:r>
        <w:rPr>
          <w:rFonts w:hint="eastAsia" w:ascii="仿宋" w:hAnsi="仿宋" w:eastAsia="仿宋"/>
          <w:kern w:val="0"/>
          <w:sz w:val="32"/>
          <w:szCs w:val="32"/>
        </w:rPr>
        <w:t>用餐费等</w:t>
      </w:r>
      <w:r>
        <w:rPr>
          <w:rFonts w:hint="default" w:ascii="Times New Roman" w:hAnsi="Times New Roman" w:eastAsia="仿宋_GB2312" w:cs="Times New Roman"/>
          <w:sz w:val="32"/>
          <w:szCs w:val="32"/>
        </w:rPr>
        <w:t>。国内公务接待</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批次，</w:t>
      </w:r>
      <w:r>
        <w:rPr>
          <w:rFonts w:hint="eastAsia" w:eastAsia="仿宋_GB2312" w:cs="Times New Roman"/>
          <w:sz w:val="32"/>
          <w:szCs w:val="32"/>
          <w:lang w:val="en-US" w:eastAsia="zh-CN"/>
        </w:rPr>
        <w:t>102</w:t>
      </w:r>
      <w:r>
        <w:rPr>
          <w:rFonts w:hint="default" w:ascii="Times New Roman" w:hAnsi="Times New Roman" w:eastAsia="仿宋_GB2312" w:cs="Times New Roman"/>
          <w:sz w:val="32"/>
          <w:szCs w:val="32"/>
        </w:rPr>
        <w:t>人次（不包括陪同人员），共计支出</w:t>
      </w:r>
      <w:r>
        <w:rPr>
          <w:rFonts w:hint="eastAsia" w:eastAsia="仿宋_GB2312" w:cs="Times New Roman"/>
          <w:sz w:val="32"/>
          <w:szCs w:val="32"/>
          <w:lang w:val="en-US" w:eastAsia="zh-CN"/>
        </w:rPr>
        <w:t>1.32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具体内容包括接待省高院及中院督察</w:t>
      </w:r>
      <w:r>
        <w:rPr>
          <w:rFonts w:hint="eastAsia" w:eastAsia="仿宋_GB2312" w:cs="Times New Roman"/>
          <w:sz w:val="32"/>
          <w:szCs w:val="32"/>
          <w:lang w:val="en-US" w:eastAsia="zh-CN"/>
        </w:rPr>
        <w:t>工作860</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接待米易法院考察学习</w:t>
      </w:r>
      <w:r>
        <w:rPr>
          <w:rFonts w:hint="eastAsia" w:eastAsia="仿宋_GB2312" w:cs="Times New Roman"/>
          <w:sz w:val="32"/>
          <w:szCs w:val="32"/>
          <w:lang w:val="en-US" w:eastAsia="zh-CN"/>
        </w:rPr>
        <w:t>359</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接待凉山中院及市中院调研</w:t>
      </w:r>
      <w:r>
        <w:rPr>
          <w:rFonts w:hint="eastAsia" w:eastAsia="仿宋_GB2312" w:cs="Times New Roman"/>
          <w:sz w:val="32"/>
          <w:szCs w:val="32"/>
          <w:lang w:val="en-US" w:eastAsia="zh-CN"/>
        </w:rPr>
        <w:t>3100</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接待省高院调研枫桥式人民法庭</w:t>
      </w:r>
      <w:r>
        <w:rPr>
          <w:rFonts w:hint="eastAsia" w:eastAsia="仿宋_GB2312" w:cs="Times New Roman"/>
          <w:sz w:val="32"/>
          <w:szCs w:val="32"/>
          <w:lang w:val="en-US" w:eastAsia="zh-CN"/>
        </w:rPr>
        <w:t>825</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接待省高院审管办调研</w:t>
      </w:r>
      <w:r>
        <w:rPr>
          <w:rFonts w:hint="eastAsia" w:eastAsia="仿宋_GB2312" w:cs="Times New Roman"/>
          <w:sz w:val="32"/>
          <w:szCs w:val="32"/>
          <w:lang w:val="en-US" w:eastAsia="zh-CN"/>
        </w:rPr>
        <w:t>1138</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接待中院“枫桥式人民法庭”调研</w:t>
      </w:r>
      <w:r>
        <w:rPr>
          <w:rFonts w:hint="eastAsia" w:eastAsia="仿宋_GB2312" w:cs="Times New Roman"/>
          <w:sz w:val="32"/>
          <w:szCs w:val="32"/>
          <w:lang w:val="en-US" w:eastAsia="zh-CN"/>
        </w:rPr>
        <w:t>646元；</w:t>
      </w:r>
      <w:r>
        <w:rPr>
          <w:rFonts w:hint="default" w:ascii="Times New Roman" w:hAnsi="Times New Roman" w:eastAsia="仿宋_GB2312" w:cs="Times New Roman"/>
          <w:sz w:val="32"/>
          <w:szCs w:val="32"/>
        </w:rPr>
        <w:t>接待西区法院交流</w:t>
      </w:r>
      <w:r>
        <w:rPr>
          <w:rFonts w:hint="eastAsia" w:eastAsia="仿宋_GB2312" w:cs="Times New Roman"/>
          <w:sz w:val="32"/>
          <w:szCs w:val="32"/>
          <w:lang w:val="en-US" w:eastAsia="zh-CN"/>
        </w:rPr>
        <w:t>学习1554</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接待中院至红格法庭调研</w:t>
      </w:r>
      <w:r>
        <w:rPr>
          <w:rFonts w:hint="eastAsia" w:eastAsia="仿宋_GB2312" w:cs="Times New Roman"/>
          <w:sz w:val="32"/>
          <w:szCs w:val="32"/>
          <w:lang w:val="en-US" w:eastAsia="zh-CN"/>
        </w:rPr>
        <w:t>835</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接待中院及会理法院考察签约</w:t>
      </w:r>
      <w:r>
        <w:rPr>
          <w:rFonts w:hint="eastAsia" w:eastAsia="仿宋_GB2312" w:cs="Times New Roman"/>
          <w:sz w:val="32"/>
          <w:szCs w:val="32"/>
          <w:lang w:val="en-US" w:eastAsia="zh-CN"/>
        </w:rPr>
        <w:t>1600</w:t>
      </w:r>
      <w:r>
        <w:rPr>
          <w:rFonts w:hint="default" w:ascii="Times New Roman" w:hAnsi="Times New Roman" w:eastAsia="仿宋_GB2312" w:cs="Times New Roman"/>
          <w:sz w:val="32"/>
          <w:szCs w:val="32"/>
        </w:rPr>
        <w:t>元，接待市法院调研</w:t>
      </w:r>
      <w:r>
        <w:rPr>
          <w:rFonts w:hint="eastAsia" w:eastAsia="仿宋_GB2312" w:cs="Times New Roman"/>
          <w:sz w:val="32"/>
          <w:szCs w:val="32"/>
          <w:lang w:val="en-US" w:eastAsia="zh-CN"/>
        </w:rPr>
        <w:t>1185</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接待西区人大和法院调研</w:t>
      </w:r>
      <w:r>
        <w:rPr>
          <w:rFonts w:hint="eastAsia" w:eastAsia="仿宋_GB2312" w:cs="Times New Roman"/>
          <w:sz w:val="32"/>
          <w:szCs w:val="32"/>
          <w:lang w:val="en-US" w:eastAsia="zh-CN"/>
        </w:rPr>
        <w:t>1100</w:t>
      </w:r>
      <w:r>
        <w:rPr>
          <w:rFonts w:hint="default" w:ascii="Times New Roman" w:hAnsi="Times New Roman" w:eastAsia="仿宋_GB2312" w:cs="Times New Roman"/>
          <w:sz w:val="32"/>
          <w:szCs w:val="32"/>
        </w:rPr>
        <w:t>元</w:t>
      </w:r>
      <w:r>
        <w:rPr>
          <w:rFonts w:hint="eastAsia" w:eastAsia="仿宋_GB2312" w:cs="Times New Roman"/>
          <w:sz w:val="32"/>
          <w:szCs w:val="32"/>
          <w:lang w:val="en-US" w:eastAsia="zh-CN"/>
        </w:rPr>
        <w:t>。</w:t>
      </w:r>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外事接待支出0万元。外事接待0批次，0人次（不包括陪同人员），共计支出0万元。</w:t>
      </w:r>
    </w:p>
    <w:p>
      <w:pPr>
        <w:pageBreakBefore w:val="0"/>
        <w:kinsoku/>
        <w:wordWrap/>
        <w:overflowPunct/>
        <w:topLinePunct w:val="0"/>
        <w:bidi w:val="0"/>
        <w:spacing w:line="600" w:lineRule="exact"/>
        <w:ind w:firstLine="640"/>
        <w:textAlignment w:val="auto"/>
        <w:outlineLvl w:val="1"/>
        <w:rPr>
          <w:rStyle w:val="29"/>
          <w:rFonts w:hint="default" w:ascii="Times New Roman" w:hAnsi="Times New Roman" w:eastAsia="黑体" w:cs="Times New Roman"/>
        </w:rPr>
      </w:pPr>
      <w:bookmarkStart w:id="40" w:name="_Toc15377218"/>
      <w:bookmarkStart w:id="41" w:name="_Toc15396610"/>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40"/>
      <w:bookmarkEnd w:id="41"/>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2024年度政府性基金预算财政拨款支出0万元。</w:t>
      </w:r>
    </w:p>
    <w:p>
      <w:pPr>
        <w:pageBreakBefore w:val="0"/>
        <w:kinsoku/>
        <w:wordWrap/>
        <w:overflowPunct/>
        <w:topLinePunct w:val="0"/>
        <w:bidi w:val="0"/>
        <w:spacing w:line="600" w:lineRule="exact"/>
        <w:ind w:left="630"/>
        <w:textAlignment w:val="auto"/>
        <w:outlineLvl w:val="1"/>
        <w:rPr>
          <w:rStyle w:val="29"/>
          <w:rFonts w:hint="default" w:ascii="Times New Roman" w:hAnsi="Times New Roman" w:eastAsia="黑体" w:cs="Times New Roman"/>
          <w:b w:val="0"/>
        </w:rPr>
      </w:pPr>
      <w:bookmarkStart w:id="42" w:name="_Toc15396611"/>
      <w:bookmarkStart w:id="43" w:name="_Toc15377219"/>
      <w:r>
        <w:rPr>
          <w:rStyle w:val="29"/>
          <w:rFonts w:hint="default" w:ascii="Times New Roman" w:hAnsi="Times New Roman" w:eastAsia="黑体" w:cs="Times New Roman"/>
          <w:b w:val="0"/>
        </w:rPr>
        <w:t>九、国有资本经营预算支出决算情况说明</w:t>
      </w:r>
      <w:bookmarkEnd w:id="42"/>
      <w:bookmarkEnd w:id="43"/>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2024年度国有资本经营预算财政拨款支出0万元。</w:t>
      </w:r>
    </w:p>
    <w:p>
      <w:pPr>
        <w:pageBreakBefore w:val="0"/>
        <w:kinsoku/>
        <w:wordWrap/>
        <w:overflowPunct/>
        <w:topLinePunct w:val="0"/>
        <w:bidi w:val="0"/>
        <w:spacing w:line="600" w:lineRule="exact"/>
        <w:ind w:left="630"/>
        <w:textAlignment w:val="auto"/>
        <w:outlineLvl w:val="1"/>
        <w:rPr>
          <w:rStyle w:val="29"/>
          <w:rFonts w:hint="default" w:ascii="Times New Roman" w:hAnsi="Times New Roman" w:eastAsia="黑体" w:cs="Times New Roman"/>
          <w:b w:val="0"/>
        </w:rPr>
      </w:pPr>
      <w:bookmarkStart w:id="44" w:name="_Toc15377221"/>
      <w:bookmarkStart w:id="45" w:name="_Toc15396612"/>
      <w:r>
        <w:rPr>
          <w:rStyle w:val="29"/>
          <w:rFonts w:hint="default" w:ascii="Times New Roman" w:hAnsi="Times New Roman" w:eastAsia="黑体" w:cs="Times New Roman"/>
          <w:b w:val="0"/>
        </w:rPr>
        <w:t>十、其他重要事项的情况说明</w:t>
      </w:r>
      <w:bookmarkEnd w:id="44"/>
      <w:bookmarkEnd w:id="45"/>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46" w:name="_Toc15377222"/>
      <w:r>
        <w:rPr>
          <w:rFonts w:hint="default" w:ascii="Times New Roman" w:hAnsi="Times New Roman" w:eastAsia="楷体_GB2312" w:cs="Times New Roman"/>
          <w:b/>
          <w:sz w:val="32"/>
          <w:szCs w:val="32"/>
        </w:rPr>
        <w:t>（一）机关运行经费支出情况</w:t>
      </w:r>
      <w:bookmarkEnd w:id="46"/>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w:t>
      </w:r>
      <w:r>
        <w:rPr>
          <w:rFonts w:hint="default" w:ascii="Times New Roman" w:hAnsi="Times New Roman" w:eastAsia="仿宋_GB2312" w:cs="Times New Roman"/>
          <w:sz w:val="32"/>
          <w:szCs w:val="32"/>
          <w:lang w:eastAsia="zh-CN"/>
        </w:rPr>
        <w:t>盐边</w:t>
      </w:r>
      <w:r>
        <w:rPr>
          <w:rFonts w:hint="eastAsia" w:eastAsia="仿宋_GB2312" w:cs="Times New Roman"/>
          <w:sz w:val="32"/>
          <w:szCs w:val="32"/>
          <w:lang w:val="en-US" w:eastAsia="zh-CN"/>
        </w:rPr>
        <w:t>县</w:t>
      </w:r>
      <w:r>
        <w:rPr>
          <w:rFonts w:hint="default" w:ascii="Times New Roman" w:hAnsi="Times New Roman" w:eastAsia="仿宋_GB2312" w:cs="Times New Roman"/>
          <w:sz w:val="32"/>
          <w:szCs w:val="32"/>
        </w:rPr>
        <w:t>人民法院机关运行经费支出165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44万元，比2023年度增加</w:t>
      </w:r>
      <w:r>
        <w:rPr>
          <w:rFonts w:hint="eastAsia" w:eastAsia="仿宋_GB2312" w:cs="Times New Roman"/>
          <w:sz w:val="32"/>
          <w:szCs w:val="32"/>
          <w:lang w:val="en-US" w:eastAsia="zh-CN"/>
        </w:rPr>
        <w:t>0.14</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0.08</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正常的人员经费、公用经费变动</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47" w:name="_Toc15377223"/>
      <w:r>
        <w:rPr>
          <w:rFonts w:hint="default" w:ascii="Times New Roman" w:hAnsi="Times New Roman" w:eastAsia="楷体_GB2312" w:cs="Times New Roman"/>
          <w:b/>
          <w:sz w:val="32"/>
          <w:szCs w:val="32"/>
        </w:rPr>
        <w:t>（二）政府采购支出情况</w:t>
      </w:r>
      <w:bookmarkEnd w:id="47"/>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w:t>
      </w:r>
      <w:r>
        <w:rPr>
          <w:rFonts w:hint="default" w:ascii="Times New Roman" w:hAnsi="Times New Roman" w:eastAsia="仿宋_GB2312" w:cs="Times New Roman"/>
          <w:sz w:val="32"/>
          <w:szCs w:val="32"/>
          <w:lang w:eastAsia="zh-CN"/>
        </w:rPr>
        <w:t>盐边</w:t>
      </w:r>
      <w:r>
        <w:rPr>
          <w:rFonts w:hint="eastAsia" w:eastAsia="仿宋_GB2312" w:cs="Times New Roman"/>
          <w:sz w:val="32"/>
          <w:szCs w:val="32"/>
          <w:lang w:eastAsia="zh-CN"/>
        </w:rPr>
        <w:t>县</w:t>
      </w:r>
      <w:r>
        <w:rPr>
          <w:rFonts w:hint="default" w:ascii="Times New Roman" w:hAnsi="Times New Roman" w:eastAsia="仿宋_GB2312" w:cs="Times New Roman"/>
          <w:sz w:val="32"/>
          <w:szCs w:val="32"/>
        </w:rPr>
        <w:t>人民法院政府采购支出总额89</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8</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万元，其中：政府采购货物支出8</w:t>
      </w:r>
      <w:r>
        <w:rPr>
          <w:rFonts w:hint="eastAsia" w:eastAsia="仿宋_GB2312" w:cs="Times New Roman"/>
          <w:sz w:val="32"/>
          <w:szCs w:val="32"/>
          <w:lang w:val="en-US" w:eastAsia="zh-CN"/>
        </w:rPr>
        <w:t>5.95</w:t>
      </w:r>
      <w:r>
        <w:rPr>
          <w:rFonts w:hint="default" w:ascii="Times New Roman" w:hAnsi="Times New Roman" w:eastAsia="仿宋_GB2312" w:cs="Times New Roman"/>
          <w:sz w:val="32"/>
          <w:szCs w:val="32"/>
        </w:rPr>
        <w:t>万元、政府采购工程支出0万元、政府采购服务支出</w:t>
      </w:r>
      <w:r>
        <w:rPr>
          <w:rFonts w:hint="eastAsia" w:eastAsia="仿宋_GB2312" w:cs="Times New Roman"/>
          <w:sz w:val="32"/>
          <w:szCs w:val="32"/>
          <w:lang w:val="en-US" w:eastAsia="zh-CN"/>
        </w:rPr>
        <w:t>3.9</w:t>
      </w:r>
      <w:r>
        <w:rPr>
          <w:rFonts w:hint="default" w:ascii="Times New Roman" w:hAnsi="Times New Roman" w:eastAsia="仿宋_GB2312" w:cs="Times New Roman"/>
          <w:sz w:val="32"/>
          <w:szCs w:val="32"/>
        </w:rPr>
        <w:t>万元。授予中小企业合同金额</w:t>
      </w:r>
      <w:r>
        <w:rPr>
          <w:rFonts w:hint="eastAsia" w:eastAsia="仿宋_GB2312" w:cs="Times New Roman"/>
          <w:sz w:val="32"/>
          <w:szCs w:val="32"/>
          <w:lang w:val="en-US" w:eastAsia="zh-CN"/>
        </w:rPr>
        <w:t>89.85</w:t>
      </w:r>
      <w:r>
        <w:rPr>
          <w:rFonts w:hint="default" w:ascii="Times New Roman" w:hAnsi="Times New Roman" w:eastAsia="仿宋_GB2312" w:cs="Times New Roman"/>
          <w:sz w:val="32"/>
          <w:szCs w:val="32"/>
        </w:rPr>
        <w:t>万元，占政府采购支出总额的</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%，其中：授予小微企业合同金额</w:t>
      </w:r>
      <w:r>
        <w:rPr>
          <w:rFonts w:hint="eastAsia" w:eastAsia="仿宋_GB2312" w:cs="Times New Roman"/>
          <w:sz w:val="32"/>
          <w:szCs w:val="32"/>
          <w:lang w:val="en-US" w:eastAsia="zh-CN"/>
        </w:rPr>
        <w:t>89.85</w:t>
      </w:r>
      <w:r>
        <w:rPr>
          <w:rFonts w:hint="default" w:ascii="Times New Roman" w:hAnsi="Times New Roman" w:eastAsia="仿宋_GB2312" w:cs="Times New Roman"/>
          <w:sz w:val="32"/>
          <w:szCs w:val="32"/>
        </w:rPr>
        <w:t>万元，占政府采购支出总额的</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0%。</w:t>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48" w:name="_Toc15377224"/>
      <w:r>
        <w:rPr>
          <w:rFonts w:hint="default" w:ascii="Times New Roman" w:hAnsi="Times New Roman" w:eastAsia="楷体_GB2312" w:cs="Times New Roman"/>
          <w:b/>
          <w:sz w:val="32"/>
          <w:szCs w:val="32"/>
        </w:rPr>
        <w:t>（三）国有资产占有使用情况</w:t>
      </w:r>
      <w:bookmarkEnd w:id="48"/>
    </w:p>
    <w:p>
      <w:pPr>
        <w:pageBreakBefore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12月31日，盐边县人民法院共有车辆10辆，其中：主要领导干部用车0辆、机要通信用车0辆、应急保障用车0辆、其他用车10辆，其他用车主要是用于保障执法办案。单价50万元以上通用设备0台（套），单价100万元以上专用设备（不含车辆）0台（套）。</w:t>
      </w:r>
    </w:p>
    <w:p>
      <w:pPr>
        <w:pageBreakBefore w:val="0"/>
        <w:kinsoku/>
        <w:wordWrap/>
        <w:overflowPunct/>
        <w:topLinePunct w:val="0"/>
        <w:bidi w:val="0"/>
        <w:spacing w:line="600" w:lineRule="exact"/>
        <w:ind w:firstLine="643" w:firstLineChars="200"/>
        <w:textAlignment w:val="auto"/>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（四）预算绩效管理情况</w:t>
      </w:r>
    </w:p>
    <w:p>
      <w:pPr>
        <w:pageBreakBefore w:val="0"/>
        <w:kinsoku/>
        <w:wordWrap/>
        <w:overflowPunct/>
        <w:topLinePunct w:val="0"/>
        <w:bidi w:val="0"/>
        <w:spacing w:line="600" w:lineRule="exact"/>
        <w:ind w:firstLine="64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根据预算绩效管理要求，本单位在202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年度预算编制阶段，组织对办案经费等</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个项目开展了预算事前绩效评估，对</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个项目编制了绩效目标，预算执行过程中，选取</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个项目开展绩效监控，由于</w:t>
      </w:r>
      <w:r>
        <w:rPr>
          <w:rFonts w:hint="eastAsia" w:eastAsia="仿宋_GB2312" w:cs="Times New Roman"/>
          <w:sz w:val="32"/>
          <w:szCs w:val="32"/>
          <w:lang w:val="en-US" w:eastAsia="zh-CN"/>
        </w:rPr>
        <w:t>其中2个</w:t>
      </w:r>
      <w:r>
        <w:rPr>
          <w:rFonts w:hint="default" w:ascii="Times New Roman" w:hAnsi="Times New Roman" w:eastAsia="仿宋_GB2312" w:cs="Times New Roman"/>
          <w:sz w:val="32"/>
          <w:szCs w:val="32"/>
        </w:rPr>
        <w:t>项目存在涉密情况，所以组织对</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个项目开展绩效自评，绩效自评表详见第四部分附件</w:t>
      </w:r>
      <w:r>
        <w:rPr>
          <w:rFonts w:hint="eastAsia" w:eastAsia="仿宋_GB2312" w:cs="Times New Roman"/>
          <w:sz w:val="32"/>
          <w:szCs w:val="32"/>
          <w:lang w:eastAsia="zh-CN"/>
        </w:rPr>
        <w:t>。</w:t>
      </w:r>
    </w:p>
    <w:p>
      <w:pPr>
        <w:pStyle w:val="13"/>
        <w:pageBreakBefore w:val="0"/>
        <w:kinsoku/>
        <w:wordWrap/>
        <w:overflowPunct/>
        <w:topLinePunct w:val="0"/>
        <w:bidi w:val="0"/>
        <w:spacing w:line="600" w:lineRule="exact"/>
        <w:textAlignment w:val="auto"/>
        <w:rPr>
          <w:rFonts w:hint="eastAsia" w:eastAsia="仿宋_GB2312" w:cs="Times New Roman"/>
          <w:sz w:val="32"/>
          <w:szCs w:val="32"/>
          <w:lang w:eastAsia="zh-CN"/>
        </w:rPr>
      </w:pPr>
    </w:p>
    <w:p>
      <w:pPr>
        <w:pageBreakBefore w:val="0"/>
        <w:kinsoku/>
        <w:wordWrap/>
        <w:overflowPunct/>
        <w:topLinePunct w:val="0"/>
        <w:bidi w:val="0"/>
        <w:spacing w:line="600" w:lineRule="exact"/>
        <w:jc w:val="center"/>
        <w:textAlignment w:val="auto"/>
        <w:outlineLvl w:val="0"/>
        <w:rPr>
          <w:rFonts w:hint="default" w:ascii="Times New Roman" w:hAnsi="Times New Roman" w:eastAsia="黑体" w:cs="Times New Roman"/>
          <w:sz w:val="44"/>
          <w:szCs w:val="44"/>
        </w:rPr>
      </w:pPr>
      <w:bookmarkStart w:id="49" w:name="_Toc15396613"/>
      <w:bookmarkStart w:id="50" w:name="_Toc15377225"/>
      <w:r>
        <w:rPr>
          <w:rFonts w:hint="default" w:ascii="Times New Roman" w:hAnsi="Times New Roman" w:eastAsia="黑体" w:cs="Times New Roman"/>
          <w:sz w:val="44"/>
          <w:szCs w:val="44"/>
        </w:rPr>
        <w:t>第三部分  名词解释</w:t>
      </w:r>
      <w:bookmarkEnd w:id="49"/>
      <w:bookmarkEnd w:id="50"/>
    </w:p>
    <w:p>
      <w:pPr>
        <w:pStyle w:val="2"/>
        <w:pageBreakBefore w:val="0"/>
        <w:kinsoku/>
        <w:wordWrap/>
        <w:overflowPunct/>
        <w:topLinePunct w:val="0"/>
        <w:bidi w:val="0"/>
        <w:spacing w:line="600" w:lineRule="exact"/>
        <w:textAlignment w:val="auto"/>
        <w:rPr>
          <w:rFonts w:hint="default"/>
        </w:rPr>
      </w:pP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bookmarkStart w:id="51" w:name="_Toc15377226"/>
      <w:r>
        <w:rPr>
          <w:rFonts w:hint="eastAsia" w:ascii="仿宋" w:hAnsi="仿宋" w:eastAsia="仿宋"/>
          <w:sz w:val="32"/>
          <w:szCs w:val="32"/>
        </w:rPr>
        <w:t>1.财政拨款收入：指单位从同级财政部门取得的财政预算资金。</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 xml:space="preserve">2.其他收入：指单位取得的除上述收入以外的各项收入。主要是银行存款利息等。 </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 xml:space="preserve">3.年初结转和结余：指以前年度尚未完成、结转到本年按有关规定继续使用的资金。 </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4.结余分配：指事业单位按照会计制度规定缴纳的所得税、提取的专用结余以及转入非财政拨款结余的金额等。</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5.一般公共服务支出（类）民族事务（款）民族工作专项（项）：指用于民族事务管理方面的专项支出。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6.一般公共服务支出（类）其他一般公共服务支出（款）其他一般公共服务支出（项）：指上述项目未包括的一般公共服务支出。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7.公共安全支出（类）法院（款）行政运行（项）：指法院（包括各专门法院）的基本支出。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8.公共安全支出（类）法院（款）一般行政管理事务（项）：指法院（包括各专门法院）未单独设置项级科目的其他项目支出。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9.公共安全支出（类）法院（款）其他法院支出（项）：指除上述项目以外其他用于法院方面的支出。。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10.公共安全支出（类）其他公共安全支出（款）其他公共安全支出（项）：指除上述项目以外其他用于公共安全方面的支出。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11.社会保障和就业支出（类）行政事业单位养老支出（款）行政单位离退休（项）：指行政单位（包括实行公务员管理的事业单位）开支的离退休经费。</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12.社会保障和就业支出（类）行政事业单位养老支出（款）机关事业单位基本养老保险缴费支出（项）：指机关事业单位实施养老保险制度由单位缴纳的基本养老保险费支出。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13.社会保障和就业支出（类）行政事业单位养老支出（款）机关事业单位职业年金缴费支出（项）：指机关事业单位实施养老保险制度由单位实际缴纳的职业年金支出。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14.社会保障和就业支出（类）抚恤（款）死亡抚恤（项）：指按规定用于烈士和牺牲、病故人员家属的一次性和定期抚恤金、丧葬补助费以及烈士褒奖金。</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15.卫生健康支出（类）行政事业单位医疗（款）行政单位医疗（项）：指财政部门安排的行政单位（包括实行公务员管理的事业单位，下同）基本医疗保险缴费经费，未参加医疗保险的行政单位的公费医疗经费，按国家规定享受离休人员、红军老战士待遇的医疗经费。</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16.卫生健康支出（类）行政事业单位医疗（款）公务员医疗补助（项）：指反映财政部门安排的公务员医疗补助经费。</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17.住房保障支出（类）住房改革支出（款）住房公积金（项）：指行政事业单位按人力资源和社会保障部、财政部规定的基本工资和津贴补贴以及规定比例为职工缴纳的住房公积金。</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18.基本支出：指为保障机构正常运转、完成日常工作任务而发生的人员支出和公用支出。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 xml:space="preserve">19.项目支出：指在基本支出之外为完成特定行政任务和事业发展目标所发生的支出。 </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20.经营支出：指事业单位在专业业务活动及其辅助活动之外开展非独立核算经营活动发生的支出。</w:t>
      </w:r>
    </w:p>
    <w:p>
      <w:pPr>
        <w:pStyle w:val="2"/>
        <w:pageBreakBefore w:val="0"/>
        <w:kinsoku/>
        <w:wordWrap/>
        <w:overflowPunct/>
        <w:topLinePunct w:val="0"/>
        <w:bidi w:val="0"/>
        <w:adjustRightInd w:val="0"/>
        <w:snapToGrid w:val="0"/>
        <w:spacing w:before="93" w:line="600" w:lineRule="exact"/>
        <w:ind w:firstLine="640" w:firstLineChars="200"/>
        <w:textAlignment w:val="auto"/>
        <w:outlineLvl w:val="2"/>
        <w:rPr>
          <w:rFonts w:ascii="仿宋" w:hAnsi="仿宋" w:eastAsia="仿宋"/>
          <w:sz w:val="32"/>
          <w:szCs w:val="32"/>
        </w:rPr>
      </w:pPr>
      <w:r>
        <w:rPr>
          <w:rFonts w:hint="eastAsia" w:ascii="仿宋" w:hAnsi="仿宋" w:eastAsia="仿宋"/>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pageBreakBefore w:val="0"/>
        <w:numPr>
          <w:ilvl w:val="0"/>
          <w:numId w:val="0"/>
        </w:numPr>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 w:hAnsi="仿宋" w:eastAsia="仿宋"/>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ascii="Times New Roman" w:hAnsi="Times New Roman" w:eastAsia="仿宋_GB2312" w:cs="Times New Roman"/>
          <w:color w:val="auto"/>
          <w:sz w:val="32"/>
          <w:szCs w:val="32"/>
        </w:rPr>
        <w:t>。</w:t>
      </w:r>
    </w:p>
    <w:p>
      <w:pPr>
        <w:pageBreakBefore w:val="0"/>
        <w:kinsoku/>
        <w:wordWrap/>
        <w:overflowPunct/>
        <w:topLinePunct w:val="0"/>
        <w:bidi w:val="0"/>
        <w:spacing w:line="600" w:lineRule="exact"/>
        <w:jc w:val="center"/>
        <w:textAlignment w:val="auto"/>
        <w:rPr>
          <w:rFonts w:hint="default" w:ascii="Times New Roman" w:hAnsi="Times New Roman" w:eastAsia="黑体" w:cs="Times New Roman"/>
          <w:sz w:val="44"/>
          <w:szCs w:val="44"/>
        </w:rPr>
      </w:pPr>
      <w:bookmarkStart w:id="52" w:name="_Toc15396614"/>
    </w:p>
    <w:p>
      <w:pPr>
        <w:pageBreakBefore w:val="0"/>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Style w:val="2"/>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kinsoku/>
        <w:wordWrap/>
        <w:overflowPunct/>
        <w:topLinePunct w:val="0"/>
        <w:bidi w:val="0"/>
        <w:spacing w:line="600"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第四部分  附件</w:t>
      </w:r>
      <w:bookmarkEnd w:id="52"/>
    </w:p>
    <w:p>
      <w:pPr>
        <w:pStyle w:val="2"/>
        <w:rPr>
          <w:rFonts w:hint="default"/>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sz w:val="32"/>
          <w:szCs w:val="32"/>
        </w:rPr>
      </w:pPr>
      <w:r>
        <w:rPr>
          <w:rFonts w:hint="eastAsia" w:cs="Times New Roman"/>
          <w:sz w:val="32"/>
          <w:szCs w:val="32"/>
          <w:lang w:val="en-US" w:eastAsia="zh-CN"/>
        </w:rPr>
        <w:t>单位预算项目支出绩效自评表（2024年度）见附件《单位预算项目支出绩效自评表（2024年度）》</w:t>
      </w:r>
    </w:p>
    <w:p>
      <w:pPr>
        <w:pageBreakBefore w:val="0"/>
        <w:widowControl/>
        <w:kinsoku/>
        <w:wordWrap/>
        <w:overflowPunct/>
        <w:topLinePunct w:val="0"/>
        <w:bidi w:val="0"/>
        <w:spacing w:line="600" w:lineRule="exact"/>
        <w:jc w:val="both"/>
        <w:textAlignment w:val="auto"/>
        <w:rPr>
          <w:rFonts w:hint="default" w:ascii="Times New Roman" w:hAnsi="Times New Roman" w:eastAsia="黑体" w:cs="Times New Roman"/>
          <w:sz w:val="44"/>
          <w:szCs w:val="44"/>
        </w:rPr>
      </w:pPr>
      <w:bookmarkStart w:id="67" w:name="_GoBack"/>
      <w:bookmarkEnd w:id="67"/>
      <w:bookmarkStart w:id="53" w:name="_Toc15396618"/>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sz w:val="44"/>
          <w:szCs w:val="44"/>
        </w:rPr>
      </w:pPr>
    </w:p>
    <w:p>
      <w:pPr>
        <w:pageBreakBefore w:val="0"/>
        <w:widowControl/>
        <w:kinsoku/>
        <w:wordWrap/>
        <w:overflowPunct/>
        <w:topLinePunct w:val="0"/>
        <w:bidi w:val="0"/>
        <w:spacing w:line="600" w:lineRule="exact"/>
        <w:jc w:val="center"/>
        <w:textAlignment w:val="auto"/>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8"/>
          <w:rFonts w:hint="default" w:ascii="Times New Roman" w:hAnsi="Times New Roman" w:eastAsia="黑体" w:cs="Times New Roman"/>
          <w:b w:val="0"/>
        </w:rPr>
        <w:t>五部分 附表</w:t>
      </w:r>
      <w:bookmarkEnd w:id="51"/>
      <w:bookmarkEnd w:id="53"/>
      <w:bookmarkStart w:id="54" w:name="_Toc15396619"/>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bookmarkEnd w:id="54"/>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55" w:name="_Toc15396620"/>
      <w:r>
        <w:rPr>
          <w:rFonts w:hint="default" w:ascii="Times New Roman" w:hAnsi="Times New Roman" w:eastAsia="仿宋_GB2312" w:cs="Times New Roman"/>
          <w:sz w:val="32"/>
          <w:szCs w:val="32"/>
        </w:rPr>
        <w:t>二、收入决算表</w:t>
      </w:r>
      <w:bookmarkEnd w:id="55"/>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56" w:name="_Toc15396621"/>
      <w:r>
        <w:rPr>
          <w:rFonts w:hint="default" w:ascii="Times New Roman" w:hAnsi="Times New Roman" w:eastAsia="仿宋_GB2312" w:cs="Times New Roman"/>
          <w:sz w:val="32"/>
          <w:szCs w:val="32"/>
        </w:rPr>
        <w:t>三、支出决算表</w:t>
      </w:r>
      <w:bookmarkEnd w:id="56"/>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57" w:name="_Toc15396622"/>
      <w:r>
        <w:rPr>
          <w:rFonts w:hint="default" w:ascii="Times New Roman" w:hAnsi="Times New Roman" w:eastAsia="仿宋_GB2312" w:cs="Times New Roman"/>
          <w:sz w:val="32"/>
          <w:szCs w:val="32"/>
        </w:rPr>
        <w:t>四、财政拨款收入支出决算总表</w:t>
      </w:r>
      <w:bookmarkEnd w:id="57"/>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58" w:name="_Toc15396623"/>
      <w:r>
        <w:rPr>
          <w:rFonts w:hint="default" w:ascii="Times New Roman" w:hAnsi="Times New Roman" w:eastAsia="仿宋_GB2312" w:cs="Times New Roman"/>
          <w:sz w:val="32"/>
          <w:szCs w:val="32"/>
        </w:rPr>
        <w:t>五、财政拨款支出决算明细表</w:t>
      </w:r>
      <w:bookmarkEnd w:id="58"/>
      <w:bookmarkStart w:id="59" w:name="_Toc15396624"/>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bookmarkEnd w:id="59"/>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60" w:name="_Toc15396625"/>
      <w:r>
        <w:rPr>
          <w:rFonts w:hint="default" w:ascii="Times New Roman" w:hAnsi="Times New Roman" w:eastAsia="仿宋_GB2312" w:cs="Times New Roman"/>
          <w:sz w:val="32"/>
          <w:szCs w:val="32"/>
        </w:rPr>
        <w:t>七、一般公共预算财政拨款支出决算明细表</w:t>
      </w:r>
      <w:bookmarkEnd w:id="60"/>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61" w:name="_Toc15396626"/>
      <w:r>
        <w:rPr>
          <w:rFonts w:hint="default" w:ascii="Times New Roman" w:hAnsi="Times New Roman" w:eastAsia="仿宋_GB2312" w:cs="Times New Roman"/>
          <w:sz w:val="32"/>
          <w:szCs w:val="32"/>
        </w:rPr>
        <w:t>八、一般公共预算财政拨款</w:t>
      </w:r>
      <w:bookmarkEnd w:id="61"/>
      <w:r>
        <w:rPr>
          <w:rFonts w:hint="default" w:ascii="Times New Roman" w:hAnsi="Times New Roman" w:eastAsia="仿宋_GB2312" w:cs="Times New Roman"/>
          <w:sz w:val="32"/>
          <w:szCs w:val="32"/>
        </w:rPr>
        <w:t>基本支出决算明细表</w:t>
      </w:r>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62" w:name="_Toc15396627"/>
      <w:r>
        <w:rPr>
          <w:rFonts w:hint="default" w:ascii="Times New Roman" w:hAnsi="Times New Roman" w:eastAsia="仿宋_GB2312" w:cs="Times New Roman"/>
          <w:sz w:val="32"/>
          <w:szCs w:val="32"/>
        </w:rPr>
        <w:t>九、一般公共预算财政拨款</w:t>
      </w:r>
      <w:bookmarkEnd w:id="62"/>
      <w:r>
        <w:rPr>
          <w:rFonts w:hint="default" w:ascii="Times New Roman" w:hAnsi="Times New Roman" w:eastAsia="仿宋_GB2312" w:cs="Times New Roman"/>
          <w:sz w:val="32"/>
          <w:szCs w:val="32"/>
        </w:rPr>
        <w:t>项目支出决算表</w:t>
      </w:r>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63" w:name="_Toc15396628"/>
      <w:r>
        <w:rPr>
          <w:rFonts w:hint="default" w:ascii="Times New Roman" w:hAnsi="Times New Roman" w:eastAsia="仿宋_GB2312" w:cs="Times New Roman"/>
          <w:sz w:val="32"/>
          <w:szCs w:val="32"/>
        </w:rPr>
        <w:t>十、</w:t>
      </w:r>
      <w:bookmarkEnd w:id="63"/>
      <w:r>
        <w:rPr>
          <w:rFonts w:hint="default" w:ascii="Times New Roman" w:hAnsi="Times New Roman" w:eastAsia="仿宋_GB2312" w:cs="Times New Roman"/>
          <w:sz w:val="32"/>
          <w:szCs w:val="32"/>
        </w:rPr>
        <w:t>政府性基金预算财政拨款收入支出决算表</w:t>
      </w:r>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64" w:name="_Toc15396629"/>
      <w:r>
        <w:rPr>
          <w:rFonts w:hint="default" w:ascii="Times New Roman" w:hAnsi="Times New Roman" w:eastAsia="仿宋_GB2312" w:cs="Times New Roman"/>
          <w:sz w:val="32"/>
          <w:szCs w:val="32"/>
        </w:rPr>
        <w:t>十一、</w:t>
      </w:r>
      <w:bookmarkEnd w:id="64"/>
      <w:r>
        <w:rPr>
          <w:rFonts w:hint="default" w:ascii="Times New Roman" w:hAnsi="Times New Roman" w:eastAsia="仿宋_GB2312" w:cs="Times New Roman"/>
          <w:sz w:val="32"/>
          <w:szCs w:val="32"/>
        </w:rPr>
        <w:t>国有资本经营预算财政拨款收入支出决算表</w:t>
      </w:r>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65" w:name="_Toc15396630"/>
      <w:r>
        <w:rPr>
          <w:rFonts w:hint="default" w:ascii="Times New Roman" w:hAnsi="Times New Roman" w:eastAsia="仿宋_GB2312" w:cs="Times New Roman"/>
          <w:sz w:val="32"/>
          <w:szCs w:val="32"/>
        </w:rPr>
        <w:t>十二、</w:t>
      </w:r>
      <w:bookmarkEnd w:id="65"/>
      <w:r>
        <w:rPr>
          <w:rFonts w:hint="default" w:ascii="Times New Roman" w:hAnsi="Times New Roman" w:eastAsia="仿宋_GB2312" w:cs="Times New Roman"/>
          <w:sz w:val="32"/>
          <w:szCs w:val="32"/>
        </w:rPr>
        <w:t>国有资本经营预算财政拨款支出决算表</w:t>
      </w:r>
    </w:p>
    <w:p>
      <w:pPr>
        <w:pStyle w:val="14"/>
        <w:pageBreakBefore w:val="0"/>
        <w:kinsoku/>
        <w:wordWrap/>
        <w:overflowPunct/>
        <w:topLinePunct w:val="0"/>
        <w:bidi w:val="0"/>
        <w:adjustRightInd w:val="0"/>
        <w:snapToGrid w:val="0"/>
        <w:spacing w:line="600" w:lineRule="exact"/>
        <w:jc w:val="left"/>
        <w:textAlignment w:val="auto"/>
        <w:rPr>
          <w:rFonts w:hint="default" w:ascii="Times New Roman" w:hAnsi="Times New Roman" w:eastAsia="仿宋_GB2312" w:cs="Times New Roman"/>
          <w:sz w:val="32"/>
          <w:szCs w:val="32"/>
        </w:rPr>
      </w:pPr>
      <w:bookmarkStart w:id="66" w:name="_Toc15396631"/>
      <w:r>
        <w:rPr>
          <w:rFonts w:hint="default" w:ascii="Times New Roman" w:hAnsi="Times New Roman" w:eastAsia="仿宋_GB2312" w:cs="Times New Roman"/>
          <w:sz w:val="32"/>
          <w:szCs w:val="32"/>
        </w:rPr>
        <w:t>十三、</w:t>
      </w:r>
      <w:bookmarkEnd w:id="66"/>
      <w:r>
        <w:rPr>
          <w:rFonts w:hint="default" w:ascii="Times New Roman" w:hAnsi="Times New Roman" w:eastAsia="仿宋_GB2312" w:cs="Times New Roman"/>
          <w:sz w:val="32"/>
          <w:szCs w:val="32"/>
        </w:rPr>
        <w:t>财政拨款“三公”经费支出决算表</w:t>
      </w:r>
    </w:p>
    <w:p>
      <w:pPr>
        <w:rPr>
          <w:rFonts w:hint="default"/>
        </w:rPr>
      </w:pPr>
    </w:p>
    <w:p/>
    <w:sectPr>
      <w:footerReference r:id="rId5" w:type="firs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tabs>
        <w:tab w:val="left" w:pos="7538"/>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1910"/>
      <w:docPartObj>
        <w:docPartGallery w:val="autotext"/>
      </w:docPartObj>
    </w:sdtPr>
    <w:sdtContent>
      <w:p>
        <w:pPr>
          <w:pStyle w:val="10"/>
          <w:jc w:val="right"/>
        </w:pPr>
        <w:r>
          <w:rPr>
            <w:lang w:val="zh-CN"/>
          </w:rPr>
          <w:fldChar w:fldCharType="begin"/>
        </w:r>
        <w:r>
          <w:rPr>
            <w:lang w:val="zh-CN"/>
          </w:rPr>
          <w:instrText xml:space="preserve"> PAGE   \* MERGEFORMAT </w:instrText>
        </w:r>
        <w:r>
          <w:rPr>
            <w:lang w:val="zh-CN"/>
          </w:rPr>
          <w:fldChar w:fldCharType="separate"/>
        </w:r>
        <w:r>
          <w:rPr>
            <w:lang w:val="zh-CN"/>
          </w:rPr>
          <w:t>-</w:t>
        </w:r>
        <w:r>
          <w:t xml:space="preserve"> 16 -</w:t>
        </w:r>
        <w:r>
          <w:fldChar w:fldCharType="end"/>
        </w:r>
      </w:p>
    </w:sdtContent>
  </w:sdt>
  <w:p>
    <w:pPr>
      <w:pStyle w:val="10"/>
      <w:tabs>
        <w:tab w:val="left" w:pos="7538"/>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val="zh-CN"/>
      </w:rPr>
      <w:t>-</w:t>
    </w:r>
    <w:r>
      <w:t xml:space="preserve"> </w:t>
    </w:r>
    <w:r>
      <w:rPr>
        <w:rFonts w:hint="eastAsia"/>
      </w:rPr>
      <w:t>1</w:t>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2UzNDFkMzMxNmYwOWYxYTVhOTBhNDViYzhlMzcifQ=="/>
  </w:docVars>
  <w:rsids>
    <w:rsidRoot w:val="00F1361C"/>
    <w:rsid w:val="0001717F"/>
    <w:rsid w:val="000222C6"/>
    <w:rsid w:val="0002549F"/>
    <w:rsid w:val="00036C54"/>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4D39"/>
    <w:rsid w:val="000E6613"/>
    <w:rsid w:val="000E7119"/>
    <w:rsid w:val="000F3A25"/>
    <w:rsid w:val="000F7560"/>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0CB9"/>
    <w:rsid w:val="0021101A"/>
    <w:rsid w:val="00220536"/>
    <w:rsid w:val="00235629"/>
    <w:rsid w:val="002512C8"/>
    <w:rsid w:val="00260C38"/>
    <w:rsid w:val="002616C0"/>
    <w:rsid w:val="00265372"/>
    <w:rsid w:val="002662AA"/>
    <w:rsid w:val="00280496"/>
    <w:rsid w:val="00294DC9"/>
    <w:rsid w:val="00295495"/>
    <w:rsid w:val="002A31DE"/>
    <w:rsid w:val="002A343C"/>
    <w:rsid w:val="002B2613"/>
    <w:rsid w:val="002B2D53"/>
    <w:rsid w:val="002D6D05"/>
    <w:rsid w:val="002E2544"/>
    <w:rsid w:val="002F1818"/>
    <w:rsid w:val="002F567B"/>
    <w:rsid w:val="003178D3"/>
    <w:rsid w:val="003216A9"/>
    <w:rsid w:val="00335A74"/>
    <w:rsid w:val="00357E98"/>
    <w:rsid w:val="0036561B"/>
    <w:rsid w:val="0037013F"/>
    <w:rsid w:val="0037690C"/>
    <w:rsid w:val="00380C92"/>
    <w:rsid w:val="003A484F"/>
    <w:rsid w:val="003A4883"/>
    <w:rsid w:val="003B0BE0"/>
    <w:rsid w:val="003B0C1B"/>
    <w:rsid w:val="003B688C"/>
    <w:rsid w:val="003C0291"/>
    <w:rsid w:val="003C39AE"/>
    <w:rsid w:val="003C41CD"/>
    <w:rsid w:val="003C7B60"/>
    <w:rsid w:val="003D0C0F"/>
    <w:rsid w:val="003D1FB2"/>
    <w:rsid w:val="003D66DA"/>
    <w:rsid w:val="003E1310"/>
    <w:rsid w:val="003E6F55"/>
    <w:rsid w:val="00406254"/>
    <w:rsid w:val="004223DE"/>
    <w:rsid w:val="004250E8"/>
    <w:rsid w:val="0043341C"/>
    <w:rsid w:val="00434489"/>
    <w:rsid w:val="00437085"/>
    <w:rsid w:val="00443880"/>
    <w:rsid w:val="004464F4"/>
    <w:rsid w:val="00471401"/>
    <w:rsid w:val="00473F31"/>
    <w:rsid w:val="0048263A"/>
    <w:rsid w:val="00487E5D"/>
    <w:rsid w:val="004A711F"/>
    <w:rsid w:val="004B199D"/>
    <w:rsid w:val="004B4690"/>
    <w:rsid w:val="004E0A2D"/>
    <w:rsid w:val="004E206B"/>
    <w:rsid w:val="004E3FF6"/>
    <w:rsid w:val="004E6DF7"/>
    <w:rsid w:val="004F0FBD"/>
    <w:rsid w:val="00505A47"/>
    <w:rsid w:val="00512FDA"/>
    <w:rsid w:val="00520DA0"/>
    <w:rsid w:val="00563C5D"/>
    <w:rsid w:val="005664BB"/>
    <w:rsid w:val="00566FFA"/>
    <w:rsid w:val="0057481D"/>
    <w:rsid w:val="0058486E"/>
    <w:rsid w:val="00585B33"/>
    <w:rsid w:val="0059014D"/>
    <w:rsid w:val="005B0D0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7B32"/>
    <w:rsid w:val="006F020C"/>
    <w:rsid w:val="007127B7"/>
    <w:rsid w:val="0071798E"/>
    <w:rsid w:val="00731E4F"/>
    <w:rsid w:val="00734D8F"/>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CED"/>
    <w:rsid w:val="00872FD8"/>
    <w:rsid w:val="00875E9B"/>
    <w:rsid w:val="00885AF4"/>
    <w:rsid w:val="00892470"/>
    <w:rsid w:val="008939CD"/>
    <w:rsid w:val="0089413B"/>
    <w:rsid w:val="008B768C"/>
    <w:rsid w:val="008C4DB1"/>
    <w:rsid w:val="008C4EAF"/>
    <w:rsid w:val="008C5176"/>
    <w:rsid w:val="008C7FD0"/>
    <w:rsid w:val="008D07B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AF4"/>
    <w:rsid w:val="00A56DF2"/>
    <w:rsid w:val="00A56E6E"/>
    <w:rsid w:val="00A66C03"/>
    <w:rsid w:val="00A67AB5"/>
    <w:rsid w:val="00A733B2"/>
    <w:rsid w:val="00A741C2"/>
    <w:rsid w:val="00A91760"/>
    <w:rsid w:val="00A93B00"/>
    <w:rsid w:val="00A93C21"/>
    <w:rsid w:val="00A94468"/>
    <w:rsid w:val="00AB64C9"/>
    <w:rsid w:val="00AC3C6A"/>
    <w:rsid w:val="00AC741F"/>
    <w:rsid w:val="00AD5620"/>
    <w:rsid w:val="00AD656B"/>
    <w:rsid w:val="00AD7C1B"/>
    <w:rsid w:val="00AE16BA"/>
    <w:rsid w:val="00AE1EBE"/>
    <w:rsid w:val="00B03C9D"/>
    <w:rsid w:val="00B060AE"/>
    <w:rsid w:val="00B10517"/>
    <w:rsid w:val="00B14E76"/>
    <w:rsid w:val="00B161B8"/>
    <w:rsid w:val="00B2048C"/>
    <w:rsid w:val="00B310B9"/>
    <w:rsid w:val="00B31933"/>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BF5C63"/>
    <w:rsid w:val="00C03E31"/>
    <w:rsid w:val="00C03FC9"/>
    <w:rsid w:val="00C32919"/>
    <w:rsid w:val="00C33E72"/>
    <w:rsid w:val="00C354B2"/>
    <w:rsid w:val="00C35554"/>
    <w:rsid w:val="00C42709"/>
    <w:rsid w:val="00C533CC"/>
    <w:rsid w:val="00C5751C"/>
    <w:rsid w:val="00C61BFC"/>
    <w:rsid w:val="00C62B85"/>
    <w:rsid w:val="00C634DF"/>
    <w:rsid w:val="00C63F72"/>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27F06"/>
    <w:rsid w:val="00D34E7C"/>
    <w:rsid w:val="00D35489"/>
    <w:rsid w:val="00D36AFE"/>
    <w:rsid w:val="00D51276"/>
    <w:rsid w:val="00D7035F"/>
    <w:rsid w:val="00D84F47"/>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487E"/>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5249"/>
    <w:rsid w:val="00F36D8F"/>
    <w:rsid w:val="00F417B1"/>
    <w:rsid w:val="00F45853"/>
    <w:rsid w:val="00F602DF"/>
    <w:rsid w:val="00F754A1"/>
    <w:rsid w:val="00F81FD9"/>
    <w:rsid w:val="00F841AA"/>
    <w:rsid w:val="00F84A94"/>
    <w:rsid w:val="00F87A59"/>
    <w:rsid w:val="00F87E96"/>
    <w:rsid w:val="00FA23E8"/>
    <w:rsid w:val="00FD048F"/>
    <w:rsid w:val="00FD3CC1"/>
    <w:rsid w:val="00FF1E02"/>
    <w:rsid w:val="00FF30B4"/>
    <w:rsid w:val="012A5EC2"/>
    <w:rsid w:val="015975B8"/>
    <w:rsid w:val="0172670E"/>
    <w:rsid w:val="02FEBE30"/>
    <w:rsid w:val="04916F1E"/>
    <w:rsid w:val="06190FCC"/>
    <w:rsid w:val="061E35DE"/>
    <w:rsid w:val="066E0107"/>
    <w:rsid w:val="07996F6E"/>
    <w:rsid w:val="07DFD8BA"/>
    <w:rsid w:val="09867E8F"/>
    <w:rsid w:val="0A2032A3"/>
    <w:rsid w:val="0CA8290A"/>
    <w:rsid w:val="0D35B1ED"/>
    <w:rsid w:val="0E254B6B"/>
    <w:rsid w:val="0F98263C"/>
    <w:rsid w:val="101860EC"/>
    <w:rsid w:val="101F47CC"/>
    <w:rsid w:val="105277E0"/>
    <w:rsid w:val="10C055FF"/>
    <w:rsid w:val="11694EBD"/>
    <w:rsid w:val="11772AA4"/>
    <w:rsid w:val="118107EC"/>
    <w:rsid w:val="12483364"/>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172B0C"/>
    <w:rsid w:val="2BFF7BC6"/>
    <w:rsid w:val="2C5D02F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5C24A12"/>
    <w:rsid w:val="47216976"/>
    <w:rsid w:val="486A6C7A"/>
    <w:rsid w:val="4A627F82"/>
    <w:rsid w:val="4AD42292"/>
    <w:rsid w:val="4B0E749A"/>
    <w:rsid w:val="4B2477C4"/>
    <w:rsid w:val="4B4F25DA"/>
    <w:rsid w:val="4BE068DB"/>
    <w:rsid w:val="4D577224"/>
    <w:rsid w:val="4D951FEB"/>
    <w:rsid w:val="4DBF1CEB"/>
    <w:rsid w:val="4DF0007C"/>
    <w:rsid w:val="4EAB630A"/>
    <w:rsid w:val="4ECE2238"/>
    <w:rsid w:val="4F833267"/>
    <w:rsid w:val="4FE9BD67"/>
    <w:rsid w:val="4FFB052F"/>
    <w:rsid w:val="537E6D0A"/>
    <w:rsid w:val="53F74C96"/>
    <w:rsid w:val="544561F4"/>
    <w:rsid w:val="55170BA8"/>
    <w:rsid w:val="553218C9"/>
    <w:rsid w:val="567E1AA5"/>
    <w:rsid w:val="56E47B74"/>
    <w:rsid w:val="57175D52"/>
    <w:rsid w:val="57BD3DD4"/>
    <w:rsid w:val="5AF92295"/>
    <w:rsid w:val="5B250254"/>
    <w:rsid w:val="5BDD79E6"/>
    <w:rsid w:val="5BF561CA"/>
    <w:rsid w:val="5BFF5DFC"/>
    <w:rsid w:val="5CB92F49"/>
    <w:rsid w:val="5CD71FC4"/>
    <w:rsid w:val="5D1F11B5"/>
    <w:rsid w:val="5D695134"/>
    <w:rsid w:val="5DAE1B18"/>
    <w:rsid w:val="5DE7D9E5"/>
    <w:rsid w:val="5ECEC941"/>
    <w:rsid w:val="5FBF9FF3"/>
    <w:rsid w:val="5FCD4E2C"/>
    <w:rsid w:val="5FEF394A"/>
    <w:rsid w:val="5FF67715"/>
    <w:rsid w:val="61834EB9"/>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34146C"/>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2236.79</c:v>
                </c:pt>
                <c:pt idx="1">
                  <c:v>2297.94</c:v>
                </c:pt>
              </c:numCache>
            </c:numRef>
          </c:val>
        </c:ser>
        <c:dLbls>
          <c:showLegendKey val="0"/>
          <c:showVal val="1"/>
          <c:showCatName val="0"/>
          <c:showSerName val="0"/>
          <c:showPercent val="0"/>
          <c:showBubbleSize val="0"/>
        </c:dLbls>
        <c:gapWidth val="219"/>
        <c:overlap val="-27"/>
        <c:axId val="984422710"/>
        <c:axId val="164716823"/>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2024年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2024年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8442271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716823"/>
        <c:crosses val="autoZero"/>
        <c:auto val="1"/>
        <c:lblAlgn val="ctr"/>
        <c:lblOffset val="100"/>
        <c:noMultiLvlLbl val="0"/>
      </c:catAx>
      <c:valAx>
        <c:axId val="164716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227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收入决算结构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Lbls>
            <c:dLbl>
              <c:idx val="0"/>
              <c:layout>
                <c:manualLayout>
                  <c:x val="0.0528097494922139"/>
                  <c:y val="-0.02028985507246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13653686482089"/>
                  <c:y val="-0.1070138641174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a:outerShdw blurRad="50800" dist="38100" dir="5400000" algn="t"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一般公共预算财政拨款收入</c:v>
                </c:pt>
                <c:pt idx="1">
                  <c:v>其他收入</c:v>
                </c:pt>
                <c:pt idx="2">
                  <c:v>上级补助收入</c:v>
                </c:pt>
                <c:pt idx="3">
                  <c:v>事业收入</c:v>
                </c:pt>
                <c:pt idx="4">
                  <c:v>经营收入</c:v>
                </c:pt>
                <c:pt idx="5">
                  <c:v>附属单位上缴收入</c:v>
                </c:pt>
              </c:strCache>
            </c:strRef>
          </c:cat>
          <c:val>
            <c:numRef>
              <c:f>Sheet1!$B$2:$B$7</c:f>
              <c:numCache>
                <c:formatCode>General</c:formatCode>
                <c:ptCount val="6"/>
                <c:pt idx="0">
                  <c:v>1722.7</c:v>
                </c:pt>
                <c:pt idx="1">
                  <c:v>575.24</c:v>
                </c:pt>
              </c:numCache>
            </c:numRef>
          </c:val>
        </c:ser>
        <c:dLbls>
          <c:showLegendKey val="0"/>
          <c:showVal val="1"/>
          <c:showCatName val="0"/>
          <c:showSerName val="0"/>
          <c:showPercent val="0"/>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50800" dir="5400000" algn="ctr" rotWithShape="0">
        <a:schemeClr val="tx1">
          <a:alpha val="100000"/>
        </a:schemeClr>
      </a:outerShdw>
    </a:effectLst>
  </c:spPr>
  <c:txPr>
    <a:bodyPr/>
    <a:lstStyle/>
    <a:p>
      <a:pPr>
        <a:defRPr lang="zh-CN">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支出决算结构</c:v>
                </c:pt>
              </c:strCache>
            </c:strRef>
          </c:tx>
          <c:spPr>
            <a:effectLst>
              <a:outerShdw blurRad="50800" dist="38100" dir="2700000" algn="tl" rotWithShape="0">
                <a:prstClr val="black">
                  <a:alpha val="40000"/>
                </a:prstClr>
              </a:outerShdw>
            </a:effectLst>
          </c:spPr>
          <c:explosion val="0"/>
          <c:dPt>
            <c:idx val="0"/>
            <c:bubble3D val="0"/>
            <c:spPr>
              <a:solidFill>
                <a:schemeClr val="accent1"/>
              </a:solidFill>
              <a:ln w="25400">
                <a:solidFill>
                  <a:schemeClr val="lt1"/>
                </a:solidFill>
              </a:ln>
              <a:effectLst>
                <a:outerShdw blurRad="50800" dist="38100" dir="2700000" algn="tl" rotWithShape="0">
                  <a:prstClr val="black">
                    <a:alpha val="40000"/>
                  </a:prstClr>
                </a:outerShdw>
              </a:effectLst>
            </c:spPr>
          </c:dPt>
          <c:dPt>
            <c:idx val="1"/>
            <c:bubble3D val="0"/>
            <c:spPr>
              <a:solidFill>
                <a:schemeClr val="accent2"/>
              </a:solidFill>
              <a:ln w="25400">
                <a:solidFill>
                  <a:schemeClr val="lt1"/>
                </a:solidFill>
              </a:ln>
              <a:effectLst>
                <a:outerShdw blurRad="50800" dist="38100" dir="2700000" algn="tl" rotWithShape="0">
                  <a:prstClr val="black">
                    <a:alpha val="40000"/>
                  </a:prstClr>
                </a:outerShdw>
              </a:effectLst>
            </c:spPr>
          </c:dPt>
          <c:dPt>
            <c:idx val="2"/>
            <c:bubble3D val="0"/>
            <c:spPr>
              <a:solidFill>
                <a:schemeClr val="accent3"/>
              </a:solidFill>
              <a:ln w="25400">
                <a:solidFill>
                  <a:schemeClr val="lt1"/>
                </a:solidFill>
              </a:ln>
              <a:effectLst>
                <a:outerShdw blurRad="50800" dist="38100" dir="2700000" algn="tl" rotWithShape="0">
                  <a:prstClr val="black">
                    <a:alpha val="40000"/>
                  </a:prstClr>
                </a:outerShdw>
              </a:effectLst>
            </c:spPr>
          </c:dPt>
          <c:dPt>
            <c:idx val="3"/>
            <c:bubble3D val="0"/>
            <c:spPr>
              <a:solidFill>
                <a:schemeClr val="accent4"/>
              </a:solidFill>
              <a:ln w="25400">
                <a:solidFill>
                  <a:schemeClr val="lt1"/>
                </a:solidFill>
              </a:ln>
              <a:effectLst>
                <a:outerShdw blurRad="50800" dist="38100" dir="2700000" algn="tl" rotWithShape="0">
                  <a:prstClr val="black">
                    <a:alpha val="40000"/>
                  </a:prstClr>
                </a:outerShdw>
              </a:effectLst>
            </c:spPr>
          </c:dPt>
          <c:dPt>
            <c:idx val="4"/>
            <c:bubble3D val="0"/>
            <c:spPr>
              <a:solidFill>
                <a:schemeClr val="accent5"/>
              </a:solidFill>
              <a:ln w="25400">
                <a:solidFill>
                  <a:schemeClr val="lt1"/>
                </a:solidFill>
              </a:ln>
              <a:effectLst>
                <a:outerShdw blurRad="50800" dist="38100" dir="2700000" algn="tl" rotWithShape="0">
                  <a:prstClr val="black">
                    <a:alpha val="40000"/>
                  </a:prstClr>
                </a:outerShdw>
              </a:effectLst>
            </c:spPr>
          </c:dPt>
          <c:dLbls>
            <c:dLbl>
              <c:idx val="0"/>
              <c:layout>
                <c:manualLayout>
                  <c:x val="0.123434995240453"/>
                  <c:y val="-0.10355962259753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36923305147604"/>
                      <c:h val="0.119973776223776"/>
                    </c:manualLayout>
                  </c15:layout>
                </c:ext>
              </c:extLst>
            </c:dLbl>
            <c:dLbl>
              <c:idx val="1"/>
              <c:layout>
                <c:manualLayout>
                  <c:x val="-0.0105094722013363"/>
                  <c:y val="-0.0419811639899294"/>
                </c:manualLayout>
              </c:layout>
              <c:numFmt formatCode="General" sourceLinked="1"/>
              <c:spPr>
                <a:no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4333184987391"/>
                      <c:h val="0.13286713286713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1728.48</c:v>
                </c:pt>
                <c:pt idx="1">
                  <c:v>569.46</c:v>
                </c:pt>
                <c:pt idx="2">
                  <c:v>0</c:v>
                </c:pt>
                <c:pt idx="3">
                  <c:v>0</c:v>
                </c:pt>
                <c:pt idx="4">
                  <c:v>0</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38100" dir="5400000" algn="t" rotWithShape="0">
        <a:prstClr val="black">
          <a:alpha val="40000"/>
        </a:prstClr>
      </a:outerShdw>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896522948539638"/>
          <c:y val="0.189928057553957"/>
          <c:w val="0.881835883171071"/>
          <c:h val="0.592661870503597"/>
        </c:manualLayout>
      </c:layout>
      <c:barChart>
        <c:barDir val="col"/>
        <c:grouping val="clustered"/>
        <c:varyColors val="0"/>
        <c:ser>
          <c:idx val="0"/>
          <c:order val="0"/>
          <c:tx>
            <c:strRef>
              <c:f>Sheet1!$B$1</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1806.99</c:v>
                </c:pt>
                <c:pt idx="1">
                  <c:v>1722.7</c:v>
                </c:pt>
              </c:numCache>
            </c:numRef>
          </c:val>
        </c:ser>
        <c:dLbls>
          <c:showLegendKey val="0"/>
          <c:showVal val="1"/>
          <c:showCatName val="0"/>
          <c:showSerName val="0"/>
          <c:showPercent val="0"/>
          <c:showBubbleSize val="0"/>
        </c:dLbls>
        <c:gapWidth val="219"/>
        <c:overlap val="-27"/>
        <c:axId val="656443864"/>
        <c:axId val="107449349"/>
      </c:barChart>
      <c:catAx>
        <c:axId val="6564438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449349"/>
        <c:crosses val="autoZero"/>
        <c:auto val="1"/>
        <c:lblAlgn val="ctr"/>
        <c:lblOffset val="100"/>
        <c:noMultiLvlLbl val="0"/>
      </c:catAx>
      <c:valAx>
        <c:axId val="1074493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4438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1806.99</c:v>
                </c:pt>
                <c:pt idx="1">
                  <c:v>1722.7</c:v>
                </c:pt>
              </c:numCache>
            </c:numRef>
          </c:val>
        </c:ser>
        <c:dLbls>
          <c:showLegendKey val="0"/>
          <c:showVal val="1"/>
          <c:showCatName val="0"/>
          <c:showSerName val="0"/>
          <c:showPercent val="0"/>
          <c:showBubbleSize val="0"/>
        </c:dLbls>
        <c:gapWidth val="219"/>
        <c:overlap val="-27"/>
        <c:axId val="869440715"/>
        <c:axId val="527927611"/>
      </c:barChart>
      <c:catAx>
        <c:axId val="86944071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927611"/>
        <c:crosses val="autoZero"/>
        <c:auto val="1"/>
        <c:lblAlgn val="ctr"/>
        <c:lblOffset val="100"/>
        <c:noMultiLvlLbl val="0"/>
      </c:catAx>
      <c:valAx>
        <c:axId val="5279276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4407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25400">
                <a:solidFill>
                  <a:schemeClr val="lt1"/>
                </a:solidFill>
              </a:ln>
              <a:effectLst>
                <a:innerShdw blurRad="63500" dist="50800" dir="13500000">
                  <a:prstClr val="black">
                    <a:alpha val="50000"/>
                  </a:prstClr>
                </a:innerShdw>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dLbl>
              <c:idx val="0"/>
              <c:layout>
                <c:manualLayout>
                  <c:x val="0.0761014686248331"/>
                  <c:y val="-0.024384579656293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2550066755674"/>
                      <c:h val="0.144681839294008"/>
                    </c:manualLayout>
                  </c15:layout>
                </c:ext>
              </c:extLst>
            </c:dLbl>
            <c:dLbl>
              <c:idx val="1"/>
              <c:layout>
                <c:manualLayout>
                  <c:x val="-0.0440587449933244"/>
                  <c:y val="0.076637250348351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0941255006675567"/>
                      <c:h val="0.267069205759405"/>
                    </c:manualLayout>
                  </c15:layout>
                </c:ext>
              </c:extLst>
            </c:dLbl>
            <c:dLbl>
              <c:idx val="2"/>
              <c:layout>
                <c:manualLayout>
                  <c:x val="0.0440587449933244"/>
                  <c:y val="-0.08012076172782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6088117489987"/>
                      <c:h val="0.142823966558291"/>
                    </c:manualLayout>
                  </c15:layout>
                </c:ext>
              </c:extLst>
            </c:dLbl>
            <c:dLbl>
              <c:idx val="3"/>
              <c:layout>
                <c:manualLayout>
                  <c:x val="0.164218958611482"/>
                  <c:y val="-0.017417556897352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7022696929239"/>
                      <c:h val="0.155829075708314"/>
                    </c:manualLayout>
                  </c15:layout>
                </c:ext>
              </c:extLst>
            </c:dLbl>
            <c:spPr>
              <a:noFill/>
              <a:ln>
                <a:noFill/>
              </a:ln>
              <a:effectLst>
                <a:outerShdw blurRad="50800" dist="38100" algn="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1381.45</c:v>
                </c:pt>
                <c:pt idx="1">
                  <c:v>137.28</c:v>
                </c:pt>
                <c:pt idx="2">
                  <c:v>86.12</c:v>
                </c:pt>
                <c:pt idx="3">
                  <c:v>117.86</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38100" dir="5400000" algn="t" rotWithShape="0">
        <a:prstClr val="black">
          <a:alpha val="40000"/>
        </a:prstClr>
      </a:outerShdw>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“三公”经费财政拨款支出结构</c:v>
                </c:pt>
              </c:strCache>
            </c:strRef>
          </c:tx>
          <c:explosion val="0"/>
          <c:dPt>
            <c:idx val="0"/>
            <c:bubble3D val="0"/>
            <c:spPr>
              <a:solidFill>
                <a:schemeClr val="accent1">
                  <a:shade val="65000"/>
                </a:schemeClr>
              </a:solidFill>
              <a:ln w="25400">
                <a:solidFill>
                  <a:schemeClr val="lt1"/>
                </a:solidFill>
              </a:ln>
              <a:effectLst/>
            </c:spPr>
          </c:dPt>
          <c:dPt>
            <c:idx val="1"/>
            <c:bubble3D val="0"/>
            <c:spPr>
              <a:solidFill>
                <a:schemeClr val="accent1"/>
              </a:solidFill>
              <a:ln w="25400">
                <a:solidFill>
                  <a:schemeClr val="lt1"/>
                </a:solidFill>
              </a:ln>
              <a:effectLst/>
            </c:spPr>
          </c:dPt>
          <c:dPt>
            <c:idx val="2"/>
            <c:bubble3D val="0"/>
            <c:spPr>
              <a:solidFill>
                <a:schemeClr val="accent1">
                  <a:tint val="65000"/>
                </a:schemeClr>
              </a:solidFill>
              <a:ln w="25400">
                <a:solidFill>
                  <a:schemeClr val="lt1"/>
                </a:solidFill>
              </a:ln>
              <a:effectLst/>
            </c:spPr>
          </c:dPt>
          <c:dLbls>
            <c:dLbl>
              <c:idx val="0"/>
              <c:layout>
                <c:manualLayout>
                  <c:x val="0.136875"/>
                  <c:y val="-0.0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74609196658781"/>
                  <c:y val="-0.07504657572235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7062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a:outerShdw blurRad="50800" dist="38100" algn="l" rotWithShape="0">
                  <a:prstClr val="black">
                    <a:alpha val="40000"/>
                  </a:prstClr>
                </a:outerShdw>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11.14</c:v>
                </c:pt>
                <c:pt idx="2">
                  <c:v>1.32</c:v>
                </c:pt>
              </c:numCache>
            </c:numRef>
          </c:val>
        </c:ser>
        <c:dLbls>
          <c:showLegendKey val="0"/>
          <c:showVal val="0"/>
          <c:showCatName val="1"/>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50800" dist="38100" dir="8100000" algn="tr" rotWithShape="0">
        <a:prstClr val="black">
          <a:alpha val="40000"/>
        </a:prstClr>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5652</Words>
  <Characters>6378</Characters>
  <Lines>40</Lines>
  <Paragraphs>11</Paragraphs>
  <TotalTime>10</TotalTime>
  <ScaleCrop>false</ScaleCrop>
  <LinksUpToDate>false</LinksUpToDate>
  <CharactersWithSpaces>6418</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user</cp:lastModifiedBy>
  <cp:lastPrinted>2025-08-06T17:34:00Z</cp:lastPrinted>
  <dcterms:modified xsi:type="dcterms:W3CDTF">2025-09-15T08:50:16Z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9F94DB602EAB4638A1AD8E8BE560D1DB</vt:lpwstr>
  </property>
</Properties>
</file>