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BE558">
      <w:pPr>
        <w:rPr>
          <w:rFonts w:hint="eastAsia"/>
        </w:rPr>
      </w:pPr>
      <w:bookmarkStart w:id="0" w:name="_Toc15378441"/>
      <w:bookmarkStart w:id="1" w:name="_Toc15377193"/>
      <w:bookmarkStart w:id="2" w:name="_Toc15396475"/>
      <w:bookmarkStart w:id="3" w:name="_Toc15396597"/>
      <w:bookmarkStart w:id="4" w:name="_Toc15377425"/>
      <w:bookmarkStart w:id="5" w:name="_Toc15306267"/>
    </w:p>
    <w:p w14:paraId="09E2CD85">
      <w:pPr>
        <w:pStyle w:val="2"/>
        <w:spacing w:before="93"/>
        <w:jc w:val="center"/>
        <w:rPr>
          <w:rFonts w:ascii="Times New Roman" w:eastAsia="方正小标宋简体"/>
          <w:kern w:val="2"/>
          <w:sz w:val="44"/>
          <w:szCs w:val="44"/>
        </w:rPr>
      </w:pPr>
    </w:p>
    <w:p w14:paraId="18D5AF36">
      <w:pPr>
        <w:pStyle w:val="2"/>
        <w:spacing w:before="93"/>
        <w:jc w:val="center"/>
        <w:rPr>
          <w:rFonts w:ascii="Times New Roman" w:eastAsia="方正小标宋简体"/>
          <w:kern w:val="2"/>
          <w:sz w:val="44"/>
          <w:szCs w:val="44"/>
        </w:rPr>
      </w:pPr>
    </w:p>
    <w:p w14:paraId="470FB9DB">
      <w:pPr>
        <w:pStyle w:val="2"/>
        <w:spacing w:before="93"/>
        <w:jc w:val="center"/>
        <w:rPr>
          <w:rFonts w:ascii="Times New Roman" w:eastAsia="方正小标宋简体"/>
          <w:kern w:val="2"/>
          <w:sz w:val="44"/>
          <w:szCs w:val="44"/>
        </w:rPr>
      </w:pPr>
    </w:p>
    <w:p w14:paraId="7B2ADB87">
      <w:pPr>
        <w:pStyle w:val="2"/>
        <w:spacing w:before="93"/>
        <w:jc w:val="center"/>
        <w:rPr>
          <w:rFonts w:ascii="Times New Roman" w:eastAsia="方正小标宋简体"/>
          <w:kern w:val="2"/>
          <w:sz w:val="44"/>
          <w:szCs w:val="44"/>
        </w:rPr>
      </w:pPr>
    </w:p>
    <w:bookmarkEnd w:id="0"/>
    <w:bookmarkEnd w:id="1"/>
    <w:bookmarkEnd w:id="2"/>
    <w:bookmarkEnd w:id="3"/>
    <w:bookmarkEnd w:id="4"/>
    <w:p w14:paraId="2E0BEECA">
      <w:pPr>
        <w:pStyle w:val="2"/>
        <w:spacing w:before="93"/>
        <w:jc w:val="center"/>
        <w:rPr>
          <w:rFonts w:ascii="Times New Roman" w:eastAsia="方正小标宋简体"/>
          <w:kern w:val="2"/>
          <w:sz w:val="44"/>
          <w:szCs w:val="44"/>
        </w:rPr>
      </w:pPr>
      <w:bookmarkStart w:id="6" w:name="_Toc15396476"/>
      <w:bookmarkStart w:id="7" w:name="_Toc15378442"/>
      <w:bookmarkStart w:id="8" w:name="_Toc15396598"/>
      <w:bookmarkStart w:id="9" w:name="_Toc15377426"/>
      <w:bookmarkStart w:id="10" w:name="_Toc15377194"/>
      <w:r>
        <w:rPr>
          <w:rFonts w:hint="eastAsia" w:ascii="Times New Roman" w:eastAsia="方正小标宋简体"/>
          <w:kern w:val="2"/>
          <w:sz w:val="44"/>
          <w:szCs w:val="44"/>
        </w:rPr>
        <w:t>2024年度四川省</w:t>
      </w:r>
      <w:bookmarkEnd w:id="5"/>
      <w:bookmarkStart w:id="11" w:name="_Toc15306268"/>
      <w:r>
        <w:rPr>
          <w:rFonts w:hint="eastAsia" w:ascii="Times New Roman" w:eastAsia="方正小标宋简体"/>
          <w:kern w:val="2"/>
          <w:sz w:val="44"/>
          <w:szCs w:val="44"/>
        </w:rPr>
        <w:t>攀枝花</w:t>
      </w:r>
      <w:r>
        <w:rPr>
          <w:rFonts w:hint="eastAsia" w:ascii="Times New Roman" w:eastAsia="方正小标宋简体"/>
          <w:kern w:val="2"/>
          <w:sz w:val="44"/>
          <w:szCs w:val="44"/>
          <w:lang w:val="en-US" w:eastAsia="zh-CN"/>
        </w:rPr>
        <w:t>西区</w:t>
      </w:r>
      <w:r>
        <w:rPr>
          <w:rFonts w:hint="eastAsia" w:ascii="Times New Roman" w:eastAsia="方正小标宋简体"/>
          <w:kern w:val="2"/>
          <w:sz w:val="44"/>
          <w:szCs w:val="44"/>
        </w:rPr>
        <w:t>人民法院决算</w:t>
      </w:r>
      <w:bookmarkEnd w:id="6"/>
      <w:bookmarkEnd w:id="7"/>
      <w:bookmarkEnd w:id="8"/>
      <w:bookmarkEnd w:id="9"/>
      <w:bookmarkEnd w:id="10"/>
      <w:bookmarkEnd w:id="11"/>
    </w:p>
    <w:p w14:paraId="25AFFCE4">
      <w:pPr>
        <w:pStyle w:val="14"/>
        <w:adjustRightInd w:val="0"/>
        <w:snapToGrid w:val="0"/>
        <w:spacing w:line="560" w:lineRule="exact"/>
        <w:jc w:val="left"/>
        <w:rPr>
          <w:rFonts w:eastAsia="仿宋_GB2312" w:cs="仿宋_GB2312"/>
          <w:sz w:val="32"/>
          <w:szCs w:val="32"/>
        </w:rPr>
      </w:pPr>
    </w:p>
    <w:p w14:paraId="4DF6B5D3">
      <w:pPr>
        <w:widowControl/>
        <w:jc w:val="center"/>
        <w:rPr>
          <w:rFonts w:eastAsia="黑体"/>
          <w:sz w:val="48"/>
          <w:szCs w:val="48"/>
        </w:rPr>
      </w:pPr>
      <w:r>
        <w:rPr>
          <w:rFonts w:eastAsia="方正小标宋简体"/>
          <w:sz w:val="36"/>
          <w:szCs w:val="36"/>
        </w:rPr>
        <w:br w:type="page"/>
      </w:r>
      <w:r>
        <w:rPr>
          <w:rFonts w:hint="eastAsia" w:eastAsia="黑体"/>
          <w:sz w:val="48"/>
          <w:szCs w:val="48"/>
        </w:rPr>
        <w:t>目录</w:t>
      </w:r>
    </w:p>
    <w:p w14:paraId="764EFF1F">
      <w:pPr>
        <w:widowControl/>
        <w:jc w:val="center"/>
        <w:rPr>
          <w:rFonts w:eastAsia="黑体" w:cstheme="minorBidi"/>
          <w:sz w:val="28"/>
          <w:szCs w:val="28"/>
        </w:rPr>
      </w:pPr>
    </w:p>
    <w:p w14:paraId="0D7E53CD">
      <w:pPr>
        <w:pStyle w:val="12"/>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 9 月 1</w:t>
      </w:r>
      <w:r>
        <w:rPr>
          <w:rFonts w:hint="eastAsia" w:ascii="Times New Roman" w:hAnsi="Times New Roman" w:eastAsia="仿宋_GB2312" w:cs="仿宋_GB2312"/>
          <w:sz w:val="32"/>
          <w:szCs w:val="32"/>
          <w:lang w:val="en-US" w:eastAsia="zh-CN"/>
        </w:rPr>
        <w:t>6</w:t>
      </w:r>
      <w:bookmarkStart w:id="65" w:name="_GoBack"/>
      <w:bookmarkEnd w:id="65"/>
      <w:r>
        <w:rPr>
          <w:rFonts w:hint="eastAsia" w:ascii="Times New Roman" w:hAnsi="Times New Roman" w:eastAsia="仿宋_GB2312" w:cs="仿宋_GB2312"/>
          <w:sz w:val="32"/>
          <w:szCs w:val="32"/>
        </w:rPr>
        <w:t xml:space="preserve"> 日</w:t>
      </w:r>
    </w:p>
    <w:p w14:paraId="49EB2F86"/>
    <w:p w14:paraId="758C2C38">
      <w:pPr>
        <w:pStyle w:val="12"/>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第一部分 单位概况</w:t>
      </w:r>
      <w:r>
        <w:rPr>
          <w:rFonts w:ascii="Times New Roman" w:hAnsi="Times New Roman" w:eastAsia="黑体" w:cs="黑体"/>
          <w:sz w:val="32"/>
          <w:szCs w:val="32"/>
        </w:rPr>
        <w:t>………………………………….</w:t>
      </w:r>
      <w:r>
        <w:rPr>
          <w:rFonts w:hint="eastAsia" w:ascii="Times New Roman" w:hAnsi="Times New Roman" w:eastAsia="黑体" w:cs="黑体"/>
          <w:sz w:val="32"/>
          <w:szCs w:val="32"/>
        </w:rPr>
        <w:t>.</w:t>
      </w:r>
      <w:r>
        <w:rPr>
          <w:rFonts w:ascii="Times New Roman" w:hAnsi="Times New Roman" w:eastAsia="黑体" w:cs="黑体"/>
          <w:sz w:val="32"/>
          <w:szCs w:val="32"/>
        </w:rPr>
        <w:t>……</w:t>
      </w:r>
      <w:r>
        <w:rPr>
          <w:rFonts w:hint="eastAsia" w:ascii="Times New Roman" w:hAnsi="Times New Roman" w:eastAsia="黑体" w:cs="黑体"/>
          <w:sz w:val="32"/>
          <w:szCs w:val="32"/>
        </w:rPr>
        <w:t>..1</w:t>
      </w:r>
    </w:p>
    <w:p w14:paraId="083E0E60">
      <w:pPr>
        <w:pStyle w:val="14"/>
        <w:adjustRightInd w:val="0"/>
        <w:snapToGrid w:val="0"/>
        <w:spacing w:line="560" w:lineRule="exact"/>
        <w:ind w:left="0" w:leftChars="0" w:firstLine="640" w:firstLineChars="200"/>
        <w:jc w:val="left"/>
        <w:rPr>
          <w:rFonts w:hint="eastAsia" w:eastAsia="黑体" w:cs="仿宋_GB2312"/>
          <w:sz w:val="32"/>
          <w:szCs w:val="32"/>
          <w:lang w:eastAsia="zh-CN"/>
        </w:rPr>
      </w:pPr>
      <w:r>
        <w:rPr>
          <w:rFonts w:hint="eastAsia" w:eastAsia="仿宋_GB2312" w:cs="仿宋_GB2312"/>
          <w:sz w:val="32"/>
          <w:szCs w:val="32"/>
        </w:rPr>
        <w:t>一、单位职责</w:t>
      </w:r>
      <w:r>
        <w:rPr>
          <w:rFonts w:eastAsia="黑体" w:cs="黑体"/>
          <w:sz w:val="32"/>
          <w:szCs w:val="32"/>
        </w:rPr>
        <w:t>…………………………………………</w:t>
      </w:r>
      <w:r>
        <w:rPr>
          <w:rFonts w:hint="eastAsia" w:eastAsia="黑体" w:cs="黑体"/>
          <w:sz w:val="32"/>
          <w:szCs w:val="32"/>
        </w:rPr>
        <w:t>..</w:t>
      </w:r>
      <w:r>
        <w:rPr>
          <w:rFonts w:hint="eastAsia" w:eastAsia="黑体" w:cs="黑体"/>
          <w:sz w:val="32"/>
          <w:szCs w:val="32"/>
          <w:lang w:val="en-US" w:eastAsia="zh-CN"/>
        </w:rPr>
        <w:t>1</w:t>
      </w:r>
    </w:p>
    <w:p w14:paraId="00557D66">
      <w:pPr>
        <w:pStyle w:val="14"/>
        <w:adjustRightInd w:val="0"/>
        <w:snapToGrid w:val="0"/>
        <w:spacing w:line="560" w:lineRule="exact"/>
        <w:ind w:left="0" w:leftChars="0" w:firstLine="640" w:firstLineChars="200"/>
        <w:jc w:val="left"/>
        <w:rPr>
          <w:rFonts w:hint="eastAsia" w:eastAsia="黑体" w:cs="仿宋_GB2312"/>
          <w:sz w:val="32"/>
          <w:szCs w:val="32"/>
          <w:lang w:eastAsia="zh-CN"/>
        </w:rPr>
      </w:pPr>
      <w:r>
        <w:rPr>
          <w:rFonts w:hint="eastAsia" w:eastAsia="仿宋_GB2312" w:cs="仿宋_GB2312"/>
          <w:sz w:val="32"/>
          <w:szCs w:val="32"/>
        </w:rPr>
        <w:t>二、机构设置</w:t>
      </w:r>
      <w:r>
        <w:rPr>
          <w:rFonts w:eastAsia="黑体" w:cs="黑体"/>
          <w:sz w:val="32"/>
          <w:szCs w:val="32"/>
        </w:rPr>
        <w:t>………………………………</w:t>
      </w:r>
      <w:r>
        <w:rPr>
          <w:rFonts w:hint="eastAsia" w:eastAsia="黑体" w:cs="黑体"/>
          <w:sz w:val="32"/>
          <w:szCs w:val="32"/>
        </w:rPr>
        <w:t>.</w:t>
      </w:r>
      <w:r>
        <w:rPr>
          <w:rFonts w:eastAsia="黑体" w:cs="黑体"/>
          <w:sz w:val="32"/>
          <w:szCs w:val="32"/>
        </w:rPr>
        <w:t>…</w:t>
      </w:r>
      <w:r>
        <w:rPr>
          <w:rFonts w:hint="eastAsia" w:eastAsia="黑体" w:cs="黑体"/>
          <w:sz w:val="32"/>
          <w:szCs w:val="32"/>
        </w:rPr>
        <w:t>...</w:t>
      </w:r>
      <w:r>
        <w:rPr>
          <w:rFonts w:eastAsia="黑体" w:cs="黑体"/>
          <w:sz w:val="32"/>
          <w:szCs w:val="32"/>
        </w:rPr>
        <w:t>……</w:t>
      </w:r>
      <w:r>
        <w:rPr>
          <w:rFonts w:hint="eastAsia" w:eastAsia="黑体" w:cs="黑体"/>
          <w:sz w:val="32"/>
          <w:szCs w:val="32"/>
        </w:rPr>
        <w:t>..</w:t>
      </w:r>
      <w:r>
        <w:rPr>
          <w:rFonts w:hint="eastAsia" w:eastAsia="黑体" w:cs="黑体"/>
          <w:sz w:val="32"/>
          <w:szCs w:val="32"/>
          <w:lang w:val="en-US" w:eastAsia="zh-CN"/>
        </w:rPr>
        <w:t>1</w:t>
      </w:r>
    </w:p>
    <w:p w14:paraId="3C703F08">
      <w:pPr>
        <w:pStyle w:val="12"/>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第二部分 2024年度单位决算情况说明</w:t>
      </w:r>
      <w:r>
        <w:rPr>
          <w:rFonts w:ascii="Times New Roman" w:hAnsi="Times New Roman" w:eastAsia="黑体" w:cs="黑体"/>
          <w:sz w:val="32"/>
          <w:szCs w:val="32"/>
        </w:rPr>
        <w:t>……………</w:t>
      </w:r>
      <w:r>
        <w:rPr>
          <w:rFonts w:hint="eastAsia" w:ascii="Times New Roman" w:hAnsi="Times New Roman" w:eastAsia="黑体" w:cs="黑体"/>
          <w:sz w:val="32"/>
          <w:szCs w:val="32"/>
        </w:rPr>
        <w:t>.</w:t>
      </w:r>
      <w:r>
        <w:rPr>
          <w:rFonts w:ascii="Times New Roman" w:hAnsi="Times New Roman" w:eastAsia="黑体" w:cs="黑体"/>
          <w:sz w:val="32"/>
          <w:szCs w:val="32"/>
        </w:rPr>
        <w:t>……</w:t>
      </w:r>
      <w:r>
        <w:rPr>
          <w:rFonts w:hint="eastAsia" w:ascii="Times New Roman" w:hAnsi="Times New Roman" w:eastAsia="黑体" w:cs="黑体"/>
          <w:sz w:val="32"/>
          <w:szCs w:val="32"/>
        </w:rPr>
        <w:t>..3</w:t>
      </w:r>
    </w:p>
    <w:p w14:paraId="698C935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一、收入支出决算总体情况说明</w:t>
      </w:r>
      <w:r>
        <w:rPr>
          <w:rFonts w:eastAsia="黑体" w:cs="黑体"/>
          <w:sz w:val="32"/>
          <w:szCs w:val="32"/>
        </w:rPr>
        <w:t>……………………</w:t>
      </w:r>
      <w:r>
        <w:rPr>
          <w:rFonts w:hint="eastAsia" w:eastAsia="黑体" w:cs="黑体"/>
          <w:sz w:val="32"/>
          <w:szCs w:val="32"/>
        </w:rPr>
        <w:t>..3</w:t>
      </w:r>
    </w:p>
    <w:p w14:paraId="537074CD">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二、收入决算情况说明</w:t>
      </w:r>
      <w:r>
        <w:rPr>
          <w:rFonts w:eastAsia="黑体" w:cs="黑体"/>
          <w:sz w:val="32"/>
          <w:szCs w:val="32"/>
        </w:rPr>
        <w:t>………………………………</w:t>
      </w:r>
      <w:r>
        <w:rPr>
          <w:rFonts w:hint="eastAsia" w:eastAsia="黑体" w:cs="黑体"/>
          <w:sz w:val="32"/>
          <w:szCs w:val="32"/>
        </w:rPr>
        <w:t>..3</w:t>
      </w:r>
    </w:p>
    <w:p w14:paraId="35D6A80F">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三、支出决算情况说明</w:t>
      </w:r>
      <w:r>
        <w:rPr>
          <w:rFonts w:eastAsia="黑体" w:cs="黑体"/>
          <w:sz w:val="32"/>
          <w:szCs w:val="32"/>
        </w:rPr>
        <w:t>………………………………</w:t>
      </w:r>
      <w:r>
        <w:rPr>
          <w:rFonts w:hint="eastAsia" w:eastAsia="黑体" w:cs="黑体"/>
          <w:sz w:val="32"/>
          <w:szCs w:val="32"/>
        </w:rPr>
        <w:t>..4</w:t>
      </w:r>
    </w:p>
    <w:p w14:paraId="6B74BE94">
      <w:pPr>
        <w:pStyle w:val="14"/>
        <w:adjustRightInd w:val="0"/>
        <w:snapToGrid w:val="0"/>
        <w:spacing w:line="560" w:lineRule="exact"/>
        <w:ind w:left="0" w:leftChars="0" w:firstLine="640" w:firstLineChars="200"/>
        <w:jc w:val="left"/>
        <w:rPr>
          <w:rFonts w:hint="eastAsia" w:eastAsia="仿宋_GB2312" w:cs="仿宋_GB2312"/>
          <w:sz w:val="32"/>
          <w:szCs w:val="32"/>
          <w:lang w:val="en-US" w:eastAsia="zh-CN"/>
        </w:rPr>
      </w:pPr>
      <w:r>
        <w:rPr>
          <w:rFonts w:hint="eastAsia" w:eastAsia="仿宋_GB2312" w:cs="仿宋_GB2312"/>
          <w:sz w:val="32"/>
          <w:szCs w:val="32"/>
        </w:rPr>
        <w:t>四、财政拨款收入支出决算总体情况说明</w:t>
      </w:r>
      <w:r>
        <w:rPr>
          <w:rFonts w:eastAsia="仿宋_GB2312" w:cs="仿宋_GB2312"/>
          <w:sz w:val="32"/>
          <w:szCs w:val="32"/>
        </w:rPr>
        <w:t>…………</w:t>
      </w:r>
      <w:r>
        <w:rPr>
          <w:rFonts w:hint="eastAsia" w:eastAsia="仿宋_GB2312" w:cs="仿宋_GB2312"/>
          <w:sz w:val="32"/>
          <w:szCs w:val="32"/>
        </w:rPr>
        <w:t>..</w:t>
      </w:r>
      <w:r>
        <w:rPr>
          <w:rFonts w:hint="eastAsia" w:eastAsia="仿宋_GB2312" w:cs="仿宋_GB2312"/>
          <w:sz w:val="32"/>
          <w:szCs w:val="32"/>
          <w:lang w:val="en-US" w:eastAsia="zh-CN"/>
        </w:rPr>
        <w:t>5</w:t>
      </w:r>
    </w:p>
    <w:p w14:paraId="77EDE24B">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五、一般公共预算财政拨款支出决算情况说明</w:t>
      </w:r>
      <w:r>
        <w:rPr>
          <w:rFonts w:eastAsia="仿宋_GB2312" w:cs="仿宋_GB2312"/>
          <w:sz w:val="32"/>
          <w:szCs w:val="32"/>
        </w:rPr>
        <w:t>……</w:t>
      </w:r>
      <w:r>
        <w:rPr>
          <w:rFonts w:hint="eastAsia" w:eastAsia="仿宋_GB2312" w:cs="仿宋_GB2312"/>
          <w:sz w:val="32"/>
          <w:szCs w:val="32"/>
        </w:rPr>
        <w:t>..5</w:t>
      </w:r>
    </w:p>
    <w:p w14:paraId="259D99A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六、一般公共预算财政拨款基本支出决算情况说明..7</w:t>
      </w:r>
    </w:p>
    <w:p w14:paraId="0EDDF42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七、财政拨款“三公”经费支出决算情况说明</w:t>
      </w:r>
      <w:r>
        <w:rPr>
          <w:rFonts w:eastAsia="仿宋_GB2312" w:cs="仿宋_GB2312"/>
          <w:sz w:val="32"/>
          <w:szCs w:val="32"/>
        </w:rPr>
        <w:t>… …</w:t>
      </w:r>
      <w:r>
        <w:rPr>
          <w:rFonts w:hint="eastAsia" w:eastAsia="仿宋_GB2312" w:cs="仿宋_GB2312"/>
          <w:sz w:val="32"/>
          <w:szCs w:val="32"/>
          <w:lang w:val="en-US" w:eastAsia="zh-CN"/>
        </w:rPr>
        <w:t>.</w:t>
      </w:r>
      <w:r>
        <w:rPr>
          <w:rFonts w:hint="eastAsia" w:eastAsia="仿宋_GB2312" w:cs="仿宋_GB2312"/>
          <w:sz w:val="32"/>
          <w:szCs w:val="32"/>
        </w:rPr>
        <w:t>8</w:t>
      </w:r>
    </w:p>
    <w:p w14:paraId="214DD131">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八、政府性基金预算支出决算情况说明</w:t>
      </w:r>
      <w:r>
        <w:rPr>
          <w:rFonts w:eastAsia="仿宋_GB2312" w:cs="仿宋_GB2312"/>
          <w:sz w:val="32"/>
          <w:szCs w:val="32"/>
        </w:rPr>
        <w:t>…………</w:t>
      </w:r>
      <w:r>
        <w:rPr>
          <w:rFonts w:hint="eastAsia" w:eastAsia="仿宋_GB2312" w:cs="仿宋_GB2312"/>
          <w:sz w:val="32"/>
          <w:szCs w:val="32"/>
        </w:rPr>
        <w:t xml:space="preserve"> </w:t>
      </w:r>
      <w:r>
        <w:rPr>
          <w:rFonts w:eastAsia="仿宋_GB2312" w:cs="仿宋_GB2312"/>
          <w:sz w:val="32"/>
          <w:szCs w:val="32"/>
        </w:rPr>
        <w:t>…</w:t>
      </w:r>
      <w:r>
        <w:rPr>
          <w:rFonts w:hint="eastAsia" w:eastAsia="仿宋_GB2312" w:cs="仿宋_GB2312"/>
          <w:sz w:val="32"/>
          <w:szCs w:val="32"/>
        </w:rPr>
        <w:t>10</w:t>
      </w:r>
    </w:p>
    <w:p w14:paraId="1A16B6F2">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rFonts w:eastAsia="仿宋_GB2312" w:cs="仿宋_GB2312"/>
          <w:sz w:val="32"/>
          <w:szCs w:val="32"/>
        </w:rPr>
        <w:t>………</w:t>
      </w:r>
      <w:r>
        <w:rPr>
          <w:rFonts w:hint="eastAsia" w:eastAsia="仿宋_GB2312" w:cs="仿宋_GB2312"/>
          <w:sz w:val="32"/>
          <w:szCs w:val="32"/>
        </w:rPr>
        <w:t xml:space="preserve"> </w:t>
      </w:r>
      <w:r>
        <w:rPr>
          <w:rFonts w:eastAsia="仿宋_GB2312" w:cs="仿宋_GB2312"/>
          <w:sz w:val="32"/>
          <w:szCs w:val="32"/>
        </w:rPr>
        <w:t>…</w:t>
      </w:r>
      <w:r>
        <w:rPr>
          <w:rFonts w:hint="eastAsia" w:eastAsia="仿宋_GB2312" w:cs="仿宋_GB2312"/>
          <w:sz w:val="32"/>
          <w:szCs w:val="32"/>
        </w:rPr>
        <w:t>10</w:t>
      </w:r>
    </w:p>
    <w:p w14:paraId="0AD09637">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十、其他重要事项的情况说明</w:t>
      </w:r>
      <w:r>
        <w:rPr>
          <w:rFonts w:eastAsia="仿宋_GB2312" w:cs="仿宋_GB2312"/>
          <w:sz w:val="32"/>
          <w:szCs w:val="32"/>
        </w:rPr>
        <w:t>……………………</w:t>
      </w:r>
      <w:r>
        <w:rPr>
          <w:rFonts w:hint="eastAsia" w:eastAsia="仿宋_GB2312" w:cs="仿宋_GB2312"/>
          <w:sz w:val="32"/>
          <w:szCs w:val="32"/>
        </w:rPr>
        <w:t xml:space="preserve"> </w:t>
      </w:r>
      <w:r>
        <w:rPr>
          <w:rFonts w:eastAsia="仿宋_GB2312" w:cs="仿宋_GB2312"/>
          <w:sz w:val="32"/>
          <w:szCs w:val="32"/>
        </w:rPr>
        <w:t>…</w:t>
      </w:r>
      <w:r>
        <w:rPr>
          <w:rFonts w:hint="eastAsia" w:eastAsia="仿宋_GB2312" w:cs="仿宋_GB2312"/>
          <w:sz w:val="32"/>
          <w:szCs w:val="32"/>
        </w:rPr>
        <w:t>10</w:t>
      </w:r>
    </w:p>
    <w:p w14:paraId="15E540AD">
      <w:pPr>
        <w:pStyle w:val="12"/>
        <w:adjustRightInd w:val="0"/>
        <w:snapToGrid w:val="0"/>
        <w:spacing w:before="0" w:line="560" w:lineRule="exact"/>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第三部分 名词解释</w:t>
      </w:r>
      <w:r>
        <w:rPr>
          <w:rFonts w:ascii="Times New Roman" w:hAnsi="Times New Roman" w:eastAsia="黑体" w:cs="黑体"/>
          <w:sz w:val="32"/>
          <w:szCs w:val="32"/>
        </w:rPr>
        <w:t>……………………………………</w:t>
      </w:r>
      <w:r>
        <w:rPr>
          <w:rFonts w:hint="eastAsia" w:ascii="Times New Roman" w:hAnsi="Times New Roman" w:eastAsia="黑体" w:cs="黑体"/>
          <w:sz w:val="32"/>
          <w:szCs w:val="32"/>
        </w:rPr>
        <w:t xml:space="preserve"> </w:t>
      </w:r>
      <w:r>
        <w:rPr>
          <w:rFonts w:ascii="Times New Roman" w:hAnsi="Times New Roman" w:eastAsia="黑体" w:cs="黑体"/>
          <w:sz w:val="32"/>
          <w:szCs w:val="32"/>
        </w:rPr>
        <w:t>…</w:t>
      </w:r>
      <w:r>
        <w:rPr>
          <w:rFonts w:hint="eastAsia" w:ascii="Times New Roman" w:hAnsi="Times New Roman" w:eastAsia="黑体" w:cs="黑体"/>
          <w:sz w:val="32"/>
          <w:szCs w:val="32"/>
        </w:rPr>
        <w:t>..1</w:t>
      </w:r>
      <w:r>
        <w:rPr>
          <w:rFonts w:hint="eastAsia" w:ascii="Times New Roman" w:hAnsi="Times New Roman" w:eastAsia="黑体" w:cs="黑体"/>
          <w:sz w:val="32"/>
          <w:szCs w:val="32"/>
          <w:lang w:val="en-US" w:eastAsia="zh-CN"/>
        </w:rPr>
        <w:t>2</w:t>
      </w:r>
    </w:p>
    <w:p w14:paraId="5185CAD2">
      <w:pPr>
        <w:pStyle w:val="12"/>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第四部分 附件</w:t>
      </w:r>
      <w:r>
        <w:rPr>
          <w:rFonts w:ascii="Times New Roman" w:hAnsi="Times New Roman" w:eastAsia="黑体" w:cs="黑体"/>
          <w:sz w:val="32"/>
          <w:szCs w:val="32"/>
        </w:rPr>
        <w:t>………………………………………</w:t>
      </w:r>
      <w:r>
        <w:rPr>
          <w:rFonts w:hint="eastAsia" w:ascii="Times New Roman" w:hAnsi="Times New Roman" w:eastAsia="黑体" w:cs="黑体"/>
          <w:sz w:val="32"/>
          <w:szCs w:val="32"/>
        </w:rPr>
        <w:t xml:space="preserve"> .</w:t>
      </w:r>
      <w:r>
        <w:rPr>
          <w:rFonts w:ascii="Times New Roman" w:hAnsi="Times New Roman" w:eastAsia="黑体" w:cs="黑体"/>
          <w:sz w:val="32"/>
          <w:szCs w:val="32"/>
        </w:rPr>
        <w:t>……</w:t>
      </w:r>
      <w:r>
        <w:rPr>
          <w:rFonts w:hint="eastAsia" w:ascii="Times New Roman" w:hAnsi="Times New Roman" w:eastAsia="黑体" w:cs="黑体"/>
          <w:sz w:val="32"/>
          <w:szCs w:val="32"/>
        </w:rPr>
        <w:t>.15</w:t>
      </w:r>
    </w:p>
    <w:p w14:paraId="1E7C3442">
      <w:pPr>
        <w:pStyle w:val="12"/>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第五部分 附表</w:t>
      </w:r>
      <w:r>
        <w:rPr>
          <w:rFonts w:ascii="Times New Roman" w:hAnsi="Times New Roman" w:eastAsia="黑体" w:cs="黑体"/>
          <w:sz w:val="32"/>
          <w:szCs w:val="32"/>
        </w:rPr>
        <w:t>………………………………………</w:t>
      </w:r>
      <w:r>
        <w:rPr>
          <w:rFonts w:hint="eastAsia" w:ascii="Times New Roman" w:hAnsi="Times New Roman" w:eastAsia="黑体" w:cs="黑体"/>
          <w:sz w:val="32"/>
          <w:szCs w:val="32"/>
        </w:rPr>
        <w:t>..</w:t>
      </w:r>
      <w:r>
        <w:rPr>
          <w:rFonts w:ascii="Times New Roman" w:hAnsi="Times New Roman" w:eastAsia="黑体" w:cs="黑体"/>
          <w:sz w:val="32"/>
          <w:szCs w:val="32"/>
        </w:rPr>
        <w:t>……</w:t>
      </w:r>
      <w:r>
        <w:rPr>
          <w:rFonts w:hint="eastAsia" w:ascii="Times New Roman" w:hAnsi="Times New Roman" w:eastAsia="黑体" w:cs="黑体"/>
          <w:sz w:val="32"/>
          <w:szCs w:val="32"/>
        </w:rPr>
        <w:t>.1</w:t>
      </w:r>
      <w:r>
        <w:rPr>
          <w:rFonts w:hint="eastAsia" w:ascii="Times New Roman" w:hAnsi="Times New Roman" w:eastAsia="黑体" w:cs="黑体"/>
          <w:sz w:val="32"/>
          <w:szCs w:val="32"/>
          <w:lang w:val="en-US" w:eastAsia="zh-CN"/>
        </w:rPr>
        <w:t>6</w:t>
      </w:r>
    </w:p>
    <w:p w14:paraId="3760BC8A">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一、收入支出决算总表</w:t>
      </w:r>
    </w:p>
    <w:p w14:paraId="6CDD3E4C">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p>
    <w:p w14:paraId="29ACCB98">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三、支出决算表</w:t>
      </w:r>
    </w:p>
    <w:p w14:paraId="73AD9C9F">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p>
    <w:p w14:paraId="7D6F0D3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p>
    <w:p w14:paraId="2703D041">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p>
    <w:p w14:paraId="573EC804">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p>
    <w:p w14:paraId="660C4A8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p>
    <w:p w14:paraId="6D5B59C0">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p>
    <w:p w14:paraId="710CB9C2">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p>
    <w:p w14:paraId="550D315A">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p>
    <w:p w14:paraId="5DAB01AB">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p>
    <w:p w14:paraId="65CDC4C8">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十三、财政拨款“三公”经费支出决算表</w:t>
      </w:r>
    </w:p>
    <w:p w14:paraId="6720756C">
      <w:pPr>
        <w:widowControl/>
        <w:spacing w:line="560" w:lineRule="exact"/>
        <w:jc w:val="left"/>
        <w:rPr>
          <w:rFonts w:eastAsia="仿宋_GB2312" w:cs="仿宋_GB2312"/>
          <w:bCs/>
          <w:kern w:val="44"/>
          <w:sz w:val="32"/>
          <w:szCs w:val="32"/>
        </w:rPr>
      </w:pPr>
      <w:bookmarkStart w:id="12" w:name="_Toc15396599"/>
      <w:bookmarkStart w:id="13" w:name="_Toc15377196"/>
      <w:r>
        <w:rPr>
          <w:rFonts w:hint="eastAsia" w:eastAsia="仿宋_GB2312" w:cs="仿宋_GB2312"/>
          <w:b/>
          <w:sz w:val="32"/>
          <w:szCs w:val="32"/>
        </w:rPr>
        <w:br w:type="page"/>
      </w:r>
    </w:p>
    <w:p w14:paraId="37186FB1">
      <w:pPr>
        <w:pStyle w:val="3"/>
        <w:jc w:val="center"/>
        <w:rPr>
          <w:rFonts w:eastAsia="方正小标宋简体" w:cs="方正小标宋简体"/>
          <w:b w:val="0"/>
        </w:rPr>
        <w:sectPr>
          <w:footerReference r:id="rId3" w:type="default"/>
          <w:pgSz w:w="11906" w:h="16838"/>
          <w:pgMar w:top="1440" w:right="1800" w:bottom="1440" w:left="1800" w:header="851" w:footer="992" w:gutter="0"/>
          <w:pgNumType w:fmt="numberInDash" w:start="1"/>
          <w:cols w:space="425" w:num="1"/>
          <w:titlePg/>
          <w:docGrid w:type="lines" w:linePitch="312" w:charSpace="0"/>
        </w:sectPr>
      </w:pPr>
    </w:p>
    <w:p w14:paraId="34CFD27E">
      <w:pPr>
        <w:pStyle w:val="3"/>
        <w:jc w:val="center"/>
        <w:rPr>
          <w:rFonts w:eastAsia="方正小标宋简体" w:cs="方正小标宋简体"/>
          <w:bCs w:val="0"/>
        </w:rPr>
      </w:pPr>
      <w:r>
        <w:rPr>
          <w:rFonts w:hint="eastAsia" w:eastAsia="方正小标宋简体" w:cs="方正小标宋简体"/>
          <w:b w:val="0"/>
        </w:rPr>
        <w:t xml:space="preserve">第一部分  </w:t>
      </w:r>
      <w:r>
        <w:rPr>
          <w:rStyle w:val="28"/>
          <w:rFonts w:hint="eastAsia" w:eastAsia="方正小标宋简体" w:cs="方正小标宋简体"/>
          <w:b w:val="0"/>
          <w:bCs w:val="0"/>
        </w:rPr>
        <w:t>单位概况</w:t>
      </w:r>
      <w:bookmarkEnd w:id="12"/>
      <w:bookmarkEnd w:id="13"/>
    </w:p>
    <w:p w14:paraId="5363CF68">
      <w:pPr>
        <w:pStyle w:val="4"/>
        <w:numPr>
          <w:ilvl w:val="0"/>
          <w:numId w:val="1"/>
        </w:numPr>
        <w:rPr>
          <w:rFonts w:ascii="Times New Roman" w:hAnsi="Times New Roman" w:eastAsia="黑体"/>
          <w:b w:val="0"/>
        </w:rPr>
      </w:pPr>
      <w:r>
        <w:rPr>
          <w:rFonts w:hint="eastAsia" w:ascii="Times New Roman" w:hAnsi="Times New Roman" w:eastAsia="黑体"/>
          <w:b w:val="0"/>
        </w:rPr>
        <w:t>单位职责</w:t>
      </w:r>
    </w:p>
    <w:p w14:paraId="32433874">
      <w:pPr>
        <w:pStyle w:val="27"/>
        <w:spacing w:line="600" w:lineRule="exact"/>
        <w:ind w:left="0" w:leftChars="0" w:firstLine="640" w:firstLineChars="20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1.依法审判法律规定由本级人民法院管辖的第一审刑事、民事、行政案件。</w:t>
      </w:r>
    </w:p>
    <w:p w14:paraId="5D23D6F8">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2.受理不服本院已经发生法律效力的判决、裁定的申诉和申请再审案件以及本院审判委员会讨论决定的再审案件。</w:t>
      </w:r>
    </w:p>
    <w:p w14:paraId="160F5063">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3.接受上级法院指令再审和交办的案件。</w:t>
      </w:r>
    </w:p>
    <w:p w14:paraId="2933EEC0">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4.依法行使司法执行权和司法决定权。</w:t>
      </w:r>
    </w:p>
    <w:p w14:paraId="56E9B847">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5.对案件审理中发现的问题提出司法建议。</w:t>
      </w:r>
    </w:p>
    <w:p w14:paraId="05A3A256">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6.组织本院法官与其他法院间的司法交流活动。</w:t>
      </w:r>
    </w:p>
    <w:p w14:paraId="3D77F4C8">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7.抓好本院的思想政治、教育培训工作；按照权限管理本院法官和其他工作人员。</w:t>
      </w:r>
    </w:p>
    <w:p w14:paraId="392C802F">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8.管理本院的经费、物质装备。</w:t>
      </w:r>
    </w:p>
    <w:p w14:paraId="239E268B">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9.结合审判业务，开展法制宣传，教育公民自觉遵守宪法、法律。</w:t>
      </w:r>
    </w:p>
    <w:p w14:paraId="03861633">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10.对人民调解组织和镇、街道司法助理员进行业务指导。</w:t>
      </w:r>
    </w:p>
    <w:p w14:paraId="6C404AE0">
      <w:pPr>
        <w:pStyle w:val="27"/>
        <w:spacing w:line="600" w:lineRule="exact"/>
        <w:ind w:firstLine="64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11.承办其他应由本院负责的工作。</w:t>
      </w:r>
    </w:p>
    <w:p w14:paraId="397A37F6">
      <w:pPr>
        <w:pStyle w:val="4"/>
        <w:numPr>
          <w:ilvl w:val="0"/>
          <w:numId w:val="0"/>
        </w:numPr>
        <w:ind w:leftChars="0" w:firstLine="320" w:firstLineChars="100"/>
        <w:rPr>
          <w:rFonts w:hint="eastAsia" w:ascii="Times New Roman" w:hAnsi="Times New Roman" w:eastAsia="黑体"/>
          <w:b w:val="0"/>
          <w:lang w:eastAsia="zh-CN"/>
        </w:rPr>
      </w:pPr>
      <w:r>
        <w:rPr>
          <w:rFonts w:hint="eastAsia" w:ascii="Times New Roman" w:hAnsi="Times New Roman" w:eastAsia="黑体"/>
          <w:b w:val="0"/>
          <w:lang w:eastAsia="zh-CN"/>
        </w:rPr>
        <w:t>二、机构设置</w:t>
      </w:r>
    </w:p>
    <w:p w14:paraId="1AB068F5">
      <w:pPr>
        <w:pStyle w:val="27"/>
        <w:spacing w:line="600" w:lineRule="exact"/>
        <w:ind w:firstLine="960" w:firstLineChars="30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西区法院无下属二级单位。现有9个内设机构和1个派出机构，即：综合办公室、政治部（督察室）、立案庭（诉讼服务中心）、刑事审判庭、民事审判庭（未成年人与家事案件审判庭）、行政审判庭（综合审判庭）、执行局、审判管理办公室（研究室）、司法警察大队和派出机构格里坪人民法庭，其中司法警察大队和格里坪人民法庭未纳入内设机构改革。</w:t>
      </w:r>
    </w:p>
    <w:p w14:paraId="696B73D4">
      <w:pPr>
        <w:pStyle w:val="27"/>
        <w:spacing w:line="600" w:lineRule="exact"/>
        <w:ind w:firstLine="640"/>
        <w:outlineLvl w:val="1"/>
        <w:rPr>
          <w:rFonts w:hint="eastAsia" w:ascii="仿宋_GB2312" w:hAnsi="仿宋_GB2312" w:eastAsia="仿宋_GB2312" w:cs="仿宋_GB2312"/>
          <w:sz w:val="32"/>
          <w:szCs w:val="32"/>
        </w:rPr>
      </w:pPr>
    </w:p>
    <w:p w14:paraId="07FF49AD">
      <w:pPr>
        <w:widowControl/>
        <w:jc w:val="left"/>
        <w:rPr>
          <w:rFonts w:eastAsia="仿宋"/>
          <w:kern w:val="0"/>
          <w:sz w:val="32"/>
          <w:szCs w:val="32"/>
        </w:rPr>
      </w:pPr>
      <w:r>
        <w:rPr>
          <w:rFonts w:eastAsia="仿宋"/>
          <w:sz w:val="32"/>
          <w:szCs w:val="32"/>
        </w:rPr>
        <w:br w:type="page"/>
      </w:r>
    </w:p>
    <w:p w14:paraId="4AA3952D">
      <w:pPr>
        <w:pStyle w:val="3"/>
        <w:jc w:val="center"/>
        <w:rPr>
          <w:rFonts w:eastAsia="方正小标宋简体" w:cs="方正小标宋简体"/>
          <w:b w:val="0"/>
        </w:rPr>
      </w:pPr>
      <w:bookmarkStart w:id="14" w:name="_Toc15377204"/>
      <w:bookmarkStart w:id="15" w:name="_Toc15396602"/>
      <w:r>
        <w:rPr>
          <w:rFonts w:hint="eastAsia" w:eastAsia="方正小标宋简体" w:cs="方正小标宋简体"/>
          <w:b w:val="0"/>
        </w:rPr>
        <w:t>第二部分  2024年度单位决算情况说明</w:t>
      </w:r>
      <w:bookmarkEnd w:id="14"/>
      <w:bookmarkEnd w:id="15"/>
    </w:p>
    <w:p w14:paraId="59601E8A"/>
    <w:p w14:paraId="0E0C31CB">
      <w:pPr>
        <w:pStyle w:val="27"/>
        <w:spacing w:line="600" w:lineRule="exact"/>
        <w:ind w:firstLine="640"/>
        <w:outlineLvl w:val="1"/>
        <w:rPr>
          <w:rStyle w:val="29"/>
          <w:rFonts w:ascii="Times New Roman" w:hAnsi="Times New Roman" w:eastAsia="黑体"/>
          <w:b w:val="0"/>
        </w:rPr>
      </w:pPr>
      <w:bookmarkStart w:id="16" w:name="_Toc15377205"/>
      <w:bookmarkStart w:id="17" w:name="_Toc15396603"/>
      <w:r>
        <w:rPr>
          <w:rFonts w:hint="eastAsia" w:eastAsia="黑体"/>
          <w:sz w:val="32"/>
          <w:szCs w:val="32"/>
        </w:rPr>
        <w:t>一、收</w:t>
      </w:r>
      <w:r>
        <w:rPr>
          <w:rStyle w:val="29"/>
          <w:rFonts w:hint="eastAsia" w:ascii="Times New Roman" w:hAnsi="Times New Roman" w:eastAsia="黑体"/>
          <w:b w:val="0"/>
        </w:rPr>
        <w:t>入支出决算总体情况说明</w:t>
      </w:r>
      <w:bookmarkEnd w:id="16"/>
      <w:bookmarkEnd w:id="17"/>
    </w:p>
    <w:p w14:paraId="69AC0004">
      <w:pPr>
        <w:pStyle w:val="27"/>
        <w:spacing w:line="600" w:lineRule="exact"/>
        <w:ind w:firstLine="640"/>
        <w:outlineLvl w:val="1"/>
        <w:rPr>
          <w:rFonts w:eastAsia="仿宋_GB2312" w:cs="仿宋_GB2312"/>
          <w:sz w:val="32"/>
          <w:szCs w:val="32"/>
        </w:rPr>
      </w:pPr>
      <w:r>
        <w:rPr>
          <w:rFonts w:hint="eastAsia" w:ascii="仿宋_GB2312" w:hAnsi="仿宋_GB2312" w:eastAsia="仿宋_GB2312" w:cs="仿宋_GB2312"/>
          <w:sz w:val="32"/>
          <w:szCs w:val="32"/>
        </w:rPr>
        <w:t>2024</w:t>
      </w:r>
      <w:r>
        <w:rPr>
          <w:rFonts w:hint="eastAsia" w:eastAsia="仿宋_GB2312" w:cs="仿宋_GB2312"/>
          <w:sz w:val="32"/>
          <w:szCs w:val="32"/>
        </w:rPr>
        <w:t>年度收入、支出总计均为</w:t>
      </w:r>
      <w:r>
        <w:rPr>
          <w:rFonts w:hint="eastAsia" w:ascii="仿宋_GB2312" w:hAnsi="仿宋_GB2312" w:eastAsia="仿宋_GB2312" w:cs="仿宋_GB2312"/>
          <w:sz w:val="32"/>
          <w:szCs w:val="32"/>
          <w:lang w:val="en-US" w:eastAsia="zh-CN"/>
        </w:rPr>
        <w:t>1685.94</w:t>
      </w:r>
      <w:r>
        <w:rPr>
          <w:rFonts w:hint="eastAsia" w:eastAsia="仿宋_GB2312" w:cs="仿宋_GB2312"/>
          <w:sz w:val="32"/>
          <w:szCs w:val="32"/>
        </w:rPr>
        <w:t>万元。与2023年度相比，收入、支出总计各</w:t>
      </w:r>
      <w:r>
        <w:rPr>
          <w:rFonts w:hint="eastAsia" w:eastAsia="仿宋_GB2312" w:cs="仿宋_GB2312"/>
          <w:sz w:val="32"/>
          <w:szCs w:val="32"/>
          <w:lang w:val="en-US" w:eastAsia="zh-CN"/>
        </w:rPr>
        <w:t>减少75.39</w:t>
      </w:r>
      <w:r>
        <w:rPr>
          <w:rFonts w:hint="eastAsia" w:eastAsia="仿宋_GB2312" w:cs="仿宋_GB2312"/>
          <w:sz w:val="32"/>
          <w:szCs w:val="32"/>
        </w:rPr>
        <w:t>万元，</w:t>
      </w:r>
      <w:r>
        <w:rPr>
          <w:rFonts w:hint="eastAsia" w:eastAsia="仿宋_GB2312" w:cs="仿宋_GB2312"/>
          <w:sz w:val="32"/>
          <w:szCs w:val="32"/>
          <w:lang w:val="en-US" w:eastAsia="zh-CN"/>
        </w:rPr>
        <w:t>下降4.28</w:t>
      </w:r>
      <w:r>
        <w:rPr>
          <w:rFonts w:hint="eastAsia" w:eastAsia="仿宋_GB2312" w:cs="仿宋_GB2312"/>
          <w:sz w:val="32"/>
          <w:szCs w:val="32"/>
        </w:rPr>
        <w:t>%。主要变动原因是</w:t>
      </w:r>
      <w:r>
        <w:rPr>
          <w:rFonts w:hint="eastAsia" w:eastAsia="仿宋_GB2312" w:cs="仿宋_GB2312"/>
          <w:sz w:val="32"/>
          <w:szCs w:val="32"/>
          <w:lang w:val="en-US" w:eastAsia="zh-CN"/>
        </w:rPr>
        <w:t>人员、公用、项目等经费均有所下降</w:t>
      </w:r>
      <w:r>
        <w:rPr>
          <w:rFonts w:hint="eastAsia" w:eastAsia="仿宋_GB2312" w:cs="仿宋_GB2312"/>
          <w:sz w:val="32"/>
          <w:szCs w:val="32"/>
        </w:rPr>
        <w:t>。</w:t>
      </w:r>
    </w:p>
    <w:p w14:paraId="42A1F20D">
      <w:pPr>
        <w:ind w:firstLine="640" w:firstLineChars="200"/>
        <w:rPr>
          <w:rFonts w:eastAsia="仿宋_GB2312" w:cs="仿宋_GB2312"/>
          <w:sz w:val="32"/>
          <w:szCs w:val="32"/>
        </w:rPr>
      </w:pPr>
      <w:r>
        <w:rPr>
          <w:rFonts w:hint="eastAsia" w:eastAsia="仿宋_GB2312" w:cs="仿宋_GB2312"/>
          <w:sz w:val="32"/>
          <w:szCs w:val="32"/>
        </w:rPr>
        <w:t>（图1：收入、支出决算总计变动情况图）（柱状图）</w:t>
      </w:r>
    </w:p>
    <w:p w14:paraId="641ECFAF">
      <w:pPr>
        <w:ind w:firstLine="420" w:firstLineChars="200"/>
        <w:rPr>
          <w:rFonts w:eastAsia="仿宋_GB2312" w:cs="仿宋_GB2312"/>
          <w:sz w:val="32"/>
          <w:szCs w:val="32"/>
        </w:rPr>
      </w:pPr>
      <w:r>
        <w:drawing>
          <wp:inline distT="0" distB="0" distL="114300" distR="114300">
            <wp:extent cx="4826000" cy="2743200"/>
            <wp:effectExtent l="4445" t="4445" r="825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34BEBD">
      <w:pPr>
        <w:pStyle w:val="27"/>
        <w:spacing w:line="600" w:lineRule="exact"/>
        <w:ind w:firstLine="640"/>
        <w:outlineLvl w:val="1"/>
        <w:rPr>
          <w:rFonts w:eastAsia="黑体"/>
          <w:sz w:val="32"/>
          <w:szCs w:val="32"/>
        </w:rPr>
      </w:pPr>
      <w:bookmarkStart w:id="18" w:name="_Toc15396604"/>
      <w:bookmarkStart w:id="19" w:name="_Toc15377206"/>
      <w:r>
        <w:rPr>
          <w:rFonts w:hint="eastAsia" w:eastAsia="黑体"/>
          <w:sz w:val="32"/>
          <w:szCs w:val="32"/>
        </w:rPr>
        <w:t>二、收入决算情况说明</w:t>
      </w:r>
      <w:bookmarkEnd w:id="18"/>
      <w:bookmarkEnd w:id="19"/>
    </w:p>
    <w:p w14:paraId="18B53F8D">
      <w:pPr>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2024年度本年收入合计</w:t>
      </w:r>
      <w:r>
        <w:rPr>
          <w:rFonts w:hint="eastAsia" w:ascii="仿宋_GB2312" w:hAnsi="仿宋_GB2312" w:eastAsia="仿宋_GB2312" w:cs="仿宋_GB2312"/>
          <w:sz w:val="32"/>
          <w:szCs w:val="32"/>
          <w:lang w:val="en-US" w:eastAsia="zh-CN"/>
        </w:rPr>
        <w:t>1685.94</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1278.51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75.83</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政府性基金预算财政拨款收入0万元，占0%；国有资本经营预算财政拨款收入0万元，占0%；上级补助收入0万元，占0%；事业收入0万元，占0%；经营收入0万元，占0%；附属单位上缴收入0万元，占0%；其他收入</w:t>
      </w:r>
      <w:r>
        <w:rPr>
          <w:rFonts w:hint="eastAsia" w:ascii="仿宋_GB2312" w:hAnsi="仿宋_GB2312" w:eastAsia="仿宋_GB2312" w:cs="仿宋_GB2312"/>
          <w:sz w:val="32"/>
          <w:szCs w:val="32"/>
          <w:lang w:val="en-US" w:eastAsia="zh-CN"/>
        </w:rPr>
        <w:t>407.43</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24.17</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7A60DA5">
      <w:pPr>
        <w:pStyle w:val="2"/>
        <w:rPr>
          <w:rFonts w:hint="eastAsia"/>
          <w:lang w:eastAsia="zh-CN"/>
        </w:rPr>
      </w:pPr>
      <w:r>
        <w:drawing>
          <wp:inline distT="0" distB="0" distL="114300" distR="114300">
            <wp:extent cx="4826000" cy="2743200"/>
            <wp:effectExtent l="4445" t="4445" r="825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024809">
      <w:pPr>
        <w:pStyle w:val="27"/>
        <w:spacing w:line="600" w:lineRule="exact"/>
        <w:ind w:firstLine="640"/>
        <w:jc w:val="left"/>
        <w:outlineLvl w:val="1"/>
        <w:rPr>
          <w:rFonts w:eastAsia="仿宋_GB2312" w:cs="仿宋_GB2312"/>
          <w:b/>
          <w:bCs/>
          <w:sz w:val="32"/>
          <w:szCs w:val="32"/>
        </w:rPr>
      </w:pPr>
    </w:p>
    <w:p w14:paraId="3A2FCF6B">
      <w:pPr>
        <w:ind w:firstLine="800" w:firstLineChars="250"/>
        <w:rPr>
          <w:rFonts w:eastAsia="仿宋_GB2312" w:cs="仿宋_GB2312"/>
          <w:sz w:val="32"/>
          <w:szCs w:val="32"/>
        </w:rPr>
      </w:pPr>
    </w:p>
    <w:p w14:paraId="1B052427">
      <w:pPr>
        <w:pStyle w:val="27"/>
        <w:spacing w:line="600" w:lineRule="exact"/>
        <w:ind w:firstLine="640"/>
        <w:outlineLvl w:val="1"/>
        <w:rPr>
          <w:rStyle w:val="29"/>
          <w:rFonts w:ascii="Times New Roman" w:hAnsi="Times New Roman" w:eastAsia="黑体"/>
          <w:b w:val="0"/>
        </w:rPr>
      </w:pPr>
      <w:bookmarkStart w:id="20" w:name="_Toc15377207"/>
      <w:bookmarkStart w:id="21" w:name="_Toc15396605"/>
      <w:r>
        <w:rPr>
          <w:rFonts w:hint="eastAsia" w:eastAsia="黑体"/>
          <w:sz w:val="32"/>
          <w:szCs w:val="32"/>
        </w:rPr>
        <w:t>三、支</w:t>
      </w:r>
      <w:r>
        <w:rPr>
          <w:rStyle w:val="29"/>
          <w:rFonts w:hint="eastAsia" w:ascii="Times New Roman" w:hAnsi="Times New Roman" w:eastAsia="黑体"/>
          <w:b w:val="0"/>
        </w:rPr>
        <w:t>出决算情况说明</w:t>
      </w:r>
      <w:bookmarkEnd w:id="20"/>
      <w:bookmarkEnd w:id="21"/>
    </w:p>
    <w:p w14:paraId="46BE273E">
      <w:pPr>
        <w:ind w:firstLine="640" w:firstLineChars="200"/>
        <w:outlineLvl w:val="1"/>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年本年支出合计</w:t>
      </w:r>
      <w:r>
        <w:rPr>
          <w:rFonts w:hint="eastAsia" w:ascii="仿宋_GB2312" w:hAnsi="仿宋_GB2312" w:eastAsia="仿宋_GB2312" w:cs="仿宋_GB2312"/>
          <w:sz w:val="32"/>
          <w:szCs w:val="32"/>
          <w:lang w:val="en-US" w:eastAsia="zh-CN"/>
        </w:rPr>
        <w:t>1685.94</w:t>
      </w:r>
      <w:r>
        <w:rPr>
          <w:rFonts w:hint="default"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一般公共服务支出1万元，占0.5%；</w:t>
      </w:r>
      <w:r>
        <w:rPr>
          <w:rFonts w:hint="default" w:ascii="仿宋_GB2312" w:hAnsi="仿宋_GB2312" w:eastAsia="仿宋_GB2312" w:cs="仿宋_GB2312"/>
          <w:sz w:val="32"/>
          <w:szCs w:val="32"/>
          <w:lang w:eastAsia="zh-CN"/>
        </w:rPr>
        <w:t>公共安全</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1390.78</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82.48</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社会保障和就业</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131.45</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卫生健康</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75.99</w:t>
      </w:r>
      <w:r>
        <w:rPr>
          <w:rFonts w:hint="default" w:ascii="仿宋_GB2312" w:hAnsi="仿宋_GB2312" w:eastAsia="仿宋_GB2312" w:cs="仿宋_GB2312"/>
          <w:sz w:val="32"/>
          <w:szCs w:val="32"/>
        </w:rPr>
        <w:t>万元，占</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32</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城乡社区</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住房保障</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86.72</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；灾害防治及应急管理</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rPr>
        <w:t>。</w:t>
      </w:r>
    </w:p>
    <w:p w14:paraId="0B82C953">
      <w:pPr>
        <w:ind w:firstLine="800" w:firstLineChars="250"/>
        <w:rPr>
          <w:rFonts w:eastAsia="仿宋_GB2312" w:cs="仿宋_GB2312"/>
          <w:sz w:val="32"/>
          <w:szCs w:val="32"/>
        </w:rPr>
      </w:pPr>
      <w:r>
        <w:rPr>
          <w:rFonts w:hint="eastAsia" w:eastAsia="仿宋_GB2312" w:cs="仿宋_GB2312"/>
          <w:sz w:val="32"/>
          <w:szCs w:val="32"/>
        </w:rPr>
        <w:t>（图3：支出决算结构图）（饼状图）</w:t>
      </w:r>
    </w:p>
    <w:p w14:paraId="4CEB4CAD">
      <w:pPr>
        <w:ind w:firstLine="800" w:firstLineChars="250"/>
        <w:rPr>
          <w:rFonts w:eastAsia="仿宋_GB2312" w:cs="仿宋_GB2312"/>
          <w:sz w:val="32"/>
          <w:szCs w:val="32"/>
        </w:rPr>
      </w:pPr>
    </w:p>
    <w:p w14:paraId="2CF2CA92">
      <w:pPr>
        <w:pStyle w:val="2"/>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F94608">
      <w:pPr>
        <w:spacing w:line="600" w:lineRule="exact"/>
        <w:ind w:firstLine="640" w:firstLineChars="200"/>
        <w:outlineLvl w:val="1"/>
        <w:rPr>
          <w:rStyle w:val="29"/>
          <w:rFonts w:ascii="Times New Roman" w:hAnsi="Times New Roman" w:eastAsia="黑体"/>
          <w:b w:val="0"/>
        </w:rPr>
      </w:pPr>
      <w:bookmarkStart w:id="22" w:name="_Toc15396606"/>
      <w:bookmarkStart w:id="23" w:name="_Toc15377208"/>
      <w:r>
        <w:rPr>
          <w:rFonts w:hint="eastAsia" w:eastAsia="黑体"/>
          <w:sz w:val="32"/>
          <w:szCs w:val="32"/>
        </w:rPr>
        <w:t>四、财</w:t>
      </w:r>
      <w:r>
        <w:rPr>
          <w:rStyle w:val="29"/>
          <w:rFonts w:hint="eastAsia" w:ascii="Times New Roman" w:hAnsi="Times New Roman" w:eastAsia="黑体"/>
          <w:b w:val="0"/>
        </w:rPr>
        <w:t>政拨款收入支出决算总体情况说明</w:t>
      </w:r>
      <w:bookmarkEnd w:id="22"/>
      <w:bookmarkEnd w:id="23"/>
    </w:p>
    <w:p w14:paraId="76644CCD">
      <w:pPr>
        <w:spacing w:line="600" w:lineRule="exact"/>
        <w:ind w:firstLine="640"/>
        <w:rPr>
          <w:rFonts w:eastAsia="仿宋_GB2312" w:cs="仿宋_GB2312"/>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lang w:val="en-US" w:eastAsia="zh-CN"/>
        </w:rPr>
        <w:t>1278.51</w:t>
      </w:r>
      <w:r>
        <w:rPr>
          <w:rFonts w:hint="eastAsia" w:eastAsia="仿宋_GB2312" w:cs="仿宋_GB2312"/>
          <w:sz w:val="32"/>
          <w:szCs w:val="32"/>
        </w:rPr>
        <w:t>万元。与2023年度相比，财政拨款收入总计、支出总计各</w:t>
      </w:r>
      <w:r>
        <w:rPr>
          <w:rFonts w:hint="eastAsia" w:eastAsia="仿宋_GB2312" w:cs="仿宋_GB2312"/>
          <w:sz w:val="32"/>
          <w:szCs w:val="32"/>
          <w:lang w:val="en-US" w:eastAsia="zh-CN"/>
        </w:rPr>
        <w:t>减少129.17</w:t>
      </w:r>
      <w:r>
        <w:rPr>
          <w:rFonts w:hint="eastAsia" w:eastAsia="仿宋_GB2312" w:cs="仿宋_GB2312"/>
          <w:sz w:val="32"/>
          <w:szCs w:val="32"/>
        </w:rPr>
        <w:t>万元，</w:t>
      </w:r>
      <w:r>
        <w:rPr>
          <w:rFonts w:hint="eastAsia" w:eastAsia="仿宋_GB2312" w:cs="仿宋_GB2312"/>
          <w:sz w:val="32"/>
          <w:szCs w:val="32"/>
          <w:lang w:val="en-US" w:eastAsia="zh-CN"/>
        </w:rPr>
        <w:t>下降9.18</w:t>
      </w:r>
      <w:r>
        <w:rPr>
          <w:rFonts w:hint="eastAsia" w:eastAsia="仿宋_GB2312" w:cs="仿宋_GB2312"/>
          <w:sz w:val="32"/>
          <w:szCs w:val="32"/>
        </w:rPr>
        <w:t>%。主要变动原因是</w:t>
      </w:r>
      <w:r>
        <w:rPr>
          <w:rFonts w:hint="eastAsia" w:eastAsia="仿宋_GB2312" w:cs="仿宋_GB2312"/>
          <w:sz w:val="32"/>
          <w:szCs w:val="32"/>
          <w:lang w:val="en-US" w:eastAsia="zh-CN"/>
        </w:rPr>
        <w:t>人员、公用、项目等经费均有所下降</w:t>
      </w:r>
      <w:r>
        <w:rPr>
          <w:rFonts w:hint="eastAsia" w:eastAsia="仿宋_GB2312" w:cs="仿宋_GB2312"/>
          <w:sz w:val="32"/>
          <w:szCs w:val="32"/>
        </w:rPr>
        <w:t>。</w:t>
      </w:r>
    </w:p>
    <w:p w14:paraId="5C3B10F0">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（图4：财政拨款收、支决算总计变动情况）（柱状图）</w:t>
      </w:r>
      <w:bookmarkStart w:id="24" w:name="_Toc15377209"/>
      <w:bookmarkStart w:id="25" w:name="_Toc15396607"/>
    </w:p>
    <w:p w14:paraId="36A098CF">
      <w:pPr>
        <w:pStyle w:val="2"/>
      </w:pPr>
      <w:r>
        <w:drawing>
          <wp:inline distT="0" distB="0" distL="114300" distR="114300">
            <wp:extent cx="4826000" cy="2743200"/>
            <wp:effectExtent l="4445" t="4445" r="8255" b="1460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C3275A">
      <w:pPr>
        <w:pStyle w:val="13"/>
      </w:pPr>
    </w:p>
    <w:p w14:paraId="1B80D985">
      <w:pPr>
        <w:pStyle w:val="7"/>
      </w:pPr>
    </w:p>
    <w:p w14:paraId="1391D2E1">
      <w:pPr>
        <w:spacing w:line="600" w:lineRule="exact"/>
        <w:ind w:firstLine="640" w:firstLineChars="200"/>
        <w:outlineLvl w:val="1"/>
        <w:rPr>
          <w:rStyle w:val="29"/>
          <w:rFonts w:ascii="Times New Roman" w:hAnsi="Times New Roman" w:eastAsia="黑体"/>
          <w:b w:val="0"/>
        </w:rPr>
      </w:pPr>
      <w:r>
        <w:rPr>
          <w:rFonts w:hint="eastAsia" w:eastAsia="黑体"/>
          <w:sz w:val="32"/>
          <w:szCs w:val="32"/>
        </w:rPr>
        <w:t>五、</w:t>
      </w:r>
      <w:r>
        <w:rPr>
          <w:rFonts w:hint="eastAsia" w:eastAsia="黑体"/>
          <w:b/>
          <w:sz w:val="32"/>
          <w:szCs w:val="32"/>
        </w:rPr>
        <w:t>一</w:t>
      </w:r>
      <w:r>
        <w:rPr>
          <w:rStyle w:val="29"/>
          <w:rFonts w:hint="eastAsia" w:ascii="Times New Roman" w:hAnsi="Times New Roman" w:eastAsia="黑体"/>
          <w:b w:val="0"/>
        </w:rPr>
        <w:t>般公共预算财政拨款支出决算情况说明</w:t>
      </w:r>
      <w:bookmarkEnd w:id="24"/>
      <w:bookmarkEnd w:id="25"/>
    </w:p>
    <w:p w14:paraId="1119235A">
      <w:pPr>
        <w:spacing w:line="600" w:lineRule="exact"/>
        <w:ind w:firstLine="643" w:firstLineChars="200"/>
        <w:outlineLvl w:val="2"/>
        <w:rPr>
          <w:rFonts w:eastAsia="楷体_GB2312" w:cs="楷体_GB2312"/>
          <w:b/>
          <w:sz w:val="32"/>
          <w:szCs w:val="32"/>
        </w:rPr>
      </w:pPr>
      <w:bookmarkStart w:id="26" w:name="_Toc15377210"/>
      <w:r>
        <w:rPr>
          <w:rFonts w:hint="eastAsia" w:eastAsia="楷体_GB2312" w:cs="楷体_GB2312"/>
          <w:b/>
          <w:sz w:val="32"/>
          <w:szCs w:val="32"/>
        </w:rPr>
        <w:t>（一）一般公共预算财政拨款支出决算总体情况</w:t>
      </w:r>
      <w:bookmarkEnd w:id="26"/>
    </w:p>
    <w:p w14:paraId="0F043AF3">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2024年度一般公共预算财政拨款支出</w:t>
      </w:r>
      <w:r>
        <w:rPr>
          <w:rFonts w:hint="eastAsia" w:ascii="仿宋_GB2312" w:hAnsi="仿宋_GB2312" w:eastAsia="仿宋_GB2312" w:cs="仿宋_GB2312"/>
          <w:sz w:val="32"/>
          <w:szCs w:val="32"/>
          <w:lang w:val="en-US" w:eastAsia="zh-CN"/>
        </w:rPr>
        <w:t>1685.94</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%。与2023年度相比，一般公共预算财政拨款支出</w:t>
      </w:r>
      <w:r>
        <w:rPr>
          <w:rFonts w:hint="eastAsia" w:ascii="仿宋_GB2312" w:hAnsi="仿宋_GB2312" w:eastAsia="仿宋_GB2312" w:cs="仿宋_GB2312"/>
          <w:sz w:val="32"/>
          <w:szCs w:val="32"/>
          <w:lang w:val="en-US" w:eastAsia="zh-CN"/>
        </w:rPr>
        <w:t>减少75.39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下降4.28</w:t>
      </w:r>
      <w:r>
        <w:rPr>
          <w:rFonts w:hint="eastAsia" w:ascii="仿宋_GB2312" w:hAnsi="仿宋_GB2312" w:eastAsia="仿宋_GB2312" w:cs="仿宋_GB2312"/>
          <w:sz w:val="32"/>
          <w:szCs w:val="32"/>
        </w:rPr>
        <w:t>%。主要变动原因是</w:t>
      </w:r>
      <w:r>
        <w:rPr>
          <w:rFonts w:hint="eastAsia" w:eastAsia="仿宋_GB2312" w:cs="仿宋_GB2312"/>
          <w:sz w:val="32"/>
          <w:szCs w:val="32"/>
          <w:lang w:val="en-US" w:eastAsia="zh-CN"/>
        </w:rPr>
        <w:t>人员、公用、项目等经费均有所下降</w:t>
      </w:r>
      <w:r>
        <w:rPr>
          <w:rFonts w:hint="eastAsia" w:eastAsia="仿宋_GB2312" w:cs="仿宋_GB2312"/>
          <w:sz w:val="32"/>
          <w:szCs w:val="32"/>
        </w:rPr>
        <w:t>。</w:t>
      </w:r>
    </w:p>
    <w:p w14:paraId="1A7EC90C">
      <w:pPr>
        <w:spacing w:line="600" w:lineRule="exact"/>
        <w:ind w:firstLine="640"/>
        <w:rPr>
          <w:rFonts w:eastAsia="仿宋_GB2312" w:cs="仿宋_GB2312"/>
          <w:sz w:val="32"/>
          <w:szCs w:val="32"/>
        </w:rPr>
      </w:pPr>
      <w:r>
        <w:rPr>
          <w:rFonts w:hint="eastAsia" w:eastAsia="仿宋_GB2312" w:cs="仿宋_GB2312"/>
          <w:sz w:val="32"/>
          <w:szCs w:val="32"/>
        </w:rPr>
        <w:t>（图5：一般公共预算财政拨款支出决算变动情况）（柱状图）</w:t>
      </w:r>
    </w:p>
    <w:p w14:paraId="05854095">
      <w:pPr>
        <w:pStyle w:val="13"/>
      </w:pPr>
    </w:p>
    <w:p w14:paraId="6E1A2A18">
      <w:pPr>
        <w:pStyle w:val="7"/>
      </w:pPr>
      <w:r>
        <w:drawing>
          <wp:inline distT="0" distB="0" distL="114300" distR="114300">
            <wp:extent cx="4826000" cy="2743200"/>
            <wp:effectExtent l="4445" t="4445" r="8255"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64AFEF">
      <w:pPr>
        <w:spacing w:line="600" w:lineRule="exact"/>
        <w:ind w:firstLine="643" w:firstLineChars="200"/>
        <w:outlineLvl w:val="2"/>
        <w:rPr>
          <w:rFonts w:eastAsia="楷体_GB2312" w:cs="楷体_GB2312"/>
          <w:b/>
          <w:sz w:val="32"/>
          <w:szCs w:val="32"/>
        </w:rPr>
      </w:pPr>
      <w:bookmarkStart w:id="27" w:name="_Toc15377211"/>
      <w:r>
        <w:rPr>
          <w:rFonts w:hint="eastAsia" w:eastAsia="楷体_GB2312" w:cs="楷体_GB2312"/>
          <w:b/>
          <w:sz w:val="32"/>
          <w:szCs w:val="32"/>
        </w:rPr>
        <w:t>（二）一般公共预算财政拨款支出决算结构情况</w:t>
      </w:r>
      <w:bookmarkEnd w:id="27"/>
    </w:p>
    <w:p w14:paraId="1188CA9E">
      <w:pPr>
        <w:spacing w:line="600" w:lineRule="exact"/>
        <w:ind w:firstLine="640"/>
        <w:rPr>
          <w:rFonts w:eastAsia="仿宋_GB2312" w:cs="仿宋_GB2312"/>
          <w:b/>
          <w:bCs/>
          <w:sz w:val="32"/>
          <w:szCs w:val="32"/>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lang w:val="en-US" w:eastAsia="zh-CN"/>
        </w:rPr>
        <w:t>1685.94</w:t>
      </w:r>
      <w:r>
        <w:rPr>
          <w:rFonts w:hint="eastAsia" w:ascii="仿宋_GB2312" w:hAnsi="仿宋_GB2312" w:eastAsia="仿宋_GB2312" w:cs="仿宋_GB2312"/>
          <w:sz w:val="32"/>
          <w:szCs w:val="32"/>
        </w:rPr>
        <w:t>万元</w:t>
      </w:r>
      <w:r>
        <w:rPr>
          <w:rFonts w:hint="eastAsia" w:eastAsia="仿宋_GB2312" w:cs="仿宋_GB2312"/>
          <w:sz w:val="32"/>
          <w:szCs w:val="32"/>
        </w:rPr>
        <w:t>，主要用于以下方面：</w:t>
      </w:r>
      <w:r>
        <w:rPr>
          <w:rFonts w:hint="eastAsia" w:ascii="仿宋_GB2312" w:hAnsi="仿宋_GB2312" w:eastAsia="仿宋_GB2312" w:cs="仿宋_GB2312"/>
          <w:sz w:val="32"/>
          <w:szCs w:val="32"/>
          <w:lang w:val="en-US" w:eastAsia="zh-CN"/>
        </w:rPr>
        <w:t>一般公共服务支出1万元，占0.5%；</w:t>
      </w:r>
      <w:r>
        <w:rPr>
          <w:rFonts w:hint="default" w:ascii="仿宋_GB2312" w:hAnsi="仿宋_GB2312" w:eastAsia="仿宋_GB2312" w:cs="仿宋_GB2312"/>
          <w:sz w:val="32"/>
          <w:szCs w:val="32"/>
          <w:lang w:eastAsia="zh-CN"/>
        </w:rPr>
        <w:t>公共安全</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1390.78</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82.48</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社会保障和就业</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131.45</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卫生健康</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75.99</w:t>
      </w:r>
      <w:r>
        <w:rPr>
          <w:rFonts w:hint="default" w:ascii="仿宋_GB2312" w:hAnsi="仿宋_GB2312" w:eastAsia="仿宋_GB2312" w:cs="仿宋_GB2312"/>
          <w:sz w:val="32"/>
          <w:szCs w:val="32"/>
        </w:rPr>
        <w:t>万元，占</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32</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住房保障</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86.72</w:t>
      </w:r>
      <w:r>
        <w:rPr>
          <w:rFonts w:hint="default"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w:t>
      </w:r>
    </w:p>
    <w:p w14:paraId="17E1A7E0">
      <w:pPr>
        <w:spacing w:line="600" w:lineRule="exact"/>
        <w:ind w:firstLine="640"/>
        <w:rPr>
          <w:rFonts w:eastAsia="仿宋_GB2312" w:cs="仿宋_GB2312"/>
          <w:sz w:val="32"/>
          <w:szCs w:val="32"/>
        </w:rPr>
      </w:pPr>
      <w:r>
        <w:rPr>
          <w:rFonts w:hint="eastAsia" w:eastAsia="仿宋_GB2312" w:cs="仿宋_GB2312"/>
          <w:sz w:val="32"/>
          <w:szCs w:val="32"/>
        </w:rPr>
        <w:t>（图6：一般公共预算财政拨款支出决算结构）（饼状图）</w:t>
      </w:r>
    </w:p>
    <w:p w14:paraId="2E36A62A">
      <w:pPr>
        <w:pStyle w:val="13"/>
      </w:pPr>
      <w:r>
        <w:drawing>
          <wp:inline distT="0" distB="0" distL="114300" distR="114300">
            <wp:extent cx="4826000" cy="2743200"/>
            <wp:effectExtent l="4445" t="4445" r="8255" b="1460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4ADC87">
      <w:pPr>
        <w:spacing w:line="600" w:lineRule="exact"/>
        <w:ind w:firstLine="643" w:firstLineChars="200"/>
        <w:outlineLvl w:val="2"/>
        <w:rPr>
          <w:rFonts w:eastAsia="楷体_GB2312" w:cs="楷体_GB2312"/>
          <w:b/>
          <w:sz w:val="32"/>
          <w:szCs w:val="32"/>
        </w:rPr>
      </w:pPr>
      <w:bookmarkStart w:id="28" w:name="_Toc15377212"/>
    </w:p>
    <w:p w14:paraId="16E50848">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（三）一般公共预算财政拨款支出决算具体情况</w:t>
      </w:r>
      <w:bookmarkEnd w:id="28"/>
    </w:p>
    <w:p w14:paraId="12481E7C">
      <w:pPr>
        <w:spacing w:line="600" w:lineRule="exact"/>
        <w:ind w:firstLine="640"/>
        <w:rPr>
          <w:rFonts w:eastAsia="仿宋_GB2312" w:cs="仿宋_GB2312"/>
          <w:sz w:val="32"/>
          <w:szCs w:val="32"/>
        </w:rPr>
      </w:pPr>
      <w:bookmarkStart w:id="29" w:name="_Toc15377213"/>
      <w:bookmarkStart w:id="30" w:name="_Toc15378460"/>
      <w:bookmarkStart w:id="31" w:name="_Toc15377444"/>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lang w:val="en-US" w:eastAsia="zh-CN"/>
        </w:rPr>
        <w:t>1685.94</w:t>
      </w:r>
      <w:r>
        <w:rPr>
          <w:rFonts w:hint="eastAsia" w:ascii="仿宋_GB2312" w:hAnsi="仿宋_GB2312" w:eastAsia="仿宋_GB2312" w:cs="仿宋_GB2312"/>
          <w:sz w:val="32"/>
          <w:szCs w:val="32"/>
        </w:rPr>
        <w:t>万元，</w:t>
      </w:r>
      <w:r>
        <w:rPr>
          <w:rFonts w:hint="eastAsia" w:eastAsia="仿宋_GB2312" w:cs="仿宋_GB2312"/>
          <w:sz w:val="32"/>
          <w:szCs w:val="32"/>
        </w:rPr>
        <w:t>完成预算100%。其中：</w:t>
      </w:r>
      <w:bookmarkEnd w:id="29"/>
      <w:bookmarkEnd w:id="30"/>
      <w:bookmarkEnd w:id="31"/>
    </w:p>
    <w:p w14:paraId="7FA6C715">
      <w:pPr>
        <w:spacing w:line="600" w:lineRule="exact"/>
        <w:ind w:firstLine="640"/>
        <w:rPr>
          <w:rFonts w:eastAsia="仿宋_GB2312" w:cs="仿宋_GB2312"/>
          <w:sz w:val="32"/>
          <w:szCs w:val="32"/>
        </w:rPr>
      </w:pPr>
      <w:r>
        <w:rPr>
          <w:rFonts w:hint="eastAsia" w:eastAsia="仿宋_GB2312" w:cs="仿宋_GB2312"/>
          <w:sz w:val="32"/>
          <w:szCs w:val="32"/>
        </w:rPr>
        <w:t>1.公共安全支出204（类）05（款）01、02、50、99（项）：支出决算为</w:t>
      </w:r>
      <w:r>
        <w:rPr>
          <w:rFonts w:hint="eastAsia" w:eastAsia="仿宋_GB2312" w:cs="仿宋_GB2312"/>
          <w:sz w:val="32"/>
          <w:szCs w:val="32"/>
          <w:lang w:val="en-US" w:eastAsia="zh-CN"/>
        </w:rPr>
        <w:t>1390.78</w:t>
      </w:r>
      <w:r>
        <w:rPr>
          <w:rFonts w:hint="eastAsia" w:eastAsia="仿宋_GB2312" w:cs="仿宋_GB2312"/>
          <w:sz w:val="32"/>
          <w:szCs w:val="32"/>
        </w:rPr>
        <w:t>万元，完成预算100%。</w:t>
      </w:r>
    </w:p>
    <w:p w14:paraId="029964F3">
      <w:pPr>
        <w:spacing w:line="600" w:lineRule="exact"/>
        <w:ind w:firstLine="640"/>
        <w:rPr>
          <w:rFonts w:eastAsia="仿宋_GB2312" w:cs="仿宋_GB2312"/>
          <w:sz w:val="32"/>
          <w:szCs w:val="32"/>
        </w:rPr>
      </w:pPr>
      <w:r>
        <w:rPr>
          <w:rFonts w:hint="eastAsia" w:eastAsia="仿宋_GB2312" w:cs="仿宋_GB2312"/>
          <w:sz w:val="32"/>
          <w:szCs w:val="32"/>
        </w:rPr>
        <w:t>2. 社会保障和就业支出208（类）05（款）01、05（项）: 支出决算为</w:t>
      </w:r>
      <w:r>
        <w:rPr>
          <w:rFonts w:hint="eastAsia" w:eastAsia="仿宋_GB2312" w:cs="仿宋_GB2312"/>
          <w:sz w:val="32"/>
          <w:szCs w:val="32"/>
          <w:lang w:val="en-US" w:eastAsia="zh-CN"/>
        </w:rPr>
        <w:t>131.45</w:t>
      </w:r>
      <w:r>
        <w:rPr>
          <w:rFonts w:hint="eastAsia" w:eastAsia="仿宋_GB2312" w:cs="仿宋_GB2312"/>
          <w:sz w:val="32"/>
          <w:szCs w:val="32"/>
        </w:rPr>
        <w:t>万元，完成预算100%。</w:t>
      </w:r>
    </w:p>
    <w:p w14:paraId="24887391">
      <w:pPr>
        <w:spacing w:line="600" w:lineRule="exact"/>
        <w:ind w:firstLine="640"/>
        <w:rPr>
          <w:rFonts w:eastAsia="仿宋_GB2312" w:cs="仿宋_GB2312"/>
          <w:sz w:val="32"/>
          <w:szCs w:val="32"/>
        </w:rPr>
      </w:pPr>
      <w:r>
        <w:rPr>
          <w:rFonts w:hint="eastAsia" w:eastAsia="仿宋_GB2312" w:cs="仿宋_GB2312"/>
          <w:sz w:val="32"/>
          <w:szCs w:val="32"/>
        </w:rPr>
        <w:t>3. 卫生健康支出210（类）11（款）01、03（项）：支出决算为</w:t>
      </w:r>
      <w:r>
        <w:rPr>
          <w:rFonts w:hint="eastAsia" w:eastAsia="仿宋_GB2312" w:cs="仿宋_GB2312"/>
          <w:sz w:val="32"/>
          <w:szCs w:val="32"/>
          <w:lang w:val="en-US" w:eastAsia="zh-CN"/>
        </w:rPr>
        <w:t>75.99</w:t>
      </w:r>
      <w:r>
        <w:rPr>
          <w:rFonts w:hint="eastAsia" w:eastAsia="仿宋_GB2312" w:cs="仿宋_GB2312"/>
          <w:sz w:val="32"/>
          <w:szCs w:val="32"/>
        </w:rPr>
        <w:t>万元，完成预算100%。</w:t>
      </w:r>
    </w:p>
    <w:p w14:paraId="05A557E1">
      <w:pPr>
        <w:spacing w:line="600" w:lineRule="exact"/>
        <w:ind w:firstLine="640"/>
        <w:rPr>
          <w:rFonts w:eastAsia="仿宋_GB2312" w:cs="仿宋_GB2312"/>
          <w:sz w:val="32"/>
          <w:szCs w:val="32"/>
        </w:rPr>
      </w:pPr>
      <w:r>
        <w:rPr>
          <w:rFonts w:hint="eastAsia" w:eastAsia="仿宋_GB2312" w:cs="仿宋_GB2312"/>
          <w:sz w:val="32"/>
          <w:szCs w:val="32"/>
        </w:rPr>
        <w:t>4. 住房保障支出221（类）02（款）01（项）：支出决算为</w:t>
      </w:r>
      <w:r>
        <w:rPr>
          <w:rFonts w:hint="eastAsia" w:eastAsia="仿宋_GB2312" w:cs="仿宋_GB2312"/>
          <w:sz w:val="32"/>
          <w:szCs w:val="32"/>
          <w:lang w:val="en-US" w:eastAsia="zh-CN"/>
        </w:rPr>
        <w:t>86.72</w:t>
      </w:r>
      <w:r>
        <w:rPr>
          <w:rFonts w:hint="eastAsia" w:eastAsia="仿宋_GB2312" w:cs="仿宋_GB2312"/>
          <w:sz w:val="32"/>
          <w:szCs w:val="32"/>
        </w:rPr>
        <w:t>万元，完成预算100%。</w:t>
      </w:r>
    </w:p>
    <w:p w14:paraId="3E9FC11C">
      <w:pPr>
        <w:spacing w:line="600" w:lineRule="exact"/>
        <w:ind w:firstLine="640"/>
        <w:rPr>
          <w:rFonts w:hint="default" w:eastAsia="仿宋_GB2312" w:cs="仿宋_GB2312"/>
          <w:sz w:val="32"/>
          <w:szCs w:val="32"/>
          <w:lang w:val="en-US" w:eastAsia="zh-CN"/>
        </w:rPr>
      </w:pPr>
      <w:r>
        <w:rPr>
          <w:rFonts w:hint="eastAsia" w:eastAsia="仿宋_GB2312" w:cs="仿宋_GB2312"/>
          <w:sz w:val="32"/>
          <w:szCs w:val="32"/>
          <w:lang w:val="en-US" w:eastAsia="zh-CN"/>
        </w:rPr>
        <w:t>5.一般公共共服务支出201</w:t>
      </w:r>
      <w:r>
        <w:rPr>
          <w:rFonts w:hint="eastAsia" w:eastAsia="仿宋_GB2312" w:cs="仿宋_GB2312"/>
          <w:sz w:val="32"/>
          <w:szCs w:val="32"/>
        </w:rPr>
        <w:t>（类）</w:t>
      </w:r>
      <w:r>
        <w:rPr>
          <w:rFonts w:hint="eastAsia" w:eastAsia="仿宋_GB2312" w:cs="仿宋_GB2312"/>
          <w:sz w:val="32"/>
          <w:szCs w:val="32"/>
          <w:lang w:val="en-US" w:eastAsia="zh-CN"/>
        </w:rPr>
        <w:t>36</w:t>
      </w:r>
      <w:r>
        <w:rPr>
          <w:rFonts w:hint="eastAsia" w:eastAsia="仿宋_GB2312" w:cs="仿宋_GB2312"/>
          <w:sz w:val="32"/>
          <w:szCs w:val="32"/>
        </w:rPr>
        <w:t>（款）</w:t>
      </w:r>
      <w:r>
        <w:rPr>
          <w:rFonts w:hint="eastAsia" w:eastAsia="仿宋_GB2312" w:cs="仿宋_GB2312"/>
          <w:sz w:val="32"/>
          <w:szCs w:val="32"/>
          <w:lang w:val="en-US" w:eastAsia="zh-CN"/>
        </w:rPr>
        <w:t>02</w:t>
      </w:r>
      <w:r>
        <w:rPr>
          <w:rFonts w:hint="eastAsia" w:eastAsia="仿宋_GB2312" w:cs="仿宋_GB2312"/>
          <w:sz w:val="32"/>
          <w:szCs w:val="32"/>
        </w:rPr>
        <w:t>（项）：支出决算为</w:t>
      </w:r>
      <w:r>
        <w:rPr>
          <w:rFonts w:hint="eastAsia" w:eastAsia="仿宋_GB2312" w:cs="仿宋_GB2312"/>
          <w:sz w:val="32"/>
          <w:szCs w:val="32"/>
          <w:lang w:val="en-US" w:eastAsia="zh-CN"/>
        </w:rPr>
        <w:t>1</w:t>
      </w:r>
      <w:r>
        <w:rPr>
          <w:rFonts w:hint="eastAsia" w:eastAsia="仿宋_GB2312" w:cs="仿宋_GB2312"/>
          <w:sz w:val="32"/>
          <w:szCs w:val="32"/>
        </w:rPr>
        <w:t>万元，完成预算100%。</w:t>
      </w:r>
    </w:p>
    <w:p w14:paraId="62CAD101">
      <w:pPr>
        <w:tabs>
          <w:tab w:val="right" w:pos="8306"/>
        </w:tabs>
        <w:spacing w:line="600" w:lineRule="exact"/>
        <w:ind w:firstLine="640"/>
        <w:outlineLvl w:val="1"/>
        <w:rPr>
          <w:rStyle w:val="29"/>
          <w:rFonts w:ascii="Times New Roman" w:hAnsi="Times New Roman"/>
        </w:rPr>
      </w:pPr>
      <w:bookmarkStart w:id="32" w:name="_Toc15377214"/>
      <w:bookmarkStart w:id="33" w:name="_Toc15396608"/>
      <w:r>
        <w:rPr>
          <w:rFonts w:hint="eastAsia" w:eastAsia="黑体"/>
          <w:sz w:val="32"/>
          <w:szCs w:val="32"/>
        </w:rPr>
        <w:t>六</w:t>
      </w:r>
      <w:r>
        <w:rPr>
          <w:rFonts w:hint="eastAsia" w:eastAsia="黑体"/>
          <w:b/>
          <w:sz w:val="32"/>
          <w:szCs w:val="32"/>
        </w:rPr>
        <w:t>、一</w:t>
      </w:r>
      <w:r>
        <w:rPr>
          <w:rStyle w:val="29"/>
          <w:rFonts w:hint="eastAsia" w:ascii="Times New Roman" w:hAnsi="Times New Roman" w:eastAsia="黑体"/>
          <w:b w:val="0"/>
        </w:rPr>
        <w:t>般公共预算财政拨款基本支出决算情况说明</w:t>
      </w:r>
      <w:bookmarkEnd w:id="32"/>
      <w:bookmarkEnd w:id="33"/>
      <w:r>
        <w:rPr>
          <w:rStyle w:val="29"/>
          <w:rFonts w:ascii="Times New Roman" w:hAnsi="Times New Roman" w:eastAsia="黑体"/>
          <w:b w:val="0"/>
        </w:rPr>
        <w:tab/>
      </w:r>
    </w:p>
    <w:p w14:paraId="7BDBA6DE">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lang w:val="en-US" w:eastAsia="zh-CN"/>
        </w:rPr>
        <w:t>1127.15</w:t>
      </w:r>
      <w:r>
        <w:rPr>
          <w:rFonts w:hint="eastAsia" w:ascii="仿宋_GB2312" w:hAnsi="仿宋_GB2312" w:eastAsia="仿宋_GB2312" w:cs="仿宋_GB2312"/>
          <w:sz w:val="32"/>
          <w:szCs w:val="32"/>
        </w:rPr>
        <w:t>万</w:t>
      </w:r>
      <w:r>
        <w:rPr>
          <w:rFonts w:hint="eastAsia" w:eastAsia="仿宋_GB2312" w:cs="仿宋_GB2312"/>
          <w:sz w:val="32"/>
          <w:szCs w:val="32"/>
        </w:rPr>
        <w:t>元，其中：</w:t>
      </w:r>
    </w:p>
    <w:p w14:paraId="0939F9D5">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lang w:val="en-US" w:eastAsia="zh-CN"/>
        </w:rPr>
        <w:t>986.98</w:t>
      </w:r>
      <w:r>
        <w:rPr>
          <w:rFonts w:hint="eastAsia" w:ascii="仿宋_GB2312" w:hAnsi="仿宋_GB2312" w:eastAsia="仿宋_GB2312" w:cs="仿宋_GB2312"/>
          <w:sz w:val="32"/>
          <w:szCs w:val="32"/>
        </w:rPr>
        <w:t>万</w:t>
      </w:r>
      <w:r>
        <w:rPr>
          <w:rFonts w:hint="eastAsia" w:eastAsia="仿宋_GB2312" w:cs="仿宋_GB2312"/>
          <w:sz w:val="32"/>
          <w:szCs w:val="32"/>
        </w:rPr>
        <w:t>元，主要包括：基本工资、津贴补贴、奖金、机关事业单位基本养老保险缴费、职工基本医疗保险缴费、公务员医疗补助缴费、他社会保障缴费、住房公积金、其他工资福利支出、抚恤金、生活补助、奖励金等。</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lang w:val="en-US" w:eastAsia="zh-CN"/>
        </w:rPr>
        <w:t>140.17</w:t>
      </w:r>
      <w:r>
        <w:rPr>
          <w:rFonts w:hint="eastAsia" w:ascii="仿宋_GB2312" w:hAnsi="仿宋_GB2312" w:eastAsia="仿宋_GB2312" w:cs="仿宋_GB2312"/>
          <w:sz w:val="32"/>
          <w:szCs w:val="32"/>
        </w:rPr>
        <w:t>万</w:t>
      </w:r>
      <w:r>
        <w:rPr>
          <w:rFonts w:hint="eastAsia" w:eastAsia="仿宋_GB2312" w:cs="仿宋_GB2312"/>
          <w:sz w:val="32"/>
          <w:szCs w:val="32"/>
        </w:rPr>
        <w:t>元，主要包括：办公费、水费、电费、邮电费、差旅费、维修（护）费、培训费、公务接待费、劳务费、工会经费、福利费、公务用车运行维护费、其他交通费、其他商品和服务支出。</w:t>
      </w:r>
    </w:p>
    <w:p w14:paraId="7C19C80B">
      <w:pPr>
        <w:spacing w:line="600" w:lineRule="exact"/>
        <w:ind w:firstLine="640"/>
        <w:rPr>
          <w:rFonts w:eastAsia="仿宋_GB2312" w:cs="仿宋_GB2312"/>
          <w:sz w:val="32"/>
          <w:szCs w:val="32"/>
        </w:rPr>
      </w:pPr>
    </w:p>
    <w:p w14:paraId="4313BB99">
      <w:pPr>
        <w:spacing w:line="600" w:lineRule="exact"/>
        <w:ind w:firstLine="640"/>
        <w:outlineLvl w:val="1"/>
        <w:rPr>
          <w:rStyle w:val="29"/>
          <w:rFonts w:ascii="Times New Roman" w:hAnsi="Times New Roman" w:eastAsia="黑体"/>
          <w:b w:val="0"/>
        </w:rPr>
      </w:pPr>
      <w:bookmarkStart w:id="34" w:name="_Toc15396609"/>
      <w:bookmarkStart w:id="35" w:name="_Toc15377215"/>
      <w:r>
        <w:rPr>
          <w:rFonts w:hint="eastAsia"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34"/>
      <w:bookmarkEnd w:id="35"/>
    </w:p>
    <w:p w14:paraId="6C256BAF">
      <w:pPr>
        <w:spacing w:line="600" w:lineRule="exact"/>
        <w:ind w:firstLine="643" w:firstLineChars="200"/>
        <w:outlineLvl w:val="2"/>
        <w:rPr>
          <w:rFonts w:eastAsia="楷体_GB2312" w:cs="楷体_GB2312"/>
          <w:b/>
          <w:sz w:val="32"/>
          <w:szCs w:val="32"/>
        </w:rPr>
      </w:pPr>
      <w:bookmarkStart w:id="36" w:name="_Toc15377216"/>
      <w:r>
        <w:rPr>
          <w:rFonts w:hint="eastAsia" w:eastAsia="楷体_GB2312" w:cs="楷体_GB2312"/>
          <w:b/>
          <w:sz w:val="32"/>
          <w:szCs w:val="32"/>
        </w:rPr>
        <w:t>（一）“三公”经费财政拨款支出决算总体情况说明</w:t>
      </w:r>
      <w:bookmarkEnd w:id="36"/>
    </w:p>
    <w:p w14:paraId="6E33368B">
      <w:pPr>
        <w:spacing w:line="600" w:lineRule="exact"/>
        <w:ind w:firstLine="640"/>
        <w:rPr>
          <w:rFonts w:eastAsia="仿宋_GB2312" w:cs="仿宋_GB2312"/>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lang w:val="en-US" w:eastAsia="zh-CN"/>
        </w:rPr>
        <w:t>13.49</w:t>
      </w:r>
      <w:r>
        <w:rPr>
          <w:rFonts w:hint="eastAsia" w:ascii="仿宋_GB2312" w:hAnsi="仿宋_GB2312" w:eastAsia="仿宋_GB2312" w:cs="仿宋_GB2312"/>
          <w:sz w:val="32"/>
          <w:szCs w:val="32"/>
        </w:rPr>
        <w:t>万元，完成预算100%，</w:t>
      </w:r>
      <w:r>
        <w:rPr>
          <w:rFonts w:hint="eastAsia" w:eastAsia="仿宋_GB2312" w:cs="仿宋_GB2312"/>
          <w:sz w:val="32"/>
          <w:szCs w:val="32"/>
        </w:rPr>
        <w:t>较上年度</w:t>
      </w:r>
      <w:r>
        <w:rPr>
          <w:rFonts w:hint="eastAsia" w:eastAsia="仿宋_GB2312" w:cs="仿宋_GB2312"/>
          <w:sz w:val="32"/>
          <w:szCs w:val="32"/>
          <w:lang w:val="en-US" w:eastAsia="zh-CN"/>
        </w:rPr>
        <w:t>减少0.52</w:t>
      </w:r>
      <w:r>
        <w:rPr>
          <w:rFonts w:hint="eastAsia" w:eastAsia="仿宋_GB2312" w:cs="仿宋_GB2312"/>
          <w:sz w:val="32"/>
          <w:szCs w:val="32"/>
        </w:rPr>
        <w:t>万元，</w:t>
      </w:r>
      <w:r>
        <w:rPr>
          <w:rFonts w:hint="eastAsia" w:eastAsia="仿宋_GB2312" w:cs="仿宋_GB2312"/>
          <w:sz w:val="32"/>
          <w:szCs w:val="32"/>
          <w:lang w:val="en-US" w:eastAsia="zh-CN"/>
        </w:rPr>
        <w:t>下降3.71</w:t>
      </w:r>
      <w:r>
        <w:rPr>
          <w:rFonts w:hint="eastAsia" w:eastAsia="仿宋_GB2312" w:cs="仿宋_GB2312"/>
          <w:sz w:val="32"/>
          <w:szCs w:val="32"/>
        </w:rPr>
        <w:t>%。决算数</w:t>
      </w:r>
      <w:r>
        <w:rPr>
          <w:rFonts w:hint="eastAsia" w:eastAsia="仿宋_GB2312" w:cs="仿宋_GB2312"/>
          <w:sz w:val="32"/>
          <w:szCs w:val="32"/>
          <w:lang w:val="en-US" w:eastAsia="zh-CN"/>
        </w:rPr>
        <w:t>等于</w:t>
      </w:r>
      <w:r>
        <w:rPr>
          <w:rFonts w:hint="eastAsia" w:eastAsia="仿宋_GB2312" w:cs="仿宋_GB2312"/>
          <w:sz w:val="32"/>
          <w:szCs w:val="32"/>
        </w:rPr>
        <w:t>预算数。</w:t>
      </w:r>
    </w:p>
    <w:p w14:paraId="6184E095">
      <w:pPr>
        <w:spacing w:line="600" w:lineRule="exact"/>
        <w:ind w:firstLine="643" w:firstLineChars="200"/>
        <w:outlineLvl w:val="2"/>
        <w:rPr>
          <w:rFonts w:eastAsia="楷体_GB2312" w:cs="楷体_GB2312"/>
          <w:b/>
          <w:sz w:val="32"/>
          <w:szCs w:val="32"/>
        </w:rPr>
      </w:pPr>
      <w:bookmarkStart w:id="37" w:name="_Toc15377217"/>
      <w:r>
        <w:rPr>
          <w:rFonts w:hint="eastAsia" w:eastAsia="楷体_GB2312" w:cs="楷体_GB2312"/>
          <w:b/>
          <w:sz w:val="32"/>
          <w:szCs w:val="32"/>
        </w:rPr>
        <w:t>（二）“三公”经费财政拨款支出决算具体情况说明</w:t>
      </w:r>
      <w:bookmarkEnd w:id="37"/>
    </w:p>
    <w:p w14:paraId="57974F0E">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2024年度“三公”经费财政拨款支出决算中，因公出国（境）费支出决算0万元，占0%；公务用车购置及运行维护费支出决算</w:t>
      </w:r>
      <w:r>
        <w:rPr>
          <w:rFonts w:hint="eastAsia" w:ascii="仿宋_GB2312" w:hAnsi="仿宋_GB2312" w:eastAsia="仿宋_GB2312" w:cs="仿宋_GB2312"/>
          <w:sz w:val="32"/>
          <w:szCs w:val="32"/>
          <w:lang w:val="en-US" w:eastAsia="zh-CN"/>
        </w:rPr>
        <w:t>12.91</w:t>
      </w:r>
      <w:r>
        <w:rPr>
          <w:rFonts w:hint="eastAsia" w:ascii="仿宋_GB2312" w:hAnsi="仿宋_GB2312" w:eastAsia="仿宋_GB2312" w:cs="仿宋_GB2312"/>
          <w:sz w:val="32"/>
          <w:szCs w:val="32"/>
        </w:rPr>
        <w:t>万元，占9</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%。具体情况如下：</w:t>
      </w:r>
    </w:p>
    <w:p w14:paraId="3F494DEF">
      <w:pPr>
        <w:spacing w:line="600" w:lineRule="exact"/>
        <w:ind w:firstLine="640"/>
        <w:rPr>
          <w:rFonts w:eastAsia="仿宋_GB2312" w:cs="仿宋_GB2312"/>
          <w:sz w:val="32"/>
          <w:szCs w:val="32"/>
        </w:rPr>
      </w:pPr>
      <w:r>
        <w:rPr>
          <w:rFonts w:hint="eastAsia" w:eastAsia="仿宋_GB2312" w:cs="仿宋_GB2312"/>
          <w:sz w:val="32"/>
          <w:szCs w:val="32"/>
        </w:rPr>
        <w:t>（图7：“三公”经费财政拨款支出结构）（饼状图）</w:t>
      </w:r>
    </w:p>
    <w:p w14:paraId="6BC97909">
      <w:pPr>
        <w:pStyle w:val="13"/>
      </w:pPr>
    </w:p>
    <w:p w14:paraId="630E6AD1">
      <w:pPr>
        <w:pStyle w:val="7"/>
      </w:pPr>
      <w:r>
        <w:drawing>
          <wp:inline distT="0" distB="0" distL="114300" distR="114300">
            <wp:extent cx="4826000" cy="2743200"/>
            <wp:effectExtent l="4445" t="4445" r="82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4CD5EC">
      <w:pPr>
        <w:spacing w:line="600" w:lineRule="exact"/>
        <w:ind w:firstLine="640"/>
        <w:rPr>
          <w:rFonts w:eastAsia="仿宋_GB2312" w:cs="仿宋_GB2312"/>
          <w:sz w:val="32"/>
          <w:szCs w:val="32"/>
        </w:rPr>
      </w:pPr>
      <w:r>
        <w:rPr>
          <w:rFonts w:hint="eastAsia" w:eastAsia="仿宋_GB2312" w:cs="仿宋_GB2312"/>
          <w:b/>
          <w:bCs/>
          <w:sz w:val="32"/>
          <w:szCs w:val="32"/>
        </w:rPr>
        <w:t>1.因公出国（境）经费支出0万元，完成预算0%。</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。因公出国（境）支出决算与2023年持平。</w:t>
      </w:r>
    </w:p>
    <w:p w14:paraId="57D2F2BB">
      <w:pPr>
        <w:spacing w:line="600" w:lineRule="exact"/>
        <w:ind w:firstLine="64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lang w:val="en-US" w:eastAsia="zh-CN"/>
        </w:rPr>
        <w:t>12.91</w:t>
      </w:r>
      <w:r>
        <w:rPr>
          <w:rFonts w:hint="eastAsia" w:ascii="仿宋_GB2312" w:hAnsi="仿宋_GB2312" w:eastAsia="仿宋_GB2312" w:cs="仿宋_GB2312"/>
          <w:b/>
          <w:bCs/>
          <w:sz w:val="32"/>
          <w:szCs w:val="32"/>
        </w:rPr>
        <w:t>万</w:t>
      </w:r>
      <w:r>
        <w:rPr>
          <w:rFonts w:hint="eastAsia" w:eastAsia="仿宋_GB2312" w:cs="仿宋_GB2312"/>
          <w:b/>
          <w:bCs/>
          <w:sz w:val="32"/>
          <w:szCs w:val="32"/>
        </w:rPr>
        <w:t>元，完成预算</w:t>
      </w:r>
      <w:r>
        <w:rPr>
          <w:rFonts w:hint="eastAsia" w:eastAsia="仿宋_GB2312" w:cs="仿宋_GB2312"/>
          <w:b/>
          <w:bCs/>
          <w:sz w:val="32"/>
          <w:szCs w:val="32"/>
          <w:lang w:val="en-US" w:eastAsia="zh-CN"/>
        </w:rPr>
        <w:t>100</w:t>
      </w:r>
      <w:r>
        <w:rPr>
          <w:rFonts w:hint="eastAsia" w:eastAsia="仿宋_GB2312" w:cs="仿宋_GB2312"/>
          <w:b/>
          <w:bCs/>
          <w:sz w:val="32"/>
          <w:szCs w:val="32"/>
        </w:rPr>
        <w:t>%。</w:t>
      </w:r>
      <w:r>
        <w:rPr>
          <w:rFonts w:hint="eastAsia" w:eastAsia="仿宋_GB2312" w:cs="仿宋_GB2312"/>
          <w:sz w:val="32"/>
          <w:szCs w:val="32"/>
        </w:rPr>
        <w:t>公务用车购置及运行维护费支出决算比2023年度</w:t>
      </w:r>
      <w:r>
        <w:rPr>
          <w:rFonts w:hint="eastAsia" w:eastAsia="仿宋_GB2312" w:cs="仿宋_GB2312"/>
          <w:sz w:val="32"/>
          <w:szCs w:val="32"/>
          <w:lang w:val="en-US" w:eastAsia="zh-CN"/>
        </w:rPr>
        <w:t>减少0.5</w:t>
      </w:r>
      <w:r>
        <w:rPr>
          <w:rFonts w:hint="eastAsia" w:eastAsia="仿宋_GB2312" w:cs="仿宋_GB2312"/>
          <w:sz w:val="32"/>
          <w:szCs w:val="32"/>
        </w:rPr>
        <w:t>万元，</w:t>
      </w:r>
      <w:r>
        <w:rPr>
          <w:rFonts w:hint="eastAsia" w:eastAsia="仿宋_GB2312" w:cs="仿宋_GB2312"/>
          <w:sz w:val="32"/>
          <w:szCs w:val="32"/>
          <w:lang w:val="en-US" w:eastAsia="zh-CN"/>
        </w:rPr>
        <w:t>下降3.7</w:t>
      </w:r>
      <w:r>
        <w:rPr>
          <w:rFonts w:hint="eastAsia" w:eastAsia="仿宋_GB2312" w:cs="仿宋_GB2312"/>
          <w:sz w:val="32"/>
          <w:szCs w:val="32"/>
        </w:rPr>
        <w:t>%。主要原因是</w:t>
      </w:r>
      <w:r>
        <w:rPr>
          <w:rFonts w:hint="eastAsia" w:eastAsia="仿宋_GB2312" w:cs="仿宋_GB2312"/>
          <w:sz w:val="32"/>
          <w:szCs w:val="32"/>
          <w:lang w:val="en-US" w:eastAsia="zh-CN"/>
        </w:rPr>
        <w:t>节约支出，相关维修费减少</w:t>
      </w:r>
      <w:r>
        <w:rPr>
          <w:rFonts w:hint="eastAsia" w:eastAsia="仿宋_GB2312" w:cs="仿宋_GB2312"/>
          <w:sz w:val="32"/>
          <w:szCs w:val="32"/>
        </w:rPr>
        <w:t>。</w:t>
      </w:r>
    </w:p>
    <w:p w14:paraId="7D87C8A0">
      <w:pPr>
        <w:spacing w:line="560" w:lineRule="exact"/>
        <w:ind w:firstLine="640" w:firstLineChars="200"/>
        <w:rPr>
          <w:rFonts w:hint="default"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万元。全年按规定更新购置公务用车0辆，其中：轿车0辆、金额0万元，越野车0辆、金额0万元，载客汽车0辆、金额0万元。截至2024年12月31日，单位共有公务用车10辆，其中：</w:t>
      </w:r>
      <w:r>
        <w:rPr>
          <w:rFonts w:hint="default" w:eastAsia="仿宋_GB2312" w:cs="仿宋_GB2312"/>
          <w:sz w:val="32"/>
          <w:szCs w:val="32"/>
        </w:rPr>
        <w:t>截至202</w:t>
      </w:r>
      <w:r>
        <w:rPr>
          <w:rFonts w:hint="default" w:eastAsia="仿宋_GB2312" w:cs="仿宋_GB2312"/>
          <w:sz w:val="32"/>
          <w:szCs w:val="32"/>
          <w:lang w:val="en-US" w:eastAsia="zh-CN"/>
        </w:rPr>
        <w:t>3</w:t>
      </w:r>
      <w:r>
        <w:rPr>
          <w:rFonts w:hint="default" w:eastAsia="仿宋_GB2312" w:cs="仿宋_GB2312"/>
          <w:sz w:val="32"/>
          <w:szCs w:val="32"/>
        </w:rPr>
        <w:t>年12月底，单位共有公务用车10辆，其中：轿车7辆、越野车3辆。</w:t>
      </w:r>
    </w:p>
    <w:p w14:paraId="5055021A">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val="en-US" w:eastAsia="zh-CN"/>
        </w:rPr>
        <w:t>12.91</w:t>
      </w:r>
      <w:r>
        <w:rPr>
          <w:rFonts w:hint="eastAsia" w:eastAsia="仿宋_GB2312" w:cs="仿宋_GB2312"/>
          <w:sz w:val="32"/>
          <w:szCs w:val="32"/>
        </w:rPr>
        <w:t>万元。主要用于审判办案所需的公务用车燃料费、维修费、过路过桥费、保险费等支出。</w:t>
      </w:r>
    </w:p>
    <w:p w14:paraId="7AAEF227">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lang w:val="en-US" w:eastAsia="zh-CN"/>
        </w:rPr>
        <w:t>0.58</w:t>
      </w:r>
      <w:r>
        <w:rPr>
          <w:rFonts w:hint="eastAsia" w:ascii="仿宋_GB2312" w:hAnsi="仿宋_GB2312" w:eastAsia="仿宋_GB2312" w:cs="仿宋_GB2312"/>
          <w:b/>
          <w:bCs/>
          <w:sz w:val="32"/>
          <w:szCs w:val="32"/>
        </w:rPr>
        <w:t>万</w:t>
      </w:r>
      <w:r>
        <w:rPr>
          <w:rFonts w:hint="eastAsia" w:eastAsia="仿宋_GB2312" w:cs="仿宋_GB2312"/>
          <w:b/>
          <w:bCs/>
          <w:sz w:val="32"/>
          <w:szCs w:val="32"/>
        </w:rPr>
        <w:t>元，完成预算</w:t>
      </w:r>
      <w:r>
        <w:rPr>
          <w:rFonts w:hint="eastAsia" w:eastAsia="仿宋_GB2312" w:cs="仿宋_GB2312"/>
          <w:b/>
          <w:bCs/>
          <w:sz w:val="32"/>
          <w:szCs w:val="32"/>
          <w:lang w:val="en-US" w:eastAsia="zh-CN"/>
        </w:rPr>
        <w:t>100</w:t>
      </w:r>
      <w:r>
        <w:rPr>
          <w:rFonts w:hint="eastAsia" w:eastAsia="仿宋_GB2312" w:cs="仿宋_GB2312"/>
          <w:b/>
          <w:bCs/>
          <w:sz w:val="32"/>
          <w:szCs w:val="32"/>
        </w:rPr>
        <w:t>%。</w:t>
      </w:r>
      <w:r>
        <w:rPr>
          <w:rFonts w:hint="eastAsia" w:eastAsia="仿宋_GB2312" w:cs="仿宋_GB2312"/>
          <w:sz w:val="32"/>
          <w:szCs w:val="32"/>
        </w:rPr>
        <w:t>公务接待费支出决算比2023年度减少</w:t>
      </w:r>
      <w:r>
        <w:rPr>
          <w:rFonts w:hint="eastAsia" w:eastAsia="仿宋_GB2312" w:cs="仿宋_GB2312"/>
          <w:sz w:val="32"/>
          <w:szCs w:val="32"/>
          <w:lang w:val="en-US" w:eastAsia="zh-CN"/>
        </w:rPr>
        <w:t>0.02</w:t>
      </w:r>
      <w:r>
        <w:rPr>
          <w:rFonts w:hint="eastAsia" w:eastAsia="仿宋_GB2312" w:cs="仿宋_GB2312"/>
          <w:sz w:val="32"/>
          <w:szCs w:val="32"/>
        </w:rPr>
        <w:t>万元，下降</w:t>
      </w:r>
      <w:r>
        <w:rPr>
          <w:rFonts w:hint="eastAsia" w:eastAsia="仿宋_GB2312" w:cs="仿宋_GB2312"/>
          <w:sz w:val="32"/>
          <w:szCs w:val="32"/>
          <w:lang w:val="en-US" w:eastAsia="zh-CN"/>
        </w:rPr>
        <w:t>3.33</w:t>
      </w:r>
      <w:r>
        <w:rPr>
          <w:rFonts w:hint="eastAsia" w:eastAsia="仿宋_GB2312" w:cs="仿宋_GB2312"/>
          <w:sz w:val="32"/>
          <w:szCs w:val="32"/>
        </w:rPr>
        <w:t>%。主要原因是</w:t>
      </w:r>
      <w:r>
        <w:rPr>
          <w:rFonts w:hint="eastAsia" w:eastAsia="仿宋_GB2312" w:cs="仿宋_GB2312"/>
          <w:sz w:val="32"/>
          <w:szCs w:val="32"/>
          <w:lang w:val="en-US" w:eastAsia="zh-CN"/>
        </w:rPr>
        <w:t>控制</w:t>
      </w:r>
      <w:r>
        <w:rPr>
          <w:rFonts w:hint="eastAsia" w:eastAsia="仿宋_GB2312" w:cs="仿宋_GB2312"/>
          <w:sz w:val="32"/>
          <w:szCs w:val="32"/>
        </w:rPr>
        <w:t>2024年接待</w:t>
      </w:r>
      <w:r>
        <w:rPr>
          <w:rFonts w:hint="eastAsia" w:eastAsia="仿宋_GB2312" w:cs="仿宋_GB2312"/>
          <w:sz w:val="32"/>
          <w:szCs w:val="32"/>
          <w:lang w:val="en-US" w:eastAsia="zh-CN"/>
        </w:rPr>
        <w:t>费</w:t>
      </w:r>
      <w:r>
        <w:rPr>
          <w:rFonts w:hint="eastAsia" w:eastAsia="仿宋_GB2312" w:cs="仿宋_GB2312"/>
          <w:sz w:val="32"/>
          <w:szCs w:val="32"/>
        </w:rPr>
        <w:t>。其中：</w:t>
      </w:r>
    </w:p>
    <w:p w14:paraId="262562DE">
      <w:pPr>
        <w:spacing w:line="600" w:lineRule="exact"/>
        <w:ind w:firstLine="640"/>
        <w:rPr>
          <w:rFonts w:eastAsia="仿宋_GB2312" w:cs="仿宋_GB2312"/>
          <w:sz w:val="32"/>
          <w:szCs w:val="32"/>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val="en-US" w:eastAsia="zh-CN"/>
        </w:rPr>
        <w:t>0.58</w:t>
      </w:r>
      <w:r>
        <w:rPr>
          <w:rFonts w:hint="eastAsia" w:ascii="仿宋_GB2312" w:hAnsi="仿宋_GB2312" w:eastAsia="仿宋_GB2312" w:cs="仿宋_GB2312"/>
          <w:sz w:val="32"/>
          <w:szCs w:val="32"/>
        </w:rPr>
        <w:t>万</w:t>
      </w:r>
      <w:r>
        <w:rPr>
          <w:rFonts w:hint="eastAsia" w:eastAsia="仿宋_GB2312" w:cs="仿宋_GB2312"/>
          <w:sz w:val="32"/>
          <w:szCs w:val="32"/>
        </w:rPr>
        <w:t>元，主要用于执行公务</w:t>
      </w:r>
      <w:r>
        <w:rPr>
          <w:rFonts w:hint="eastAsia" w:eastAsia="仿宋_GB2312" w:cs="仿宋_GB2312"/>
          <w:sz w:val="32"/>
          <w:szCs w:val="32"/>
          <w:lang w:val="en-US" w:eastAsia="zh-CN"/>
        </w:rPr>
        <w:t>接待</w:t>
      </w:r>
      <w:r>
        <w:rPr>
          <w:rFonts w:hint="eastAsia" w:eastAsia="仿宋_GB2312" w:cs="仿宋_GB2312"/>
          <w:sz w:val="32"/>
          <w:szCs w:val="32"/>
        </w:rPr>
        <w:t>。国内公务接</w:t>
      </w:r>
      <w:r>
        <w:rPr>
          <w:rFonts w:hint="eastAsia" w:ascii="仿宋_GB2312" w:hAnsi="仿宋_GB2312" w:eastAsia="仿宋_GB2312" w:cs="仿宋_GB2312"/>
          <w:sz w:val="32"/>
          <w:szCs w:val="32"/>
        </w:rPr>
        <w:t>待</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44</w:t>
      </w:r>
      <w:r>
        <w:rPr>
          <w:rFonts w:hint="eastAsia" w:eastAsia="仿宋_GB2312" w:cs="仿宋_GB2312"/>
          <w:sz w:val="32"/>
          <w:szCs w:val="32"/>
        </w:rPr>
        <w:t>人次（不包括陪同人员），共计支出</w:t>
      </w:r>
      <w:r>
        <w:rPr>
          <w:rFonts w:hint="eastAsia" w:eastAsia="仿宋_GB2312" w:cs="仿宋_GB2312"/>
          <w:sz w:val="32"/>
          <w:szCs w:val="32"/>
          <w:lang w:val="en-US" w:eastAsia="zh-CN"/>
        </w:rPr>
        <w:t>0.58</w:t>
      </w:r>
      <w:r>
        <w:rPr>
          <w:rFonts w:hint="eastAsia" w:eastAsia="仿宋_GB2312" w:cs="仿宋_GB2312"/>
          <w:sz w:val="32"/>
          <w:szCs w:val="32"/>
        </w:rPr>
        <w:t>万元，具体内容包括</w:t>
      </w:r>
      <w:r>
        <w:rPr>
          <w:rFonts w:hint="eastAsia" w:eastAsia="仿宋_GB2312" w:cs="仿宋_GB2312"/>
          <w:sz w:val="32"/>
          <w:szCs w:val="32"/>
          <w:lang w:eastAsia="zh-CN"/>
        </w:rPr>
        <w:t>：</w:t>
      </w:r>
      <w:r>
        <w:rPr>
          <w:rFonts w:hint="eastAsia" w:eastAsia="仿宋_GB2312" w:cs="仿宋_GB2312"/>
          <w:sz w:val="32"/>
          <w:szCs w:val="32"/>
          <w:lang w:val="en-US" w:eastAsia="zh-CN"/>
        </w:rPr>
        <w:t>:接待云南华坪、永仁交流学习1200元；接待德昌县司法局考察调研486元；接待省高院调研归档方式改革687元；接待全市法院民事审判工作接待2048元；接待省高元调研慰问干警947元；接待米易法院调研学习460元。</w:t>
      </w:r>
      <w:r>
        <w:rPr>
          <w:rFonts w:hint="eastAsia" w:eastAsia="仿宋_GB2312" w:cs="仿宋_GB2312"/>
          <w:sz w:val="32"/>
          <w:szCs w:val="32"/>
        </w:rPr>
        <w:t>外事接待支</w:t>
      </w:r>
      <w:r>
        <w:rPr>
          <w:rFonts w:hint="eastAsia" w:ascii="仿宋_GB2312" w:hAnsi="仿宋_GB2312" w:eastAsia="仿宋_GB2312" w:cs="仿宋_GB2312"/>
          <w:sz w:val="32"/>
          <w:szCs w:val="32"/>
        </w:rPr>
        <w:t>出0万元。外事接待0批次，0人次（不包括陪同人员），共计支出0万</w:t>
      </w:r>
      <w:r>
        <w:rPr>
          <w:rFonts w:hint="eastAsia" w:eastAsia="仿宋_GB2312" w:cs="仿宋_GB2312"/>
          <w:sz w:val="32"/>
          <w:szCs w:val="32"/>
        </w:rPr>
        <w:t>元。</w:t>
      </w:r>
    </w:p>
    <w:p w14:paraId="61F73D4F">
      <w:pPr>
        <w:spacing w:line="600" w:lineRule="exact"/>
        <w:ind w:firstLine="640"/>
        <w:rPr>
          <w:rFonts w:eastAsia="仿宋_GB2312" w:cs="仿宋_GB2312"/>
          <w:sz w:val="32"/>
          <w:szCs w:val="32"/>
        </w:rPr>
      </w:pPr>
      <w:bookmarkStart w:id="38" w:name="_Toc15396610"/>
      <w:bookmarkStart w:id="39" w:name="_Toc15377218"/>
    </w:p>
    <w:p w14:paraId="6CB2C876">
      <w:pPr>
        <w:spacing w:line="600" w:lineRule="exact"/>
        <w:ind w:firstLine="640"/>
        <w:outlineLvl w:val="1"/>
        <w:rPr>
          <w:rStyle w:val="29"/>
          <w:rFonts w:ascii="Times New Roman" w:hAnsi="Times New Roman" w:eastAsia="黑体"/>
        </w:rPr>
      </w:pPr>
      <w:r>
        <w:rPr>
          <w:rFonts w:hint="eastAsia" w:eastAsia="黑体"/>
          <w:sz w:val="32"/>
          <w:szCs w:val="32"/>
        </w:rPr>
        <w:t>八、</w:t>
      </w:r>
      <w:r>
        <w:rPr>
          <w:rStyle w:val="29"/>
          <w:rFonts w:hint="eastAsia" w:ascii="Times New Roman" w:hAnsi="Times New Roman" w:eastAsia="黑体"/>
          <w:b w:val="0"/>
        </w:rPr>
        <w:t>政府性基金预算支出决算情况说明</w:t>
      </w:r>
      <w:bookmarkEnd w:id="38"/>
      <w:bookmarkEnd w:id="39"/>
    </w:p>
    <w:p w14:paraId="27CF520C">
      <w:pPr>
        <w:spacing w:line="600" w:lineRule="exact"/>
        <w:ind w:firstLine="640"/>
        <w:rPr>
          <w:rFonts w:eastAsia="仿宋_GB2312" w:cs="仿宋_GB2312"/>
          <w:b/>
          <w:bCs/>
          <w:sz w:val="32"/>
          <w:szCs w:val="32"/>
        </w:rPr>
      </w:pPr>
      <w:r>
        <w:rPr>
          <w:rFonts w:hint="eastAsia" w:ascii="仿宋_GB2312" w:hAnsi="仿宋_GB2312" w:eastAsia="仿宋_GB2312" w:cs="仿宋_GB2312"/>
          <w:sz w:val="32"/>
          <w:szCs w:val="32"/>
        </w:rPr>
        <w:t>2024年度政府性基金预算财政拨款支出0万元。</w:t>
      </w:r>
    </w:p>
    <w:p w14:paraId="57C33C1A">
      <w:pPr>
        <w:spacing w:line="600" w:lineRule="exact"/>
        <w:ind w:firstLine="640"/>
        <w:rPr>
          <w:rFonts w:eastAsia="仿宋_GB2312" w:cs="仿宋_GB2312"/>
          <w:sz w:val="32"/>
          <w:szCs w:val="32"/>
        </w:rPr>
      </w:pPr>
    </w:p>
    <w:p w14:paraId="3286E5EF">
      <w:pPr>
        <w:spacing w:line="600" w:lineRule="exact"/>
        <w:ind w:left="630"/>
        <w:outlineLvl w:val="1"/>
        <w:rPr>
          <w:rStyle w:val="29"/>
          <w:rFonts w:ascii="Times New Roman" w:hAnsi="Times New Roman" w:eastAsia="黑体"/>
          <w:b w:val="0"/>
        </w:rPr>
      </w:pPr>
      <w:bookmarkStart w:id="40" w:name="_Toc15396611"/>
      <w:bookmarkStart w:id="41" w:name="_Toc15377219"/>
      <w:r>
        <w:rPr>
          <w:rStyle w:val="29"/>
          <w:rFonts w:hint="eastAsia" w:ascii="Times New Roman" w:hAnsi="Times New Roman" w:eastAsia="黑体"/>
          <w:b w:val="0"/>
        </w:rPr>
        <w:t>九、国有资本经营预算支出决算情况说明</w:t>
      </w:r>
      <w:bookmarkEnd w:id="40"/>
      <w:bookmarkEnd w:id="41"/>
    </w:p>
    <w:p w14:paraId="334ED53A">
      <w:pPr>
        <w:spacing w:line="600" w:lineRule="exact"/>
        <w:ind w:firstLine="640"/>
        <w:rPr>
          <w:rFonts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w:t>
      </w:r>
    </w:p>
    <w:p w14:paraId="75D4501C">
      <w:pPr>
        <w:spacing w:line="600" w:lineRule="exact"/>
        <w:ind w:firstLine="640"/>
        <w:rPr>
          <w:rFonts w:eastAsia="仿宋_GB2312" w:cs="仿宋_GB2312"/>
          <w:sz w:val="32"/>
          <w:szCs w:val="32"/>
        </w:rPr>
      </w:pPr>
    </w:p>
    <w:p w14:paraId="06C0D781">
      <w:pPr>
        <w:spacing w:line="600" w:lineRule="exact"/>
        <w:ind w:left="630"/>
        <w:outlineLvl w:val="1"/>
        <w:rPr>
          <w:rStyle w:val="29"/>
          <w:rFonts w:ascii="Times New Roman" w:hAnsi="Times New Roman" w:eastAsia="黑体"/>
          <w:b w:val="0"/>
        </w:rPr>
      </w:pPr>
      <w:bookmarkStart w:id="42" w:name="_Toc15377221"/>
      <w:bookmarkStart w:id="43" w:name="_Toc15396612"/>
      <w:r>
        <w:rPr>
          <w:rStyle w:val="29"/>
          <w:rFonts w:hint="eastAsia" w:ascii="Times New Roman" w:hAnsi="Times New Roman" w:eastAsia="黑体"/>
          <w:b w:val="0"/>
        </w:rPr>
        <w:t>十、其他重要事项的情况说明</w:t>
      </w:r>
      <w:bookmarkEnd w:id="42"/>
      <w:bookmarkEnd w:id="43"/>
    </w:p>
    <w:p w14:paraId="05430372">
      <w:pPr>
        <w:spacing w:line="600" w:lineRule="exact"/>
        <w:ind w:firstLine="643" w:firstLineChars="200"/>
        <w:outlineLvl w:val="2"/>
        <w:rPr>
          <w:rFonts w:eastAsia="楷体_GB2312" w:cs="楷体_GB2312"/>
          <w:b/>
          <w:sz w:val="32"/>
          <w:szCs w:val="32"/>
        </w:rPr>
      </w:pPr>
      <w:bookmarkStart w:id="44" w:name="_Toc15377222"/>
      <w:r>
        <w:rPr>
          <w:rFonts w:hint="eastAsia" w:eastAsia="楷体_GB2312" w:cs="楷体_GB2312"/>
          <w:b/>
          <w:sz w:val="32"/>
          <w:szCs w:val="32"/>
        </w:rPr>
        <w:t>（一）机关运行经费支出情况</w:t>
      </w:r>
      <w:bookmarkEnd w:id="44"/>
    </w:p>
    <w:p w14:paraId="6C791334">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，四川省攀枝花市</w:t>
      </w:r>
      <w:r>
        <w:rPr>
          <w:rFonts w:hint="eastAsia" w:ascii="仿宋_GB2312" w:hAnsi="仿宋_GB2312" w:eastAsia="仿宋_GB2312" w:cs="仿宋_GB2312"/>
          <w:sz w:val="32"/>
          <w:szCs w:val="32"/>
          <w:lang w:val="en-US" w:eastAsia="zh-CN"/>
        </w:rPr>
        <w:t>西区</w:t>
      </w:r>
      <w:r>
        <w:rPr>
          <w:rFonts w:hint="eastAsia" w:ascii="仿宋_GB2312" w:hAnsi="仿宋_GB2312" w:eastAsia="仿宋_GB2312" w:cs="仿宋_GB2312"/>
          <w:sz w:val="32"/>
          <w:szCs w:val="32"/>
        </w:rPr>
        <w:t>人民法院机关运行经费支出</w:t>
      </w:r>
      <w:r>
        <w:rPr>
          <w:rFonts w:hint="eastAsia" w:ascii="仿宋_GB2312" w:hAnsi="仿宋_GB2312" w:eastAsia="仿宋_GB2312" w:cs="仿宋_GB2312"/>
          <w:sz w:val="32"/>
          <w:szCs w:val="32"/>
          <w:lang w:val="en-US" w:eastAsia="zh-CN"/>
        </w:rPr>
        <w:t>140.17</w:t>
      </w:r>
      <w:r>
        <w:rPr>
          <w:rFonts w:hint="eastAsia" w:ascii="仿宋_GB2312" w:hAnsi="仿宋_GB2312" w:eastAsia="仿宋_GB2312" w:cs="仿宋_GB2312"/>
          <w:sz w:val="32"/>
          <w:szCs w:val="32"/>
        </w:rPr>
        <w:t>万</w:t>
      </w:r>
      <w:r>
        <w:rPr>
          <w:rFonts w:hint="eastAsia" w:eastAsia="仿宋_GB2312" w:cs="仿宋_GB2312"/>
          <w:sz w:val="32"/>
          <w:szCs w:val="32"/>
        </w:rPr>
        <w:t>元，比2023年度</w:t>
      </w:r>
      <w:r>
        <w:rPr>
          <w:rFonts w:hint="eastAsia" w:eastAsia="仿宋_GB2312" w:cs="仿宋_GB2312"/>
          <w:sz w:val="32"/>
          <w:szCs w:val="32"/>
          <w:lang w:val="en-US" w:eastAsia="zh-CN"/>
        </w:rPr>
        <w:t>减少2.48</w:t>
      </w:r>
      <w:r>
        <w:rPr>
          <w:rFonts w:hint="eastAsia" w:eastAsia="仿宋_GB2312" w:cs="仿宋_GB2312"/>
          <w:sz w:val="32"/>
          <w:szCs w:val="32"/>
        </w:rPr>
        <w:t>万元，</w:t>
      </w:r>
      <w:r>
        <w:rPr>
          <w:rFonts w:hint="eastAsia" w:eastAsia="仿宋_GB2312" w:cs="仿宋_GB2312"/>
          <w:sz w:val="32"/>
          <w:szCs w:val="32"/>
          <w:lang w:val="en-US" w:eastAsia="zh-CN"/>
        </w:rPr>
        <w:t>下降1.74</w:t>
      </w:r>
      <w:r>
        <w:rPr>
          <w:rFonts w:hint="eastAsia" w:eastAsia="仿宋_GB2312" w:cs="仿宋_GB2312"/>
          <w:sz w:val="32"/>
          <w:szCs w:val="32"/>
        </w:rPr>
        <w:t>%。主要原因是</w:t>
      </w:r>
      <w:r>
        <w:rPr>
          <w:rFonts w:hint="eastAsia" w:eastAsia="仿宋_GB2312" w:cs="仿宋_GB2312"/>
          <w:sz w:val="32"/>
          <w:szCs w:val="32"/>
          <w:lang w:val="en-US" w:eastAsia="zh-CN"/>
        </w:rPr>
        <w:t>节约支出</w:t>
      </w:r>
      <w:r>
        <w:rPr>
          <w:rFonts w:hint="eastAsia" w:eastAsia="仿宋_GB2312" w:cs="仿宋_GB2312"/>
          <w:sz w:val="32"/>
          <w:szCs w:val="32"/>
        </w:rPr>
        <w:t>。</w:t>
      </w:r>
    </w:p>
    <w:p w14:paraId="52CDD7B3">
      <w:pPr>
        <w:spacing w:line="600" w:lineRule="exact"/>
        <w:ind w:firstLine="640"/>
        <w:rPr>
          <w:rFonts w:eastAsia="仿宋_GB2312" w:cs="仿宋_GB2312"/>
          <w:sz w:val="32"/>
          <w:szCs w:val="32"/>
        </w:rPr>
      </w:pPr>
    </w:p>
    <w:p w14:paraId="23100D9F">
      <w:pPr>
        <w:spacing w:line="600" w:lineRule="exact"/>
        <w:ind w:firstLine="643" w:firstLineChars="200"/>
        <w:outlineLvl w:val="2"/>
        <w:rPr>
          <w:rFonts w:eastAsia="楷体_GB2312" w:cs="楷体_GB2312"/>
          <w:b/>
          <w:sz w:val="32"/>
          <w:szCs w:val="32"/>
        </w:rPr>
      </w:pPr>
      <w:bookmarkStart w:id="45" w:name="_Toc15377223"/>
      <w:r>
        <w:rPr>
          <w:rFonts w:hint="eastAsia" w:eastAsia="楷体_GB2312" w:cs="楷体_GB2312"/>
          <w:b/>
          <w:sz w:val="32"/>
          <w:szCs w:val="32"/>
        </w:rPr>
        <w:t>（二）政府采购支出情况</w:t>
      </w:r>
      <w:bookmarkEnd w:id="45"/>
    </w:p>
    <w:p w14:paraId="665E489C">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2024年度，四川省攀枝花市仁和区人民法院政府采购支出总额</w:t>
      </w:r>
      <w:r>
        <w:rPr>
          <w:rFonts w:hint="eastAsia" w:ascii="仿宋_GB2312" w:hAnsi="仿宋_GB2312" w:eastAsia="仿宋_GB2312" w:cs="仿宋_GB2312"/>
          <w:sz w:val="32"/>
          <w:szCs w:val="32"/>
          <w:lang w:val="en-US" w:eastAsia="zh-CN"/>
        </w:rPr>
        <w:t>97.4</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万元、政府采购工程支出0万元、政府采购服务支出</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万元。主要用于行政审判工作。授予中小企业合同金额</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99.59</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95.48</w:t>
      </w:r>
      <w:r>
        <w:rPr>
          <w:rFonts w:hint="eastAsia" w:ascii="仿宋_GB2312" w:hAnsi="仿宋_GB2312" w:eastAsia="仿宋_GB2312" w:cs="仿宋_GB2312"/>
          <w:sz w:val="32"/>
          <w:szCs w:val="32"/>
        </w:rPr>
        <w:t>%。</w:t>
      </w:r>
    </w:p>
    <w:p w14:paraId="41C903EF">
      <w:pPr>
        <w:spacing w:line="600" w:lineRule="exact"/>
        <w:ind w:firstLine="640"/>
        <w:rPr>
          <w:rFonts w:eastAsia="仿宋_GB2312" w:cs="仿宋_GB2312"/>
          <w:sz w:val="32"/>
          <w:szCs w:val="32"/>
        </w:rPr>
      </w:pPr>
    </w:p>
    <w:p w14:paraId="24B63EDE">
      <w:pPr>
        <w:spacing w:line="600" w:lineRule="exact"/>
        <w:ind w:firstLine="643" w:firstLineChars="200"/>
        <w:outlineLvl w:val="2"/>
        <w:rPr>
          <w:rFonts w:eastAsia="楷体_GB2312" w:cs="楷体_GB2312"/>
          <w:b/>
          <w:sz w:val="32"/>
          <w:szCs w:val="32"/>
        </w:rPr>
      </w:pPr>
      <w:bookmarkStart w:id="46" w:name="_Toc15377224"/>
      <w:r>
        <w:rPr>
          <w:rFonts w:hint="eastAsia" w:eastAsia="楷体_GB2312" w:cs="楷体_GB2312"/>
          <w:b/>
          <w:sz w:val="32"/>
          <w:szCs w:val="32"/>
        </w:rPr>
        <w:t>（三）国有资产占有使用情况</w:t>
      </w:r>
      <w:bookmarkEnd w:id="46"/>
    </w:p>
    <w:p w14:paraId="70D8B69F">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截至2024年12月31日，四川省攀枝花市</w:t>
      </w:r>
      <w:r>
        <w:rPr>
          <w:rFonts w:hint="eastAsia" w:ascii="仿宋_GB2312" w:hAnsi="仿宋_GB2312" w:eastAsia="仿宋_GB2312" w:cs="仿宋_GB2312"/>
          <w:sz w:val="32"/>
          <w:szCs w:val="32"/>
          <w:lang w:val="en-US" w:eastAsia="zh-CN"/>
        </w:rPr>
        <w:t>西</w:t>
      </w:r>
      <w:r>
        <w:rPr>
          <w:rFonts w:hint="eastAsia" w:ascii="仿宋_GB2312" w:hAnsi="仿宋_GB2312" w:eastAsia="仿宋_GB2312" w:cs="仿宋_GB2312"/>
          <w:sz w:val="32"/>
          <w:szCs w:val="32"/>
        </w:rPr>
        <w:t>区人民法院共有车辆10辆，其中：主要负责人用车0辆、机要通信用车0辆、应急保障用车0辆、其他用车10辆，其他用车主要是用于日常工作。单价100万元（含）以上设备（不含车辆）0台（套）</w:t>
      </w:r>
      <w:r>
        <w:rPr>
          <w:rFonts w:hint="eastAsia" w:eastAsia="仿宋_GB2312" w:cs="仿宋_GB2312"/>
          <w:sz w:val="32"/>
          <w:szCs w:val="32"/>
        </w:rPr>
        <w:t>。</w:t>
      </w:r>
    </w:p>
    <w:p w14:paraId="26ABDAE5">
      <w:pPr>
        <w:spacing w:line="600" w:lineRule="exact"/>
        <w:ind w:firstLine="640"/>
        <w:rPr>
          <w:rFonts w:eastAsia="仿宋_GB2312" w:cs="仿宋_GB2312"/>
          <w:sz w:val="32"/>
          <w:szCs w:val="32"/>
        </w:rPr>
      </w:pPr>
    </w:p>
    <w:p w14:paraId="76FD12F4">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14:paraId="6931A186">
      <w:pPr>
        <w:spacing w:line="600" w:lineRule="exact"/>
        <w:ind w:firstLine="640"/>
        <w:rPr>
          <w:rFonts w:eastAsia="仿宋_GB2312" w:cs="仿宋_GB2312"/>
          <w:sz w:val="32"/>
          <w:szCs w:val="32"/>
        </w:rPr>
      </w:pPr>
      <w:r>
        <w:rPr>
          <w:rFonts w:hint="eastAsia" w:eastAsia="仿宋_GB2312" w:cs="仿宋_GB2312"/>
          <w:sz w:val="32"/>
          <w:szCs w:val="32"/>
        </w:rPr>
        <w:t>根据预算绩效管理要求，本单位在2024年度预算编制阶段，组织对人民陪审员、司法救助</w:t>
      </w:r>
      <w:r>
        <w:rPr>
          <w:rFonts w:hint="eastAsia" w:eastAsia="仿宋_GB2312" w:cs="仿宋_GB2312"/>
          <w:sz w:val="32"/>
          <w:szCs w:val="32"/>
          <w:lang w:eastAsia="zh-CN"/>
        </w:rPr>
        <w:t>、</w:t>
      </w:r>
      <w:r>
        <w:rPr>
          <w:rFonts w:hint="eastAsia" w:eastAsia="仿宋_GB2312" w:cs="仿宋_GB2312"/>
          <w:sz w:val="32"/>
          <w:szCs w:val="32"/>
          <w:lang w:val="en-US" w:eastAsia="zh-CN"/>
        </w:rPr>
        <w:t>办案业务费3</w:t>
      </w:r>
      <w:r>
        <w:rPr>
          <w:rFonts w:hint="eastAsia" w:eastAsia="仿宋_GB2312" w:cs="仿宋_GB2312"/>
          <w:sz w:val="32"/>
          <w:szCs w:val="32"/>
        </w:rPr>
        <w:t>个项目开展了预算事前绩效评估，对</w:t>
      </w:r>
      <w:r>
        <w:rPr>
          <w:rFonts w:hint="eastAsia" w:eastAsia="仿宋_GB2312" w:cs="仿宋_GB2312"/>
          <w:sz w:val="32"/>
          <w:szCs w:val="32"/>
          <w:lang w:val="en-US" w:eastAsia="zh-CN"/>
        </w:rPr>
        <w:t>3</w:t>
      </w:r>
      <w:r>
        <w:rPr>
          <w:rFonts w:hint="eastAsia" w:eastAsia="仿宋_GB2312" w:cs="仿宋_GB2312"/>
          <w:sz w:val="32"/>
          <w:szCs w:val="32"/>
        </w:rPr>
        <w:t>个项目编制了绩效目标，预算执行过程中，选取</w:t>
      </w:r>
      <w:r>
        <w:rPr>
          <w:rFonts w:hint="eastAsia" w:eastAsia="仿宋_GB2312" w:cs="仿宋_GB2312"/>
          <w:sz w:val="32"/>
          <w:szCs w:val="32"/>
          <w:lang w:val="en-US" w:eastAsia="zh-CN"/>
        </w:rPr>
        <w:t>3</w:t>
      </w:r>
      <w:r>
        <w:rPr>
          <w:rFonts w:hint="eastAsia" w:eastAsia="仿宋_GB2312" w:cs="仿宋_GB2312"/>
          <w:sz w:val="32"/>
          <w:szCs w:val="32"/>
        </w:rPr>
        <w:t>个项目开展绩效监控。</w:t>
      </w:r>
    </w:p>
    <w:p w14:paraId="7D5C6CA4">
      <w:pPr>
        <w:pStyle w:val="7"/>
        <w:ind w:left="420"/>
      </w:pPr>
    </w:p>
    <w:p w14:paraId="1EAA38A6">
      <w:pPr>
        <w:spacing w:line="600" w:lineRule="exact"/>
        <w:ind w:firstLine="640"/>
        <w:rPr>
          <w:rFonts w:eastAsia="仿宋_GB2312" w:cs="仿宋_GB2312"/>
          <w:sz w:val="32"/>
          <w:szCs w:val="32"/>
        </w:rPr>
      </w:pPr>
    </w:p>
    <w:p w14:paraId="73655CDE">
      <w:pPr>
        <w:spacing w:line="600" w:lineRule="exact"/>
        <w:ind w:firstLine="2200" w:firstLineChars="500"/>
        <w:jc w:val="both"/>
        <w:outlineLvl w:val="0"/>
        <w:rPr>
          <w:rFonts w:eastAsia="黑体"/>
          <w:sz w:val="44"/>
          <w:szCs w:val="44"/>
        </w:rPr>
      </w:pPr>
      <w:bookmarkStart w:id="47" w:name="_Toc15396613"/>
      <w:bookmarkStart w:id="48" w:name="_Toc15377225"/>
      <w:r>
        <w:rPr>
          <w:rFonts w:hint="eastAsia" w:eastAsia="黑体"/>
          <w:sz w:val="44"/>
          <w:szCs w:val="44"/>
        </w:rPr>
        <w:t>第三部分  名词解释</w:t>
      </w:r>
      <w:bookmarkEnd w:id="47"/>
      <w:bookmarkEnd w:id="48"/>
    </w:p>
    <w:p w14:paraId="0D30E18A">
      <w:pPr>
        <w:spacing w:line="600" w:lineRule="exact"/>
        <w:jc w:val="left"/>
        <w:rPr>
          <w:b/>
          <w:sz w:val="44"/>
          <w:szCs w:val="44"/>
        </w:rPr>
      </w:pPr>
    </w:p>
    <w:p w14:paraId="34CB3795">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bookmarkStart w:id="49" w:name="_Toc15377226"/>
      <w:r>
        <w:rPr>
          <w:rFonts w:ascii="仿宋_GB2312" w:eastAsia="仿宋_GB2312" w:cs="仿宋"/>
          <w:color w:val="000000"/>
          <w:kern w:val="0"/>
          <w:sz w:val="32"/>
          <w:szCs w:val="32"/>
        </w:rPr>
        <w:t>1.</w:t>
      </w:r>
      <w:r>
        <w:rPr>
          <w:rFonts w:hint="eastAsia" w:ascii="仿宋_GB2312" w:eastAsia="仿宋_GB2312" w:cs="仿宋"/>
          <w:color w:val="000000"/>
          <w:kern w:val="0"/>
          <w:sz w:val="32"/>
          <w:szCs w:val="32"/>
        </w:rPr>
        <w:t xml:space="preserve"> 财政拨款收入：指单位从同级财政部门取得的财政预算资金。</w:t>
      </w:r>
    </w:p>
    <w:p w14:paraId="538ACCEE">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2</w:t>
      </w:r>
      <w:r>
        <w:rPr>
          <w:rFonts w:ascii="仿宋_GB2312" w:eastAsia="仿宋_GB2312" w:cs="仿宋"/>
          <w:color w:val="000000"/>
          <w:kern w:val="0"/>
          <w:sz w:val="32"/>
          <w:szCs w:val="32"/>
        </w:rPr>
        <w:t>.</w:t>
      </w:r>
      <w:r>
        <w:rPr>
          <w:rFonts w:hint="eastAsia" w:ascii="仿宋_GB2312" w:eastAsia="仿宋_GB2312" w:cs="仿宋"/>
          <w:color w:val="000000"/>
          <w:kern w:val="0"/>
          <w:sz w:val="32"/>
          <w:szCs w:val="32"/>
        </w:rPr>
        <w:t xml:space="preserve"> 其他收入：指单位取得的除上述收入以外的各项收入。主要是银行存款利息等。</w:t>
      </w:r>
    </w:p>
    <w:p w14:paraId="0F815B3E">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3</w:t>
      </w:r>
      <w:r>
        <w:rPr>
          <w:rFonts w:ascii="仿宋_GB2312" w:eastAsia="仿宋_GB2312" w:cs="仿宋"/>
          <w:color w:val="000000"/>
          <w:kern w:val="0"/>
          <w:sz w:val="32"/>
          <w:szCs w:val="32"/>
        </w:rPr>
        <w:t>.</w:t>
      </w:r>
      <w:r>
        <w:rPr>
          <w:rFonts w:hint="eastAsia" w:ascii="仿宋_GB2312" w:eastAsia="仿宋_GB2312" w:cs="仿宋"/>
          <w:color w:val="000000"/>
          <w:kern w:val="0"/>
          <w:sz w:val="32"/>
          <w:szCs w:val="32"/>
        </w:rPr>
        <w:t xml:space="preserve"> 年初结转和结余：指以前年度尚未完成、结转到本年按有关规定继续使用的资金。</w:t>
      </w:r>
    </w:p>
    <w:p w14:paraId="519B4ABF">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4. 年末结转和结余：指单位按有关规定结转到下年或以后年度继续使用的资金。</w:t>
      </w:r>
    </w:p>
    <w:p w14:paraId="61E533D6">
      <w:pPr>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 xml:space="preserve"> 公共安全204（类）05（款）01（项）：指行政单位的基本支出。</w:t>
      </w:r>
    </w:p>
    <w:p w14:paraId="51258456">
      <w:pPr>
        <w:ind w:firstLine="640" w:firstLineChars="200"/>
        <w:rPr>
          <w:rFonts w:ascii="仿宋_GB2312" w:eastAsia="仿宋_GB2312"/>
          <w:color w:val="000000"/>
          <w:sz w:val="32"/>
          <w:szCs w:val="32"/>
        </w:rPr>
      </w:pPr>
      <w:r>
        <w:rPr>
          <w:rFonts w:hint="eastAsia"/>
          <w:color w:val="000000"/>
          <w:sz w:val="32"/>
          <w:szCs w:val="32"/>
        </w:rPr>
        <w:t xml:space="preserve">6. </w:t>
      </w:r>
      <w:r>
        <w:rPr>
          <w:rFonts w:hint="eastAsia" w:ascii="仿宋_GB2312" w:eastAsia="仿宋_GB2312"/>
          <w:color w:val="000000"/>
          <w:sz w:val="32"/>
          <w:szCs w:val="32"/>
        </w:rPr>
        <w:t>公共安全204（类）05（款）02（项）：指行政单位的项目支出。</w:t>
      </w:r>
    </w:p>
    <w:p w14:paraId="243A9227">
      <w:pPr>
        <w:ind w:firstLine="640" w:firstLineChars="200"/>
        <w:rPr>
          <w:rFonts w:eastAsia="仿宋_GB2312"/>
        </w:rPr>
      </w:pPr>
      <w:r>
        <w:rPr>
          <w:rFonts w:hint="eastAsia"/>
          <w:color w:val="000000"/>
          <w:sz w:val="32"/>
          <w:szCs w:val="32"/>
        </w:rPr>
        <w:t xml:space="preserve">7. </w:t>
      </w:r>
      <w:r>
        <w:rPr>
          <w:rFonts w:hint="eastAsia" w:ascii="仿宋_GB2312" w:eastAsia="仿宋_GB2312"/>
          <w:color w:val="000000"/>
          <w:sz w:val="32"/>
          <w:szCs w:val="32"/>
        </w:rPr>
        <w:t>公共安全204（类）05（款）99（项）：指行政单位的其他项目支出。</w:t>
      </w:r>
    </w:p>
    <w:p w14:paraId="5191CA9C">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 xml:space="preserve"> 社会保障和就业208（类）05（款）01（项）：指实行归口管理的行政单位开支的退休费。</w:t>
      </w:r>
    </w:p>
    <w:p w14:paraId="4CFFBD90">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 xml:space="preserve"> 社会保障和就业208（类）05（款）05（项）：指反映机关事业单位实施养老保险制度由单位缴纳的基本养老保险。</w:t>
      </w:r>
    </w:p>
    <w:p w14:paraId="470C94F5">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10. 社会保障和就业208（类）05（款）06（项）：指反映机关事业单位缴纳的职业年金。</w:t>
      </w:r>
    </w:p>
    <w:p w14:paraId="2406A0E8">
      <w:pPr>
        <w:ind w:firstLine="640" w:firstLineChars="200"/>
        <w:rPr>
          <w:rFonts w:ascii="仿宋_GB2312" w:eastAsia="仿宋_GB2312"/>
          <w:color w:val="000000"/>
          <w:sz w:val="32"/>
          <w:szCs w:val="32"/>
        </w:rPr>
      </w:pPr>
      <w:r>
        <w:rPr>
          <w:rFonts w:hint="eastAsia" w:ascii="仿宋_GB2312" w:eastAsia="仿宋_GB2312"/>
          <w:color w:val="000000"/>
          <w:sz w:val="32"/>
          <w:szCs w:val="32"/>
        </w:rPr>
        <w:t>11. 卫生健康210（类）11（款）01（项）：指财政部门集中安排的行政单位的基本医疗保险缴费经费。</w:t>
      </w:r>
    </w:p>
    <w:p w14:paraId="1920978D">
      <w:pPr>
        <w:numPr>
          <w:ilvl w:val="0"/>
          <w:numId w:val="2"/>
        </w:numPr>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卫生健康210（类）11（款）03（项）：指财政部门集中安排的行政单位的公务员医疗补助缴费。</w:t>
      </w:r>
    </w:p>
    <w:p w14:paraId="448D7AAD">
      <w:pPr>
        <w:pStyle w:val="2"/>
        <w:numPr>
          <w:ilvl w:val="0"/>
          <w:numId w:val="2"/>
        </w:numPr>
        <w:spacing w:before="93"/>
        <w:ind w:firstLine="640" w:firstLineChars="200"/>
        <w:rPr>
          <w:color w:val="000000"/>
          <w:sz w:val="32"/>
          <w:szCs w:val="32"/>
        </w:rPr>
      </w:pPr>
      <w:r>
        <w:rPr>
          <w:rFonts w:hint="eastAsia"/>
          <w:color w:val="000000"/>
          <w:sz w:val="32"/>
          <w:szCs w:val="32"/>
        </w:rPr>
        <w:t>城乡社区212（类）08（款）02（项）：指反映不含计提和划转部分的国有土地使用权出让收入及对应专项债务收入安排的支出。</w:t>
      </w:r>
    </w:p>
    <w:p w14:paraId="5CEDDF3B">
      <w:pPr>
        <w:pStyle w:val="2"/>
        <w:numPr>
          <w:ilvl w:val="0"/>
          <w:numId w:val="2"/>
        </w:numPr>
        <w:spacing w:before="93"/>
        <w:ind w:firstLine="640" w:firstLineChars="200"/>
        <w:rPr>
          <w:color w:val="000000"/>
          <w:sz w:val="32"/>
          <w:szCs w:val="32"/>
        </w:rPr>
      </w:pPr>
      <w:r>
        <w:rPr>
          <w:rFonts w:hint="eastAsia"/>
          <w:color w:val="000000"/>
          <w:sz w:val="32"/>
          <w:szCs w:val="32"/>
        </w:rPr>
        <w:t>住房保障支出221（类）02（款）01（项）：指住房改革支出—住房公积金支出。</w:t>
      </w:r>
    </w:p>
    <w:p w14:paraId="68631062">
      <w:pPr>
        <w:numPr>
          <w:ilvl w:val="0"/>
          <w:numId w:val="2"/>
        </w:numPr>
        <w:suppressAutoHyphens/>
        <w:ind w:firstLine="64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14:paraId="2612FD55">
      <w:pPr>
        <w:numPr>
          <w:ilvl w:val="0"/>
          <w:numId w:val="2"/>
        </w:numPr>
        <w:suppressAutoHyphens/>
        <w:ind w:firstLine="64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304624C1">
      <w:pPr>
        <w:numPr>
          <w:ilvl w:val="0"/>
          <w:numId w:val="2"/>
        </w:numPr>
        <w:suppressAutoHyphens/>
        <w:ind w:firstLine="64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14:paraId="11C60182">
      <w:pPr>
        <w:pStyle w:val="26"/>
        <w:numPr>
          <w:ilvl w:val="0"/>
          <w:numId w:val="2"/>
        </w:numPr>
        <w:spacing w:line="560" w:lineRule="exact"/>
        <w:ind w:firstLine="640"/>
        <w:rPr>
          <w:rFonts w:ascii="仿宋_GB2312" w:eastAsia="仿宋_GB2312"/>
          <w:color w:val="auto"/>
          <w:sz w:val="32"/>
          <w:szCs w:val="32"/>
        </w:rPr>
      </w:pP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B7ECB60">
      <w:pPr>
        <w:pStyle w:val="26"/>
        <w:numPr>
          <w:ilvl w:val="0"/>
          <w:numId w:val="2"/>
        </w:numPr>
        <w:spacing w:line="560" w:lineRule="exact"/>
        <w:ind w:firstLine="640"/>
        <w:rPr>
          <w:rFonts w:ascii="仿宋_GB2312" w:eastAsia="仿宋_GB2312"/>
          <w:color w:val="auto"/>
          <w:sz w:val="32"/>
          <w:szCs w:val="32"/>
        </w:rPr>
      </w:pP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3EC6954">
      <w:pPr>
        <w:spacing w:line="600" w:lineRule="exact"/>
        <w:jc w:val="center"/>
        <w:rPr>
          <w:rStyle w:val="28"/>
          <w:rFonts w:eastAsia="黑体"/>
          <w:b w:val="0"/>
        </w:rPr>
      </w:pPr>
      <w:r>
        <w:rPr>
          <w:rFonts w:hint="eastAsia" w:eastAsia="仿宋_GB2312" w:cs="仿宋_GB2312"/>
          <w:sz w:val="32"/>
          <w:szCs w:val="32"/>
        </w:rPr>
        <w:br w:type="page"/>
      </w:r>
      <w:bookmarkStart w:id="50" w:name="_Toc15396614"/>
      <w:r>
        <w:rPr>
          <w:rFonts w:hint="eastAsia" w:eastAsia="黑体"/>
          <w:sz w:val="44"/>
          <w:szCs w:val="44"/>
        </w:rPr>
        <w:t>第四部分  附件</w:t>
      </w:r>
      <w:bookmarkEnd w:id="50"/>
    </w:p>
    <w:p w14:paraId="25EEE684">
      <w:pPr>
        <w:spacing w:line="572" w:lineRule="exact"/>
        <w:jc w:val="left"/>
        <w:outlineLvl w:val="0"/>
        <w:rPr>
          <w:rFonts w:eastAsia="黑体" w:cs="黑体"/>
          <w:color w:val="FF0000"/>
          <w:sz w:val="32"/>
          <w:szCs w:val="32"/>
        </w:rPr>
      </w:pPr>
    </w:p>
    <w:p w14:paraId="637FB68C">
      <w:pPr>
        <w:pStyle w:val="7"/>
        <w:spacing w:line="560" w:lineRule="exact"/>
        <w:ind w:left="0" w:leftChars="0" w:firstLine="0" w:firstLineChars="0"/>
        <w:rPr>
          <w:rFonts w:hint="default" w:eastAsia="仿宋_GB2312"/>
          <w:sz w:val="32"/>
          <w:szCs w:val="32"/>
          <w:lang w:val="en-US" w:eastAsia="zh-CN"/>
        </w:rPr>
      </w:pPr>
      <w:bookmarkStart w:id="51" w:name="_Toc15396618"/>
      <w:r>
        <w:rPr>
          <w:rFonts w:hint="eastAsia" w:ascii="Times New Roman" w:eastAsia="仿宋_GB2312"/>
          <w:sz w:val="32"/>
          <w:lang w:val="zh-CN"/>
        </w:rPr>
        <w:t>附表：</w:t>
      </w:r>
      <w:r>
        <w:rPr>
          <w:rFonts w:hint="eastAsia" w:ascii="Times New Roman" w:eastAsia="仿宋_GB2312"/>
          <w:sz w:val="32"/>
        </w:rPr>
        <w:t>部门预算项目支出绩效自评表（2024年度）</w:t>
      </w:r>
      <w:r>
        <w:rPr>
          <w:rFonts w:hint="eastAsia" w:ascii="Times New Roman" w:eastAsia="仿宋_GB2312"/>
          <w:sz w:val="32"/>
          <w:lang w:val="en-US" w:eastAsia="zh-CN"/>
        </w:rPr>
        <w:t>见附件3</w:t>
      </w:r>
    </w:p>
    <w:p w14:paraId="38845059">
      <w:pPr>
        <w:widowControl/>
        <w:jc w:val="center"/>
        <w:rPr>
          <w:rFonts w:eastAsia="黑体"/>
          <w:sz w:val="44"/>
          <w:szCs w:val="44"/>
        </w:rPr>
      </w:pPr>
    </w:p>
    <w:p w14:paraId="31D3FE6E">
      <w:pPr>
        <w:widowControl/>
        <w:jc w:val="center"/>
        <w:rPr>
          <w:rFonts w:eastAsia="黑体"/>
          <w:sz w:val="44"/>
          <w:szCs w:val="44"/>
        </w:rPr>
      </w:pPr>
    </w:p>
    <w:p w14:paraId="269D9256">
      <w:pPr>
        <w:widowControl/>
        <w:jc w:val="center"/>
        <w:rPr>
          <w:rFonts w:eastAsia="黑体"/>
          <w:sz w:val="44"/>
          <w:szCs w:val="44"/>
        </w:rPr>
      </w:pPr>
    </w:p>
    <w:p w14:paraId="41EB4056">
      <w:pPr>
        <w:widowControl/>
        <w:jc w:val="center"/>
        <w:rPr>
          <w:rFonts w:eastAsia="黑体"/>
          <w:sz w:val="44"/>
          <w:szCs w:val="44"/>
        </w:rPr>
      </w:pPr>
    </w:p>
    <w:p w14:paraId="06E1D135">
      <w:pPr>
        <w:widowControl/>
        <w:jc w:val="center"/>
        <w:rPr>
          <w:rFonts w:eastAsia="黑体"/>
          <w:sz w:val="44"/>
          <w:szCs w:val="44"/>
        </w:rPr>
      </w:pPr>
    </w:p>
    <w:p w14:paraId="6E99C21D">
      <w:pPr>
        <w:widowControl/>
        <w:jc w:val="center"/>
        <w:rPr>
          <w:rFonts w:eastAsia="黑体"/>
          <w:sz w:val="44"/>
          <w:szCs w:val="44"/>
        </w:rPr>
      </w:pPr>
    </w:p>
    <w:p w14:paraId="5FB7F65D">
      <w:pPr>
        <w:widowControl/>
        <w:jc w:val="center"/>
        <w:rPr>
          <w:rFonts w:hint="eastAsia" w:eastAsia="黑体"/>
          <w:sz w:val="44"/>
          <w:szCs w:val="44"/>
        </w:rPr>
      </w:pPr>
    </w:p>
    <w:p w14:paraId="118E4085">
      <w:pPr>
        <w:widowControl/>
        <w:jc w:val="center"/>
        <w:rPr>
          <w:rFonts w:hint="eastAsia" w:eastAsia="黑体"/>
          <w:sz w:val="44"/>
          <w:szCs w:val="44"/>
        </w:rPr>
      </w:pPr>
    </w:p>
    <w:p w14:paraId="4462D1DA">
      <w:pPr>
        <w:widowControl/>
        <w:jc w:val="center"/>
        <w:rPr>
          <w:rFonts w:hint="eastAsia" w:eastAsia="黑体"/>
          <w:sz w:val="44"/>
          <w:szCs w:val="44"/>
        </w:rPr>
      </w:pPr>
    </w:p>
    <w:p w14:paraId="307F7A74">
      <w:pPr>
        <w:widowControl/>
        <w:jc w:val="center"/>
        <w:rPr>
          <w:rFonts w:hint="eastAsia" w:eastAsia="黑体"/>
          <w:sz w:val="44"/>
          <w:szCs w:val="44"/>
        </w:rPr>
      </w:pPr>
    </w:p>
    <w:p w14:paraId="25BB4672">
      <w:pPr>
        <w:widowControl/>
        <w:jc w:val="center"/>
        <w:rPr>
          <w:rFonts w:hint="eastAsia" w:eastAsia="黑体"/>
          <w:sz w:val="44"/>
          <w:szCs w:val="44"/>
        </w:rPr>
      </w:pPr>
    </w:p>
    <w:p w14:paraId="1C1E48B6">
      <w:pPr>
        <w:widowControl/>
        <w:jc w:val="center"/>
        <w:rPr>
          <w:rFonts w:hint="eastAsia" w:eastAsia="黑体"/>
          <w:sz w:val="44"/>
          <w:szCs w:val="44"/>
        </w:rPr>
      </w:pPr>
    </w:p>
    <w:p w14:paraId="0246F126">
      <w:pPr>
        <w:widowControl/>
        <w:jc w:val="center"/>
        <w:rPr>
          <w:rFonts w:hint="eastAsia" w:eastAsia="黑体"/>
          <w:sz w:val="44"/>
          <w:szCs w:val="44"/>
        </w:rPr>
      </w:pPr>
    </w:p>
    <w:p w14:paraId="2531710F">
      <w:pPr>
        <w:widowControl/>
        <w:jc w:val="center"/>
        <w:rPr>
          <w:rFonts w:hint="eastAsia" w:eastAsia="黑体"/>
          <w:sz w:val="44"/>
          <w:szCs w:val="44"/>
        </w:rPr>
      </w:pPr>
    </w:p>
    <w:p w14:paraId="0B7989E9">
      <w:pPr>
        <w:widowControl/>
        <w:jc w:val="center"/>
        <w:rPr>
          <w:rFonts w:hint="eastAsia" w:eastAsia="黑体"/>
          <w:sz w:val="44"/>
          <w:szCs w:val="44"/>
        </w:rPr>
      </w:pPr>
    </w:p>
    <w:p w14:paraId="3EF3600F">
      <w:pPr>
        <w:widowControl/>
        <w:jc w:val="center"/>
        <w:rPr>
          <w:rFonts w:hint="eastAsia" w:eastAsia="黑体"/>
          <w:sz w:val="44"/>
          <w:szCs w:val="44"/>
        </w:rPr>
      </w:pPr>
    </w:p>
    <w:p w14:paraId="341AFB4F">
      <w:pPr>
        <w:widowControl/>
        <w:jc w:val="center"/>
        <w:rPr>
          <w:rFonts w:hint="eastAsia" w:eastAsia="黑体"/>
          <w:sz w:val="44"/>
          <w:szCs w:val="44"/>
        </w:rPr>
      </w:pPr>
    </w:p>
    <w:p w14:paraId="7A0297C3">
      <w:pPr>
        <w:widowControl/>
        <w:jc w:val="center"/>
        <w:rPr>
          <w:rFonts w:hint="eastAsia" w:eastAsia="黑体"/>
          <w:sz w:val="44"/>
          <w:szCs w:val="44"/>
        </w:rPr>
      </w:pPr>
    </w:p>
    <w:p w14:paraId="03AA6E60">
      <w:pPr>
        <w:widowControl/>
        <w:jc w:val="center"/>
        <w:rPr>
          <w:rFonts w:hint="eastAsia" w:eastAsia="黑体"/>
          <w:sz w:val="44"/>
          <w:szCs w:val="44"/>
        </w:rPr>
      </w:pPr>
    </w:p>
    <w:p w14:paraId="0897CEF3">
      <w:pPr>
        <w:widowControl/>
        <w:jc w:val="center"/>
        <w:rPr>
          <w:rFonts w:eastAsia="仿宋"/>
        </w:rPr>
      </w:pPr>
      <w:r>
        <w:rPr>
          <w:rFonts w:hint="eastAsia" w:eastAsia="黑体"/>
          <w:sz w:val="44"/>
          <w:szCs w:val="44"/>
        </w:rPr>
        <w:t>第</w:t>
      </w:r>
      <w:r>
        <w:rPr>
          <w:rStyle w:val="28"/>
          <w:rFonts w:hint="eastAsia" w:eastAsia="黑体"/>
          <w:b w:val="0"/>
        </w:rPr>
        <w:t>五部分 附表</w:t>
      </w:r>
      <w:bookmarkEnd w:id="49"/>
      <w:bookmarkEnd w:id="51"/>
      <w:bookmarkStart w:id="52" w:name="_Toc15396619"/>
    </w:p>
    <w:p w14:paraId="045C4A31">
      <w:pPr>
        <w:pStyle w:val="14"/>
        <w:adjustRightInd w:val="0"/>
        <w:snapToGrid w:val="0"/>
        <w:spacing w:line="560" w:lineRule="exact"/>
        <w:jc w:val="left"/>
        <w:rPr>
          <w:rFonts w:eastAsia="仿宋_GB2312" w:cs="仿宋_GB2312"/>
          <w:sz w:val="32"/>
          <w:szCs w:val="32"/>
        </w:rPr>
      </w:pPr>
    </w:p>
    <w:p w14:paraId="7323F03F">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52"/>
    </w:p>
    <w:p w14:paraId="3BEE17C2">
      <w:pPr>
        <w:pStyle w:val="14"/>
        <w:adjustRightInd w:val="0"/>
        <w:snapToGrid w:val="0"/>
        <w:spacing w:line="560" w:lineRule="exact"/>
        <w:jc w:val="left"/>
        <w:rPr>
          <w:rFonts w:eastAsia="仿宋_GB2312" w:cs="仿宋_GB2312"/>
          <w:sz w:val="32"/>
          <w:szCs w:val="32"/>
        </w:rPr>
      </w:pPr>
      <w:bookmarkStart w:id="53" w:name="_Toc15396620"/>
      <w:r>
        <w:rPr>
          <w:rFonts w:hint="eastAsia" w:eastAsia="仿宋_GB2312" w:cs="仿宋_GB2312"/>
          <w:sz w:val="32"/>
          <w:szCs w:val="32"/>
        </w:rPr>
        <w:t>二、收入决算表</w:t>
      </w:r>
      <w:bookmarkEnd w:id="53"/>
    </w:p>
    <w:p w14:paraId="12062609">
      <w:pPr>
        <w:pStyle w:val="14"/>
        <w:adjustRightInd w:val="0"/>
        <w:snapToGrid w:val="0"/>
        <w:spacing w:line="560" w:lineRule="exact"/>
        <w:jc w:val="left"/>
        <w:rPr>
          <w:rFonts w:eastAsia="仿宋_GB2312" w:cs="仿宋_GB2312"/>
          <w:sz w:val="32"/>
          <w:szCs w:val="32"/>
        </w:rPr>
      </w:pPr>
      <w:bookmarkStart w:id="54" w:name="_Toc15396621"/>
      <w:r>
        <w:rPr>
          <w:rFonts w:hint="eastAsia" w:eastAsia="仿宋_GB2312" w:cs="仿宋_GB2312"/>
          <w:sz w:val="32"/>
          <w:szCs w:val="32"/>
        </w:rPr>
        <w:t>三、支出决算表</w:t>
      </w:r>
      <w:bookmarkEnd w:id="54"/>
    </w:p>
    <w:p w14:paraId="5F712169">
      <w:pPr>
        <w:pStyle w:val="14"/>
        <w:adjustRightInd w:val="0"/>
        <w:snapToGrid w:val="0"/>
        <w:spacing w:line="560" w:lineRule="exact"/>
        <w:jc w:val="left"/>
        <w:rPr>
          <w:rFonts w:eastAsia="仿宋_GB2312" w:cs="仿宋_GB2312"/>
          <w:sz w:val="32"/>
          <w:szCs w:val="32"/>
        </w:rPr>
      </w:pPr>
      <w:bookmarkStart w:id="55" w:name="_Toc15396622"/>
      <w:r>
        <w:rPr>
          <w:rFonts w:hint="eastAsia" w:eastAsia="仿宋_GB2312" w:cs="仿宋_GB2312"/>
          <w:sz w:val="32"/>
          <w:szCs w:val="32"/>
        </w:rPr>
        <w:t>四、财政拨款收入支出决算总表</w:t>
      </w:r>
      <w:bookmarkEnd w:id="55"/>
    </w:p>
    <w:p w14:paraId="2A54668E">
      <w:pPr>
        <w:pStyle w:val="14"/>
        <w:adjustRightInd w:val="0"/>
        <w:snapToGrid w:val="0"/>
        <w:spacing w:line="560" w:lineRule="exact"/>
        <w:jc w:val="left"/>
        <w:rPr>
          <w:rFonts w:eastAsia="仿宋_GB2312" w:cs="仿宋_GB2312"/>
          <w:sz w:val="32"/>
          <w:szCs w:val="32"/>
        </w:rPr>
      </w:pPr>
      <w:bookmarkStart w:id="56" w:name="_Toc15396623"/>
      <w:r>
        <w:rPr>
          <w:rFonts w:hint="eastAsia" w:eastAsia="仿宋_GB2312" w:cs="仿宋_GB2312"/>
          <w:sz w:val="32"/>
          <w:szCs w:val="32"/>
        </w:rPr>
        <w:t>五、财政拨款支出决算明细表</w:t>
      </w:r>
      <w:bookmarkEnd w:id="56"/>
      <w:bookmarkStart w:id="57" w:name="_Toc15396624"/>
    </w:p>
    <w:p w14:paraId="3CCD438D">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7"/>
    </w:p>
    <w:p w14:paraId="546FC309">
      <w:pPr>
        <w:pStyle w:val="14"/>
        <w:adjustRightInd w:val="0"/>
        <w:snapToGrid w:val="0"/>
        <w:spacing w:line="560" w:lineRule="exact"/>
        <w:jc w:val="left"/>
        <w:rPr>
          <w:rFonts w:eastAsia="仿宋_GB2312" w:cs="仿宋_GB2312"/>
          <w:sz w:val="32"/>
          <w:szCs w:val="32"/>
        </w:rPr>
      </w:pPr>
      <w:bookmarkStart w:id="58" w:name="_Toc15396625"/>
      <w:r>
        <w:rPr>
          <w:rFonts w:hint="eastAsia" w:eastAsia="仿宋_GB2312" w:cs="仿宋_GB2312"/>
          <w:sz w:val="32"/>
          <w:szCs w:val="32"/>
        </w:rPr>
        <w:t>七、一般公共预算财政拨款支出决算明细表</w:t>
      </w:r>
      <w:bookmarkEnd w:id="58"/>
    </w:p>
    <w:p w14:paraId="00172E3E">
      <w:pPr>
        <w:pStyle w:val="14"/>
        <w:adjustRightInd w:val="0"/>
        <w:snapToGrid w:val="0"/>
        <w:spacing w:line="560" w:lineRule="exact"/>
        <w:jc w:val="left"/>
        <w:rPr>
          <w:rFonts w:eastAsia="仿宋_GB2312" w:cs="仿宋_GB2312"/>
          <w:sz w:val="32"/>
          <w:szCs w:val="32"/>
        </w:rPr>
      </w:pPr>
      <w:bookmarkStart w:id="59" w:name="_Toc15396626"/>
      <w:r>
        <w:rPr>
          <w:rFonts w:hint="eastAsia" w:eastAsia="仿宋_GB2312" w:cs="仿宋_GB2312"/>
          <w:sz w:val="32"/>
          <w:szCs w:val="32"/>
        </w:rPr>
        <w:t>八、一般公共预算财政拨款基本支出决算表</w:t>
      </w:r>
      <w:bookmarkEnd w:id="59"/>
    </w:p>
    <w:p w14:paraId="722B0873">
      <w:pPr>
        <w:pStyle w:val="14"/>
        <w:adjustRightInd w:val="0"/>
        <w:snapToGrid w:val="0"/>
        <w:spacing w:line="560" w:lineRule="exact"/>
        <w:jc w:val="left"/>
        <w:rPr>
          <w:rFonts w:eastAsia="仿宋_GB2312" w:cs="仿宋_GB2312"/>
          <w:sz w:val="32"/>
          <w:szCs w:val="32"/>
        </w:rPr>
      </w:pPr>
      <w:bookmarkStart w:id="60" w:name="_Toc15396627"/>
      <w:r>
        <w:rPr>
          <w:rFonts w:hint="eastAsia" w:eastAsia="仿宋_GB2312" w:cs="仿宋_GB2312"/>
          <w:sz w:val="32"/>
          <w:szCs w:val="32"/>
        </w:rPr>
        <w:t>九、一般公共预算财政拨款项目支出决算表</w:t>
      </w:r>
      <w:bookmarkEnd w:id="60"/>
    </w:p>
    <w:p w14:paraId="11322AD1">
      <w:pPr>
        <w:pStyle w:val="14"/>
        <w:adjustRightInd w:val="0"/>
        <w:snapToGrid w:val="0"/>
        <w:spacing w:line="560" w:lineRule="exact"/>
        <w:jc w:val="left"/>
        <w:rPr>
          <w:rFonts w:eastAsia="仿宋_GB2312" w:cs="仿宋_GB2312"/>
          <w:sz w:val="32"/>
          <w:szCs w:val="32"/>
        </w:rPr>
      </w:pPr>
      <w:bookmarkStart w:id="61" w:name="_Toc15396628"/>
      <w:r>
        <w:rPr>
          <w:rFonts w:hint="eastAsia" w:eastAsia="仿宋_GB2312" w:cs="仿宋_GB2312"/>
          <w:sz w:val="32"/>
          <w:szCs w:val="32"/>
        </w:rPr>
        <w:t>十、</w:t>
      </w:r>
      <w:bookmarkEnd w:id="61"/>
      <w:r>
        <w:rPr>
          <w:rFonts w:hint="eastAsia" w:eastAsia="仿宋_GB2312" w:cs="仿宋_GB2312"/>
          <w:sz w:val="32"/>
          <w:szCs w:val="32"/>
        </w:rPr>
        <w:t>政府性基金预算财政拨款收入支出决算表</w:t>
      </w:r>
    </w:p>
    <w:p w14:paraId="4F15B63D">
      <w:pPr>
        <w:pStyle w:val="14"/>
        <w:adjustRightInd w:val="0"/>
        <w:snapToGrid w:val="0"/>
        <w:spacing w:line="560" w:lineRule="exact"/>
        <w:jc w:val="left"/>
        <w:rPr>
          <w:rFonts w:eastAsia="仿宋_GB2312" w:cs="仿宋_GB2312"/>
          <w:sz w:val="32"/>
          <w:szCs w:val="32"/>
        </w:rPr>
      </w:pPr>
      <w:bookmarkStart w:id="62" w:name="_Toc15396629"/>
      <w:r>
        <w:rPr>
          <w:rFonts w:hint="eastAsia" w:eastAsia="仿宋_GB2312" w:cs="仿宋_GB2312"/>
          <w:sz w:val="32"/>
          <w:szCs w:val="32"/>
        </w:rPr>
        <w:t>十一、</w:t>
      </w:r>
      <w:bookmarkEnd w:id="62"/>
      <w:r>
        <w:rPr>
          <w:rFonts w:hint="eastAsia" w:eastAsia="仿宋_GB2312" w:cs="仿宋_GB2312"/>
          <w:sz w:val="32"/>
          <w:szCs w:val="32"/>
        </w:rPr>
        <w:t>国有资本经营预算财政拨款收入支出决算表</w:t>
      </w:r>
    </w:p>
    <w:p w14:paraId="74236E50">
      <w:pPr>
        <w:pStyle w:val="14"/>
        <w:adjustRightInd w:val="0"/>
        <w:snapToGrid w:val="0"/>
        <w:spacing w:line="560" w:lineRule="exact"/>
        <w:jc w:val="left"/>
        <w:rPr>
          <w:rFonts w:eastAsia="仿宋_GB2312" w:cs="仿宋_GB2312"/>
          <w:sz w:val="32"/>
          <w:szCs w:val="32"/>
        </w:rPr>
      </w:pPr>
      <w:bookmarkStart w:id="63" w:name="_Toc15396630"/>
      <w:r>
        <w:rPr>
          <w:rFonts w:hint="eastAsia" w:eastAsia="仿宋_GB2312" w:cs="仿宋_GB2312"/>
          <w:sz w:val="32"/>
          <w:szCs w:val="32"/>
        </w:rPr>
        <w:t>十二、</w:t>
      </w:r>
      <w:bookmarkEnd w:id="63"/>
      <w:r>
        <w:rPr>
          <w:rFonts w:hint="eastAsia" w:eastAsia="仿宋_GB2312" w:cs="仿宋_GB2312"/>
          <w:sz w:val="32"/>
          <w:szCs w:val="32"/>
        </w:rPr>
        <w:t>国有资本经营预算财政拨款支出决算表</w:t>
      </w:r>
    </w:p>
    <w:p w14:paraId="3840121B">
      <w:pPr>
        <w:pStyle w:val="14"/>
        <w:adjustRightInd w:val="0"/>
        <w:snapToGrid w:val="0"/>
        <w:spacing w:line="560" w:lineRule="exact"/>
        <w:jc w:val="left"/>
        <w:rPr>
          <w:rFonts w:eastAsia="仿宋_GB2312" w:cs="仿宋_GB2312"/>
          <w:sz w:val="32"/>
          <w:szCs w:val="32"/>
        </w:rPr>
      </w:pPr>
      <w:bookmarkStart w:id="64" w:name="_Toc15396631"/>
      <w:r>
        <w:rPr>
          <w:rFonts w:hint="eastAsia" w:eastAsia="仿宋_GB2312" w:cs="仿宋_GB2312"/>
          <w:sz w:val="32"/>
          <w:szCs w:val="32"/>
        </w:rPr>
        <w:t>十三、</w:t>
      </w:r>
      <w:bookmarkEnd w:id="64"/>
      <w:r>
        <w:rPr>
          <w:rFonts w:hint="eastAsia" w:eastAsia="仿宋_GB2312" w:cs="仿宋_GB2312"/>
          <w:sz w:val="32"/>
          <w:szCs w:val="32"/>
        </w:rPr>
        <w:t>财政拨款“三公”经费支出决算表</w:t>
      </w:r>
    </w:p>
    <w:p w14:paraId="3082209E"/>
    <w:sectPr>
      <w:footerReference r:id="rId5" w:type="firs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AC4A6">
    <w:pPr>
      <w:pStyle w:val="10"/>
      <w:jc w:val="right"/>
    </w:pPr>
  </w:p>
  <w:p w14:paraId="70B293A5">
    <w:pPr>
      <w:pStyle w:val="10"/>
      <w:tabs>
        <w:tab w:val="left" w:pos="7538"/>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1910"/>
      <w:docPartObj>
        <w:docPartGallery w:val="autotext"/>
      </w:docPartObj>
    </w:sdtPr>
    <w:sdtContent>
      <w:p w14:paraId="491F69F4">
        <w:pPr>
          <w:pStyle w:val="10"/>
          <w:jc w:val="right"/>
        </w:pPr>
        <w:r>
          <w:rPr>
            <w:lang w:val="zh-CN"/>
          </w:rPr>
          <w:fldChar w:fldCharType="begin"/>
        </w:r>
        <w:r>
          <w:rPr>
            <w:lang w:val="zh-CN"/>
          </w:rPr>
          <w:instrText xml:space="preserve"> PAGE   \* MERGEFORMAT </w:instrText>
        </w:r>
        <w:r>
          <w:rPr>
            <w:lang w:val="zh-CN"/>
          </w:rPr>
          <w:fldChar w:fldCharType="separate"/>
        </w:r>
        <w:r>
          <w:rPr>
            <w:lang w:val="zh-CN"/>
          </w:rPr>
          <w:t>-</w:t>
        </w:r>
        <w:r>
          <w:t xml:space="preserve"> 16 -</w:t>
        </w:r>
        <w:r>
          <w:fldChar w:fldCharType="end"/>
        </w:r>
      </w:p>
    </w:sdtContent>
  </w:sdt>
  <w:p w14:paraId="47A67CB7">
    <w:pPr>
      <w:pStyle w:val="10"/>
      <w:tabs>
        <w:tab w:val="left" w:pos="7538"/>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76ADC">
    <w:pPr>
      <w:pStyle w:val="10"/>
      <w:jc w:val="right"/>
    </w:pPr>
    <w:r>
      <w:rPr>
        <w:lang w:val="zh-CN"/>
      </w:rPr>
      <w:t>-</w:t>
    </w:r>
    <w:r>
      <w:t xml:space="preserve"> </w:t>
    </w:r>
    <w:r>
      <w:rPr>
        <w:rFonts w:hint="eastAsia"/>
      </w:rPr>
      <w:t>1</w:t>
    </w: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EBFA1"/>
    <w:multiLevelType w:val="singleLevel"/>
    <w:tmpl w:val="36CEBFA1"/>
    <w:lvl w:ilvl="0" w:tentative="0">
      <w:start w:val="12"/>
      <w:numFmt w:val="decimal"/>
      <w:lvlText w:val="%1."/>
      <w:lvlJc w:val="left"/>
      <w:pPr>
        <w:tabs>
          <w:tab w:val="left" w:pos="312"/>
        </w:tabs>
      </w:pPr>
    </w:lvl>
  </w:abstractNum>
  <w:abstractNum w:abstractNumId="1">
    <w:nsid w:val="64AE4329"/>
    <w:multiLevelType w:val="multilevel"/>
    <w:tmpl w:val="64AE432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717F"/>
    <w:rsid w:val="000222C6"/>
    <w:rsid w:val="0002549F"/>
    <w:rsid w:val="00036C54"/>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4D39"/>
    <w:rsid w:val="000E6613"/>
    <w:rsid w:val="000E7119"/>
    <w:rsid w:val="000F3A25"/>
    <w:rsid w:val="000F7560"/>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0CB9"/>
    <w:rsid w:val="0021101A"/>
    <w:rsid w:val="00220536"/>
    <w:rsid w:val="00235629"/>
    <w:rsid w:val="002512C8"/>
    <w:rsid w:val="00260C38"/>
    <w:rsid w:val="002616C0"/>
    <w:rsid w:val="00265372"/>
    <w:rsid w:val="002662AA"/>
    <w:rsid w:val="00280496"/>
    <w:rsid w:val="00294DC9"/>
    <w:rsid w:val="00295495"/>
    <w:rsid w:val="002A31DE"/>
    <w:rsid w:val="002A343C"/>
    <w:rsid w:val="002B2613"/>
    <w:rsid w:val="002B2D53"/>
    <w:rsid w:val="002D6D05"/>
    <w:rsid w:val="002E2544"/>
    <w:rsid w:val="002F1818"/>
    <w:rsid w:val="002F567B"/>
    <w:rsid w:val="003178D3"/>
    <w:rsid w:val="003216A9"/>
    <w:rsid w:val="00335A74"/>
    <w:rsid w:val="00357E98"/>
    <w:rsid w:val="0036561B"/>
    <w:rsid w:val="0037013F"/>
    <w:rsid w:val="0037690C"/>
    <w:rsid w:val="00380C92"/>
    <w:rsid w:val="003A484F"/>
    <w:rsid w:val="003A4883"/>
    <w:rsid w:val="003B0BE0"/>
    <w:rsid w:val="003B0C1B"/>
    <w:rsid w:val="003B688C"/>
    <w:rsid w:val="003C0291"/>
    <w:rsid w:val="003C39AE"/>
    <w:rsid w:val="003C41CD"/>
    <w:rsid w:val="003C7B60"/>
    <w:rsid w:val="003D0C0F"/>
    <w:rsid w:val="003D1FB2"/>
    <w:rsid w:val="003D66DA"/>
    <w:rsid w:val="003E1310"/>
    <w:rsid w:val="003E6F55"/>
    <w:rsid w:val="00406254"/>
    <w:rsid w:val="004223DE"/>
    <w:rsid w:val="004250E8"/>
    <w:rsid w:val="0043341C"/>
    <w:rsid w:val="00434489"/>
    <w:rsid w:val="00437085"/>
    <w:rsid w:val="00443880"/>
    <w:rsid w:val="004464F4"/>
    <w:rsid w:val="00471401"/>
    <w:rsid w:val="00473F31"/>
    <w:rsid w:val="0048263A"/>
    <w:rsid w:val="00487E5D"/>
    <w:rsid w:val="004A711F"/>
    <w:rsid w:val="004B199D"/>
    <w:rsid w:val="004B4690"/>
    <w:rsid w:val="004E0A2D"/>
    <w:rsid w:val="004E206B"/>
    <w:rsid w:val="004E3FF6"/>
    <w:rsid w:val="004E6DF7"/>
    <w:rsid w:val="004F0FBD"/>
    <w:rsid w:val="00505A47"/>
    <w:rsid w:val="00512FDA"/>
    <w:rsid w:val="00520DA0"/>
    <w:rsid w:val="00563C5D"/>
    <w:rsid w:val="005664BB"/>
    <w:rsid w:val="00566FFA"/>
    <w:rsid w:val="0057481D"/>
    <w:rsid w:val="0058486E"/>
    <w:rsid w:val="00585B33"/>
    <w:rsid w:val="0059014D"/>
    <w:rsid w:val="005B0D0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7B32"/>
    <w:rsid w:val="006F020C"/>
    <w:rsid w:val="007127B7"/>
    <w:rsid w:val="0071798E"/>
    <w:rsid w:val="00731E4F"/>
    <w:rsid w:val="00734D8F"/>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CED"/>
    <w:rsid w:val="00872FD8"/>
    <w:rsid w:val="00875E9B"/>
    <w:rsid w:val="00885AF4"/>
    <w:rsid w:val="00892470"/>
    <w:rsid w:val="008939CD"/>
    <w:rsid w:val="0089413B"/>
    <w:rsid w:val="008B768C"/>
    <w:rsid w:val="008C4DB1"/>
    <w:rsid w:val="008C4EAF"/>
    <w:rsid w:val="008C5176"/>
    <w:rsid w:val="008C7FD0"/>
    <w:rsid w:val="008D07B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3AF4"/>
    <w:rsid w:val="00A56DF2"/>
    <w:rsid w:val="00A56E6E"/>
    <w:rsid w:val="00A66C03"/>
    <w:rsid w:val="00A67AB5"/>
    <w:rsid w:val="00A733B2"/>
    <w:rsid w:val="00A741C2"/>
    <w:rsid w:val="00A91760"/>
    <w:rsid w:val="00A93B00"/>
    <w:rsid w:val="00A93C21"/>
    <w:rsid w:val="00A94468"/>
    <w:rsid w:val="00AB64C9"/>
    <w:rsid w:val="00AC3C6A"/>
    <w:rsid w:val="00AC741F"/>
    <w:rsid w:val="00AD5620"/>
    <w:rsid w:val="00AD656B"/>
    <w:rsid w:val="00AD7C1B"/>
    <w:rsid w:val="00AE16BA"/>
    <w:rsid w:val="00AE1EBE"/>
    <w:rsid w:val="00B03C9D"/>
    <w:rsid w:val="00B060AE"/>
    <w:rsid w:val="00B10517"/>
    <w:rsid w:val="00B14E76"/>
    <w:rsid w:val="00B161B8"/>
    <w:rsid w:val="00B2048C"/>
    <w:rsid w:val="00B310B9"/>
    <w:rsid w:val="00B31933"/>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BF5C63"/>
    <w:rsid w:val="00C03E31"/>
    <w:rsid w:val="00C03FC9"/>
    <w:rsid w:val="00C32919"/>
    <w:rsid w:val="00C33E72"/>
    <w:rsid w:val="00C354B2"/>
    <w:rsid w:val="00C35554"/>
    <w:rsid w:val="00C42709"/>
    <w:rsid w:val="00C533CC"/>
    <w:rsid w:val="00C5751C"/>
    <w:rsid w:val="00C61BFC"/>
    <w:rsid w:val="00C62B85"/>
    <w:rsid w:val="00C634DF"/>
    <w:rsid w:val="00C63F72"/>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27F06"/>
    <w:rsid w:val="00D34E7C"/>
    <w:rsid w:val="00D35489"/>
    <w:rsid w:val="00D36AFE"/>
    <w:rsid w:val="00D51276"/>
    <w:rsid w:val="00D7035F"/>
    <w:rsid w:val="00D84F47"/>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487E"/>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5249"/>
    <w:rsid w:val="00F36D8F"/>
    <w:rsid w:val="00F417B1"/>
    <w:rsid w:val="00F45853"/>
    <w:rsid w:val="00F602DF"/>
    <w:rsid w:val="00F754A1"/>
    <w:rsid w:val="00F81FD9"/>
    <w:rsid w:val="00F841AA"/>
    <w:rsid w:val="00F84A94"/>
    <w:rsid w:val="00F87A59"/>
    <w:rsid w:val="00F87E96"/>
    <w:rsid w:val="00FA23E8"/>
    <w:rsid w:val="00FD048F"/>
    <w:rsid w:val="00FD3CC1"/>
    <w:rsid w:val="00FF1E02"/>
    <w:rsid w:val="00FF30B4"/>
    <w:rsid w:val="012A5EC2"/>
    <w:rsid w:val="015975B8"/>
    <w:rsid w:val="02FEBE30"/>
    <w:rsid w:val="04916F1E"/>
    <w:rsid w:val="05A039EF"/>
    <w:rsid w:val="061E35DE"/>
    <w:rsid w:val="066E0107"/>
    <w:rsid w:val="07996F6E"/>
    <w:rsid w:val="07DFD8BA"/>
    <w:rsid w:val="09867E8F"/>
    <w:rsid w:val="0A2032A3"/>
    <w:rsid w:val="0AE8272E"/>
    <w:rsid w:val="0CA8290A"/>
    <w:rsid w:val="0D35B1ED"/>
    <w:rsid w:val="0E254B6B"/>
    <w:rsid w:val="0F98263C"/>
    <w:rsid w:val="101860EC"/>
    <w:rsid w:val="101F47CC"/>
    <w:rsid w:val="10C055FF"/>
    <w:rsid w:val="11694EBD"/>
    <w:rsid w:val="11772AA4"/>
    <w:rsid w:val="118107EC"/>
    <w:rsid w:val="12754619"/>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30A8D"/>
    <w:rsid w:val="26970054"/>
    <w:rsid w:val="281408E2"/>
    <w:rsid w:val="29FD04D3"/>
    <w:rsid w:val="2BFF7BC6"/>
    <w:rsid w:val="2C8A61B5"/>
    <w:rsid w:val="2DF04E50"/>
    <w:rsid w:val="2E586DFA"/>
    <w:rsid w:val="2E9D4333"/>
    <w:rsid w:val="2F040D46"/>
    <w:rsid w:val="2F6B035B"/>
    <w:rsid w:val="2FAE5751"/>
    <w:rsid w:val="2FB1A395"/>
    <w:rsid w:val="2FD9A7D8"/>
    <w:rsid w:val="2FDBF714"/>
    <w:rsid w:val="30AB6865"/>
    <w:rsid w:val="319F7F4E"/>
    <w:rsid w:val="32BD1EF1"/>
    <w:rsid w:val="3304709D"/>
    <w:rsid w:val="33A773CB"/>
    <w:rsid w:val="349D6851"/>
    <w:rsid w:val="35E23972"/>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40250B"/>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844C0"/>
    <w:rsid w:val="5D695134"/>
    <w:rsid w:val="5DAE1B18"/>
    <w:rsid w:val="5DE7D9E5"/>
    <w:rsid w:val="5ECEC941"/>
    <w:rsid w:val="5FBF9FF3"/>
    <w:rsid w:val="5FCD4E2C"/>
    <w:rsid w:val="5FEF394A"/>
    <w:rsid w:val="5FF67715"/>
    <w:rsid w:val="621D5074"/>
    <w:rsid w:val="62BF3928"/>
    <w:rsid w:val="63B3701E"/>
    <w:rsid w:val="647F5392"/>
    <w:rsid w:val="65E66580"/>
    <w:rsid w:val="66374D06"/>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1</a:t>
            </a:r>
            <a:r>
              <a:rPr altLang="en-US"/>
              <a:t>：</a:t>
            </a:r>
            <a:r>
              <a:t>收支总计变动情况图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solidFill>
                <a:schemeClr val="accent2"/>
              </a:solidFill>
            </a:ln>
            <a:effectLst/>
          </c:spPr>
          <c:invertIfNegative val="0"/>
          <c:dPt>
            <c:idx val="0"/>
            <c:invertIfNegative val="0"/>
            <c:bubble3D val="0"/>
            <c:spPr>
              <a:solidFill>
                <a:schemeClr val="accent4"/>
              </a:solidFill>
              <a:ln>
                <a:solidFill>
                  <a:schemeClr val="accent2"/>
                </a:solidFill>
              </a:ln>
              <a:effectLst/>
            </c:spPr>
          </c:dPt>
          <c:dPt>
            <c:idx val="1"/>
            <c:invertIfNegative val="0"/>
            <c:bubble3D val="0"/>
            <c:spPr>
              <a:solidFill>
                <a:schemeClr val="accent4"/>
              </a:solidFill>
              <a:ln>
                <a:solidFill>
                  <a:schemeClr val="accent2"/>
                </a:solidFill>
              </a:ln>
              <a:effectLst/>
            </c:spPr>
          </c:dPt>
          <c:dLbls>
            <c:delete val="1"/>
          </c:dLbls>
          <c:cat>
            <c:strRef>
              <c:f>[工作簿1]收支总计!$A$1:$A$2</c:f>
              <c:strCache>
                <c:ptCount val="2"/>
                <c:pt idx="0">
                  <c:v>2023年</c:v>
                </c:pt>
                <c:pt idx="1">
                  <c:v>2024年</c:v>
                </c:pt>
              </c:strCache>
            </c:strRef>
          </c:cat>
          <c:val>
            <c:numRef>
              <c:f>[工作簿1]收支总计!$B$1:$B$2</c:f>
              <c:numCache>
                <c:formatCode>General</c:formatCode>
                <c:ptCount val="2"/>
                <c:pt idx="0">
                  <c:v>1761.33</c:v>
                </c:pt>
                <c:pt idx="1">
                  <c:v>1685.94</c:v>
                </c:pt>
              </c:numCache>
            </c:numRef>
          </c:val>
        </c:ser>
        <c:dLbls>
          <c:showLegendKey val="0"/>
          <c:showVal val="0"/>
          <c:showCatName val="0"/>
          <c:showSerName val="0"/>
          <c:showPercent val="0"/>
          <c:showBubbleSize val="0"/>
        </c:dLbls>
        <c:gapWidth val="246"/>
        <c:overlap val="-28"/>
        <c:axId val="875938223"/>
        <c:axId val="780891406"/>
      </c:barChart>
      <c:catAx>
        <c:axId val="8759382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0891406"/>
        <c:crosses val="autoZero"/>
        <c:auto val="1"/>
        <c:lblAlgn val="ctr"/>
        <c:lblOffset val="100"/>
        <c:noMultiLvlLbl val="0"/>
      </c:catAx>
      <c:valAx>
        <c:axId val="78089140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938223"/>
        <c:crosses val="autoZero"/>
        <c:crossBetween val="between"/>
      </c:valAx>
      <c:spPr>
        <a:noFill/>
        <a:ln>
          <a:noFill/>
        </a:ln>
        <a:effectLst/>
      </c:spPr>
    </c:plotArea>
    <c:plotVisOnly val="1"/>
    <c:dispBlanksAs val="gap"/>
    <c:showDLblsOverMax val="0"/>
    <c:extLst>
      <c:ext uri="{0b15fc19-7d7d-44ad-8c2d-2c3a37ce22c3}">
        <chartProps xmlns="https://web.wps.cn/et/2018/main" chartId="{2b9c765f-f143-45a1-8be7-745f885141e8}"/>
      </c:ext>
    </c:extLst>
  </c:chart>
  <c:spPr>
    <a:solidFill>
      <a:schemeClr val="bg1"/>
    </a:solidFill>
    <a:ln w="9525" cap="flat" cmpd="sng" algn="ctr">
      <a:solidFill>
        <a:schemeClr val="accent2"/>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en-US"/>
              <a:t>图</a:t>
            </a:r>
            <a:r>
              <a:rPr lang="en-US" altLang="zh-CN"/>
              <a:t>2</a:t>
            </a:r>
            <a:r>
              <a:rPr altLang="en-US"/>
              <a:t>：收入决算结构图</a:t>
            </a:r>
            <a:endParaRPr lang="en-US" altLang="zh-CN"/>
          </a:p>
        </c:rich>
      </c:tx>
      <c:layout>
        <c:manualLayout>
          <c:xMode val="edge"/>
          <c:yMode val="edge"/>
          <c:x val="0.418421052631579"/>
          <c:y val="0.024305555555555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dLblPos val="inEnd"/>
              <c:showLegendKey val="0"/>
              <c:showVal val="1"/>
              <c:showCatName val="0"/>
              <c:showSerName val="0"/>
              <c:showPercent val="0"/>
              <c:showBubbleSize val="0"/>
              <c:extLst>
                <c:ext xmlns:c15="http://schemas.microsoft.com/office/drawing/2012/chart" uri="{CE6537A1-D6FC-4f65-9D91-7224C49458BB}"/>
              </c:extLst>
            </c:dLbl>
            <c:dLbl>
              <c:idx val="1"/>
              <c:layout/>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[工作簿1]收入决算结构图!$A$1:$A$2</c:f>
              <c:strCache>
                <c:ptCount val="2"/>
                <c:pt idx="0">
                  <c:v>一般公共预算财政拨款收入</c:v>
                </c:pt>
                <c:pt idx="1">
                  <c:v>其他收入</c:v>
                </c:pt>
              </c:strCache>
            </c:strRef>
          </c:cat>
          <c:val>
            <c:numRef>
              <c:f>[工作簿1]收入决算结构图!$B$1:$B$2</c:f>
              <c:numCache>
                <c:formatCode>General</c:formatCode>
                <c:ptCount val="2"/>
                <c:pt idx="0">
                  <c:v>1278.51</c:v>
                </c:pt>
                <c:pt idx="1">
                  <c:v>407.43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abdf2c9-b9c9-4bfb-8769-ff5aec6b778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3</a:t>
            </a:r>
            <a:r>
              <a:rPr altLang="en-US"/>
              <a:t>：</a:t>
            </a: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[工作簿1]支出决算情况表!$A$1:$A$5</c:f>
              <c:strCache>
                <c:ptCount val="5"/>
                <c:pt idx="0">
                  <c:v>公共安全支出</c:v>
                </c:pt>
                <c:pt idx="1">
                  <c:v>社会保障和就业支出</c:v>
                </c:pt>
                <c:pt idx="2">
                  <c:v>卫生健康支出</c:v>
                </c:pt>
                <c:pt idx="3">
                  <c:v>住房保障支出</c:v>
                </c:pt>
                <c:pt idx="4">
                  <c:v>一般公共服务支出</c:v>
                </c:pt>
              </c:strCache>
            </c:strRef>
          </c:cat>
          <c:val>
            <c:numRef>
              <c:f>[工作簿1]支出决算情况表!$B$1:$B$5</c:f>
              <c:numCache>
                <c:formatCode>General</c:formatCode>
                <c:ptCount val="5"/>
                <c:pt idx="0">
                  <c:v>1390.78</c:v>
                </c:pt>
                <c:pt idx="1">
                  <c:v>131.45</c:v>
                </c:pt>
                <c:pt idx="2">
                  <c:v>75.99</c:v>
                </c:pt>
                <c:pt idx="3">
                  <c:v>86.72</c:v>
                </c:pt>
                <c:pt idx="4">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c94b33a-ac36-47b0-8849-cc7b8f4a472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4</a:t>
            </a:r>
            <a:r>
              <a:rPr altLang="en-US"/>
              <a:t>：财政拨款收入支出总体情况表</a:t>
            </a:r>
            <a:endParaRPr lang="en-US" altLang="zh-CN"/>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[工作簿1]财政拨款收入支出总体情况表!$A$1:$A$2</c:f>
              <c:strCache>
                <c:ptCount val="2"/>
                <c:pt idx="0">
                  <c:v>2023年</c:v>
                </c:pt>
                <c:pt idx="1">
                  <c:v>2024年</c:v>
                </c:pt>
              </c:strCache>
            </c:strRef>
          </c:cat>
          <c:val>
            <c:numRef>
              <c:f>[工作簿1]财政拨款收入支出总体情况表!$B$1:$B$2</c:f>
              <c:numCache>
                <c:formatCode>General</c:formatCode>
                <c:ptCount val="2"/>
                <c:pt idx="0">
                  <c:v>1407.68</c:v>
                </c:pt>
                <c:pt idx="1">
                  <c:v>1278.51</c:v>
                </c:pt>
              </c:numCache>
            </c:numRef>
          </c:val>
        </c:ser>
        <c:dLbls>
          <c:showLegendKey val="0"/>
          <c:showVal val="0"/>
          <c:showCatName val="0"/>
          <c:showSerName val="0"/>
          <c:showPercent val="0"/>
          <c:showBubbleSize val="0"/>
        </c:dLbls>
        <c:gapWidth val="246"/>
        <c:overlap val="-28"/>
        <c:axId val="276588708"/>
        <c:axId val="510260366"/>
      </c:barChart>
      <c:catAx>
        <c:axId val="2765887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0260366"/>
        <c:crosses val="autoZero"/>
        <c:auto val="1"/>
        <c:lblAlgn val="ctr"/>
        <c:lblOffset val="100"/>
        <c:noMultiLvlLbl val="0"/>
      </c:catAx>
      <c:valAx>
        <c:axId val="51026036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6588708"/>
        <c:crosses val="autoZero"/>
        <c:crossBetween val="between"/>
      </c:valAx>
      <c:spPr>
        <a:noFill/>
        <a:ln>
          <a:noFill/>
        </a:ln>
        <a:effectLst/>
      </c:spPr>
    </c:plotArea>
    <c:plotVisOnly val="1"/>
    <c:dispBlanksAs val="gap"/>
    <c:showDLblsOverMax val="0"/>
    <c:extLst>
      <c:ext uri="{0b15fc19-7d7d-44ad-8c2d-2c3a37ce22c3}">
        <chartProps xmlns="https://web.wps.cn/et/2018/main" chartId="{ea8d6884-8e16-40cd-a0e7-619c57248a4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5</a:t>
            </a:r>
            <a:r>
              <a:rPr altLang="en-US"/>
              <a:t>：</a:t>
            </a:r>
            <a:r>
              <a:t>一般公共预算财政拨款支出决算变动情况</a:t>
            </a:r>
          </a:p>
        </c:rich>
      </c:tx>
      <c:layout>
        <c:manualLayout>
          <c:xMode val="edge"/>
          <c:yMode val="edge"/>
          <c:x val="0.173684210526316"/>
          <c:y val="0.0381944444444444"/>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[工作簿1]一般公共预算财政拨款支出决算变动情况!$A$1:$A$2</c:f>
              <c:strCache>
                <c:ptCount val="2"/>
                <c:pt idx="0">
                  <c:v>2023年</c:v>
                </c:pt>
                <c:pt idx="1">
                  <c:v>2024年</c:v>
                </c:pt>
              </c:strCache>
            </c:strRef>
          </c:cat>
          <c:val>
            <c:numRef>
              <c:f>[工作簿1]一般公共预算财政拨款支出决算变动情况!$B$1:$B$2</c:f>
              <c:numCache>
                <c:formatCode>General</c:formatCode>
                <c:ptCount val="2"/>
                <c:pt idx="0">
                  <c:v>1761.33</c:v>
                </c:pt>
                <c:pt idx="1">
                  <c:v>1685.94</c:v>
                </c:pt>
              </c:numCache>
            </c:numRef>
          </c:val>
        </c:ser>
        <c:dLbls>
          <c:showLegendKey val="0"/>
          <c:showVal val="0"/>
          <c:showCatName val="0"/>
          <c:showSerName val="0"/>
          <c:showPercent val="0"/>
          <c:showBubbleSize val="0"/>
        </c:dLbls>
        <c:gapWidth val="246"/>
        <c:overlap val="-28"/>
        <c:axId val="388578070"/>
        <c:axId val="607900283"/>
      </c:barChart>
      <c:catAx>
        <c:axId val="3885780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7900283"/>
        <c:crosses val="autoZero"/>
        <c:auto val="1"/>
        <c:lblAlgn val="ctr"/>
        <c:lblOffset val="100"/>
        <c:noMultiLvlLbl val="0"/>
      </c:catAx>
      <c:valAx>
        <c:axId val="60790028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578070"/>
        <c:crosses val="autoZero"/>
        <c:crossBetween val="between"/>
      </c:valAx>
      <c:spPr>
        <a:noFill/>
        <a:ln>
          <a:noFill/>
        </a:ln>
        <a:effectLst/>
      </c:spPr>
    </c:plotArea>
    <c:plotVisOnly val="1"/>
    <c:dispBlanksAs val="gap"/>
    <c:showDLblsOverMax val="0"/>
    <c:extLst>
      <c:ext uri="{0b15fc19-7d7d-44ad-8c2d-2c3a37ce22c3}">
        <chartProps xmlns="https://web.wps.cn/et/2018/main" chartId="{c45178b5-d780-400a-8b92-ec27811ac61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6</a:t>
            </a:r>
            <a:r>
              <a:rPr altLang="en-US"/>
              <a:t>：</a:t>
            </a:r>
            <a:r>
              <a:t>一般公共预算财政拨款支出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[工作簿1]一般公共预算财政拨款支出!$A$1:$A$5</c:f>
              <c:strCache>
                <c:ptCount val="5"/>
                <c:pt idx="0">
                  <c:v>公共安全支出</c:v>
                </c:pt>
                <c:pt idx="1">
                  <c:v>社会保障和就业支出</c:v>
                </c:pt>
                <c:pt idx="2">
                  <c:v>卫生健康支出</c:v>
                </c:pt>
                <c:pt idx="3">
                  <c:v>住房保障支出</c:v>
                </c:pt>
                <c:pt idx="4">
                  <c:v>一般公共服务支出</c:v>
                </c:pt>
              </c:strCache>
            </c:strRef>
          </c:cat>
          <c:val>
            <c:numRef>
              <c:f>[工作簿1]一般公共预算财政拨款支出!$B$1:$B$5</c:f>
              <c:numCache>
                <c:formatCode>General</c:formatCode>
                <c:ptCount val="5"/>
                <c:pt idx="0">
                  <c:v>1390.78</c:v>
                </c:pt>
                <c:pt idx="1">
                  <c:v>131.45</c:v>
                </c:pt>
                <c:pt idx="2">
                  <c:v>75.99</c:v>
                </c:pt>
                <c:pt idx="3">
                  <c:v>86.72</c:v>
                </c:pt>
                <c:pt idx="4">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9ef356d-7c83-4dc1-8c7d-78d5713afc4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7</a:t>
            </a:r>
            <a:r>
              <a:rPr altLang="en-US"/>
              <a:t>：</a:t>
            </a:r>
            <a:r>
              <a:t>“三公”经费财政拨款支出结构图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[工作簿1]Sheet7!$A$1:$A$2</c:f>
              <c:strCache>
                <c:ptCount val="2"/>
                <c:pt idx="0">
                  <c:v>公务接待费支出</c:v>
                </c:pt>
                <c:pt idx="1">
                  <c:v>公务用车购置及运行维护费支出</c:v>
                </c:pt>
              </c:strCache>
            </c:strRef>
          </c:cat>
          <c:val>
            <c:numRef>
              <c:f>[工作簿1]Sheet7!$B$1:$B$2</c:f>
              <c:numCache>
                <c:formatCode>General</c:formatCode>
                <c:ptCount val="2"/>
                <c:pt idx="0">
                  <c:v>0.58</c:v>
                </c:pt>
                <c:pt idx="1">
                  <c:v>12.91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8230bfb-9c40-42c9-9dfd-cc4e9784e38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853</Words>
  <Characters>4868</Characters>
  <Lines>40</Lines>
  <Paragraphs>11</Paragraphs>
  <TotalTime>1</TotalTime>
  <ScaleCrop>false</ScaleCrop>
  <LinksUpToDate>false</LinksUpToDate>
  <CharactersWithSpaces>5710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贾春燕</cp:lastModifiedBy>
  <cp:lastPrinted>2025-08-06T17:34:00Z</cp:lastPrinted>
  <dcterms:modified xsi:type="dcterms:W3CDTF">2025-09-16T03:40:45Z</dcterms:modified>
  <dc:title>四川省***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15BBEF0863B64A0C987A75F3F6F69CD1_13</vt:lpwstr>
  </property>
</Properties>
</file>