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BE558">
      <w:pPr>
        <w:rPr>
          <w:rFonts w:hint="eastAsia"/>
        </w:rPr>
      </w:pPr>
      <w:bookmarkStart w:id="0" w:name="_Toc15396597"/>
      <w:bookmarkStart w:id="1" w:name="_Toc15377425"/>
      <w:bookmarkStart w:id="2" w:name="_Toc15306267"/>
      <w:bookmarkStart w:id="3" w:name="_Toc15377193"/>
      <w:bookmarkStart w:id="4" w:name="_Toc15396475"/>
      <w:bookmarkStart w:id="5" w:name="_Toc15378441"/>
    </w:p>
    <w:p w14:paraId="09E2CD85">
      <w:pPr>
        <w:pStyle w:val="8"/>
        <w:spacing w:before="93"/>
        <w:jc w:val="center"/>
        <w:rPr>
          <w:rFonts w:ascii="Times New Roman" w:eastAsia="方正小标宋简体"/>
          <w:kern w:val="2"/>
          <w:sz w:val="44"/>
          <w:szCs w:val="44"/>
        </w:rPr>
      </w:pPr>
    </w:p>
    <w:p w14:paraId="18D5AF36">
      <w:pPr>
        <w:pStyle w:val="8"/>
        <w:spacing w:before="93"/>
        <w:jc w:val="center"/>
        <w:rPr>
          <w:rFonts w:ascii="Times New Roman" w:eastAsia="方正小标宋简体"/>
          <w:kern w:val="2"/>
          <w:sz w:val="44"/>
          <w:szCs w:val="44"/>
        </w:rPr>
      </w:pPr>
    </w:p>
    <w:p w14:paraId="470FB9DB">
      <w:pPr>
        <w:pStyle w:val="8"/>
        <w:spacing w:before="93"/>
        <w:jc w:val="center"/>
        <w:rPr>
          <w:rFonts w:ascii="Times New Roman" w:eastAsia="方正小标宋简体"/>
          <w:kern w:val="2"/>
          <w:sz w:val="44"/>
          <w:szCs w:val="44"/>
        </w:rPr>
      </w:pPr>
    </w:p>
    <w:p w14:paraId="7B2ADB87">
      <w:pPr>
        <w:pStyle w:val="8"/>
        <w:spacing w:before="93"/>
        <w:jc w:val="center"/>
        <w:rPr>
          <w:rFonts w:ascii="Times New Roman" w:eastAsia="方正小标宋简体"/>
          <w:kern w:val="2"/>
          <w:sz w:val="44"/>
          <w:szCs w:val="44"/>
        </w:rPr>
      </w:pPr>
    </w:p>
    <w:bookmarkEnd w:id="0"/>
    <w:bookmarkEnd w:id="1"/>
    <w:bookmarkEnd w:id="2"/>
    <w:bookmarkEnd w:id="3"/>
    <w:bookmarkEnd w:id="4"/>
    <w:bookmarkEnd w:id="5"/>
    <w:p w14:paraId="3D2100C3">
      <w:pPr>
        <w:pStyle w:val="1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eastAsia="方正小标宋简体"/>
          <w:kern w:val="2"/>
          <w:sz w:val="44"/>
          <w:szCs w:val="44"/>
        </w:rPr>
      </w:pPr>
      <w:bookmarkStart w:id="6" w:name="_Toc15396598"/>
      <w:bookmarkStart w:id="7" w:name="_Toc15377426"/>
      <w:bookmarkStart w:id="8" w:name="_Toc15377194"/>
      <w:bookmarkStart w:id="9" w:name="_Toc15396476"/>
      <w:bookmarkStart w:id="10" w:name="_Toc15378442"/>
      <w:r>
        <w:rPr>
          <w:rFonts w:hint="eastAsia" w:ascii="Times New Roman" w:eastAsia="方正小标宋简体"/>
          <w:kern w:val="2"/>
          <w:sz w:val="44"/>
          <w:szCs w:val="44"/>
        </w:rPr>
        <w:t>2024年度四川省</w:t>
      </w:r>
      <w:bookmarkStart w:id="11" w:name="_Toc15306268"/>
      <w:r>
        <w:rPr>
          <w:rFonts w:hint="eastAsia" w:ascii="Times New Roman" w:eastAsia="方正小标宋简体"/>
          <w:kern w:val="2"/>
          <w:sz w:val="44"/>
          <w:szCs w:val="44"/>
        </w:rPr>
        <w:t>攀枝花</w:t>
      </w:r>
      <w:r>
        <w:rPr>
          <w:rFonts w:hint="eastAsia" w:ascii="Times New Roman" w:eastAsia="方正小标宋简体"/>
          <w:kern w:val="2"/>
          <w:sz w:val="44"/>
          <w:szCs w:val="44"/>
          <w:lang w:val="en-US" w:eastAsia="zh-CN"/>
        </w:rPr>
        <w:t>西</w:t>
      </w:r>
      <w:r>
        <w:rPr>
          <w:rFonts w:hint="eastAsia" w:ascii="Times New Roman" w:eastAsia="方正小标宋简体"/>
          <w:kern w:val="2"/>
          <w:sz w:val="44"/>
          <w:szCs w:val="44"/>
        </w:rPr>
        <w:t>区人民法院</w:t>
      </w:r>
    </w:p>
    <w:p w14:paraId="25AFFCE4">
      <w:pPr>
        <w:pStyle w:val="1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仿宋_GB2312" w:cs="仿宋_GB2312"/>
          <w:sz w:val="32"/>
          <w:szCs w:val="32"/>
        </w:rPr>
      </w:pPr>
      <w:r>
        <w:rPr>
          <w:rFonts w:hint="eastAsia" w:ascii="Times New Roman" w:eastAsia="方正小标宋简体"/>
          <w:kern w:val="2"/>
          <w:sz w:val="44"/>
          <w:szCs w:val="44"/>
        </w:rPr>
        <w:t>部门决算</w:t>
      </w:r>
      <w:bookmarkEnd w:id="6"/>
      <w:bookmarkEnd w:id="7"/>
      <w:bookmarkEnd w:id="8"/>
      <w:bookmarkEnd w:id="9"/>
      <w:bookmarkEnd w:id="10"/>
      <w:bookmarkEnd w:id="11"/>
    </w:p>
    <w:p w14:paraId="4DF6B5D3">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14:paraId="764EFF1F">
      <w:pPr>
        <w:widowControl/>
        <w:jc w:val="center"/>
        <w:rPr>
          <w:rFonts w:eastAsia="黑体" w:cstheme="minorBidi"/>
          <w:sz w:val="28"/>
          <w:szCs w:val="28"/>
        </w:rPr>
      </w:pPr>
    </w:p>
    <w:p w14:paraId="0D7E53CD">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 9 月 1</w:t>
      </w:r>
      <w:r>
        <w:rPr>
          <w:rFonts w:hint="eastAsia" w:ascii="Times New Roman" w:hAnsi="Times New Roman" w:eastAsia="仿宋_GB2312" w:cs="仿宋_GB2312"/>
          <w:sz w:val="32"/>
          <w:szCs w:val="32"/>
          <w:lang w:val="en-US" w:eastAsia="zh-CN"/>
        </w:rPr>
        <w:t>6</w:t>
      </w:r>
      <w:bookmarkStart w:id="65" w:name="_GoBack"/>
      <w:bookmarkEnd w:id="65"/>
      <w:r>
        <w:rPr>
          <w:rFonts w:hint="eastAsia" w:ascii="Times New Roman" w:hAnsi="Times New Roman" w:eastAsia="仿宋_GB2312" w:cs="仿宋_GB2312"/>
          <w:sz w:val="32"/>
          <w:szCs w:val="32"/>
        </w:rPr>
        <w:t xml:space="preserve"> 日</w:t>
      </w:r>
    </w:p>
    <w:p w14:paraId="49EB2F86"/>
    <w:p w14:paraId="758C2C38">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 xml:space="preserve">第一部分 </w:t>
      </w:r>
      <w:r>
        <w:rPr>
          <w:rFonts w:hint="eastAsia" w:ascii="Times New Roman" w:hAnsi="Times New Roman" w:eastAsia="黑体" w:cs="黑体"/>
          <w:sz w:val="32"/>
          <w:szCs w:val="32"/>
          <w:lang w:val="en-US" w:eastAsia="zh-CN"/>
        </w:rPr>
        <w:t>部门</w:t>
      </w:r>
      <w:r>
        <w:rPr>
          <w:rFonts w:hint="eastAsia" w:ascii="Times New Roman" w:hAnsi="Times New Roman" w:eastAsia="黑体" w:cs="黑体"/>
          <w:sz w:val="32"/>
          <w:szCs w:val="32"/>
        </w:rPr>
        <w:t>概况</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..1</w:t>
      </w:r>
    </w:p>
    <w:p w14:paraId="083E0E60">
      <w:pPr>
        <w:pStyle w:val="14"/>
        <w:adjustRightInd w:val="0"/>
        <w:snapToGrid w:val="0"/>
        <w:spacing w:line="560" w:lineRule="exact"/>
        <w:ind w:left="0" w:leftChars="0" w:firstLine="640" w:firstLineChars="200"/>
        <w:jc w:val="left"/>
        <w:rPr>
          <w:rFonts w:hint="eastAsia" w:eastAsia="黑体" w:cs="仿宋_GB2312"/>
          <w:sz w:val="32"/>
          <w:szCs w:val="32"/>
          <w:lang w:eastAsia="zh-CN"/>
        </w:rPr>
      </w:pPr>
      <w:r>
        <w:rPr>
          <w:rFonts w:hint="eastAsia" w:eastAsia="仿宋_GB2312" w:cs="仿宋_GB2312"/>
          <w:sz w:val="32"/>
          <w:szCs w:val="32"/>
        </w:rPr>
        <w:t>一、</w:t>
      </w:r>
      <w:r>
        <w:rPr>
          <w:rFonts w:hint="eastAsia" w:eastAsia="仿宋_GB2312" w:cs="仿宋_GB2312"/>
          <w:sz w:val="32"/>
          <w:szCs w:val="32"/>
          <w:lang w:val="en-US" w:eastAsia="zh-CN"/>
        </w:rPr>
        <w:t>部门</w:t>
      </w:r>
      <w:r>
        <w:rPr>
          <w:rFonts w:hint="eastAsia" w:eastAsia="仿宋_GB2312" w:cs="仿宋_GB2312"/>
          <w:sz w:val="32"/>
          <w:szCs w:val="32"/>
        </w:rPr>
        <w:t>职责</w:t>
      </w:r>
      <w:r>
        <w:rPr>
          <w:rFonts w:eastAsia="黑体" w:cs="黑体"/>
          <w:sz w:val="32"/>
          <w:szCs w:val="32"/>
        </w:rPr>
        <w:t>…………………………………………</w:t>
      </w:r>
      <w:r>
        <w:rPr>
          <w:rFonts w:hint="eastAsia" w:eastAsia="黑体" w:cs="黑体"/>
          <w:sz w:val="32"/>
          <w:szCs w:val="32"/>
        </w:rPr>
        <w:t>..</w:t>
      </w:r>
      <w:r>
        <w:rPr>
          <w:rFonts w:hint="eastAsia" w:eastAsia="黑体" w:cs="黑体"/>
          <w:sz w:val="32"/>
          <w:szCs w:val="32"/>
          <w:lang w:val="en-US" w:eastAsia="zh-CN"/>
        </w:rPr>
        <w:t>1</w:t>
      </w:r>
    </w:p>
    <w:p w14:paraId="00557D66">
      <w:pPr>
        <w:pStyle w:val="14"/>
        <w:adjustRightInd w:val="0"/>
        <w:snapToGrid w:val="0"/>
        <w:spacing w:line="560" w:lineRule="exact"/>
        <w:ind w:left="0" w:leftChars="0" w:firstLine="640" w:firstLineChars="200"/>
        <w:jc w:val="left"/>
        <w:rPr>
          <w:rFonts w:hint="eastAsia" w:eastAsia="黑体" w:cs="仿宋_GB2312"/>
          <w:sz w:val="32"/>
          <w:szCs w:val="32"/>
          <w:lang w:eastAsia="zh-CN"/>
        </w:rPr>
      </w:pPr>
      <w:r>
        <w:rPr>
          <w:rFonts w:hint="eastAsia" w:eastAsia="仿宋_GB2312" w:cs="仿宋_GB2312"/>
          <w:sz w:val="32"/>
          <w:szCs w:val="32"/>
        </w:rPr>
        <w:t>二、机构设置</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w:t>
      </w:r>
      <w:r>
        <w:rPr>
          <w:rFonts w:hint="eastAsia" w:eastAsia="黑体" w:cs="黑体"/>
          <w:sz w:val="32"/>
          <w:szCs w:val="32"/>
          <w:lang w:val="en-US" w:eastAsia="zh-CN"/>
        </w:rPr>
        <w:t>1</w:t>
      </w:r>
    </w:p>
    <w:p w14:paraId="3C703F08">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w:t>
      </w:r>
      <w:r>
        <w:rPr>
          <w:rFonts w:hint="eastAsia" w:ascii="Times New Roman" w:hAnsi="Times New Roman" w:eastAsia="黑体" w:cs="黑体"/>
          <w:sz w:val="32"/>
          <w:szCs w:val="32"/>
          <w:lang w:val="en-US" w:eastAsia="zh-CN"/>
        </w:rPr>
        <w:t>部门</w:t>
      </w:r>
      <w:r>
        <w:rPr>
          <w:rFonts w:hint="eastAsia" w:ascii="Times New Roman" w:hAnsi="Times New Roman" w:eastAsia="黑体" w:cs="黑体"/>
          <w:sz w:val="32"/>
          <w:szCs w:val="32"/>
        </w:rPr>
        <w:t>决算情况说明</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..3</w:t>
      </w:r>
    </w:p>
    <w:p w14:paraId="698C935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黑体" w:cs="黑体"/>
          <w:sz w:val="32"/>
          <w:szCs w:val="32"/>
        </w:rPr>
        <w:t>……………………</w:t>
      </w:r>
      <w:r>
        <w:rPr>
          <w:rFonts w:hint="eastAsia" w:eastAsia="黑体" w:cs="黑体"/>
          <w:sz w:val="32"/>
          <w:szCs w:val="32"/>
        </w:rPr>
        <w:t>..3</w:t>
      </w:r>
    </w:p>
    <w:p w14:paraId="537074C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黑体" w:cs="黑体"/>
          <w:sz w:val="32"/>
          <w:szCs w:val="32"/>
        </w:rPr>
        <w:t>………………………………</w:t>
      </w:r>
      <w:r>
        <w:rPr>
          <w:rFonts w:hint="eastAsia" w:eastAsia="黑体" w:cs="黑体"/>
          <w:sz w:val="32"/>
          <w:szCs w:val="32"/>
        </w:rPr>
        <w:t>..3</w:t>
      </w:r>
    </w:p>
    <w:p w14:paraId="35D6A80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黑体" w:cs="黑体"/>
          <w:sz w:val="32"/>
          <w:szCs w:val="32"/>
        </w:rPr>
        <w:t>………………………………</w:t>
      </w:r>
      <w:r>
        <w:rPr>
          <w:rFonts w:hint="eastAsia" w:eastAsia="黑体" w:cs="黑体"/>
          <w:sz w:val="32"/>
          <w:szCs w:val="32"/>
        </w:rPr>
        <w:t>..4</w:t>
      </w:r>
    </w:p>
    <w:p w14:paraId="6B74BE94">
      <w:pPr>
        <w:pStyle w:val="14"/>
        <w:adjustRightInd w:val="0"/>
        <w:snapToGrid w:val="0"/>
        <w:spacing w:line="560" w:lineRule="exact"/>
        <w:ind w:left="0" w:leftChars="0" w:firstLine="640" w:firstLineChars="200"/>
        <w:jc w:val="left"/>
        <w:rPr>
          <w:rFonts w:hint="eastAsia" w:eastAsia="仿宋_GB2312" w:cs="仿宋_GB2312"/>
          <w:sz w:val="32"/>
          <w:szCs w:val="32"/>
          <w:lang w:val="en-US" w:eastAsia="zh-CN"/>
        </w:rPr>
      </w:pPr>
      <w:r>
        <w:rPr>
          <w:rFonts w:hint="eastAsia" w:eastAsia="仿宋_GB2312" w:cs="仿宋_GB2312"/>
          <w:sz w:val="32"/>
          <w:szCs w:val="32"/>
        </w:rPr>
        <w:t>四、财政拨款收入支出决算总体情况说明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5</w:t>
      </w:r>
    </w:p>
    <w:p w14:paraId="77EDE24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w:t>
      </w:r>
      <w:r>
        <w:rPr>
          <w:rFonts w:hint="eastAsia" w:eastAsia="仿宋_GB2312" w:cs="仿宋_GB2312"/>
          <w:sz w:val="32"/>
          <w:szCs w:val="32"/>
        </w:rPr>
        <w:t>..5</w:t>
      </w:r>
    </w:p>
    <w:p w14:paraId="259D99A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六、一般公共预算财政拨款基本支出决算情况说明..7</w:t>
      </w:r>
    </w:p>
    <w:p w14:paraId="0EDDF42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eastAsia="仿宋_GB2312" w:cs="仿宋_GB2312"/>
          <w:sz w:val="32"/>
          <w:szCs w:val="32"/>
        </w:rPr>
        <w:t>… …</w:t>
      </w:r>
      <w:r>
        <w:rPr>
          <w:rFonts w:hint="eastAsia" w:eastAsia="仿宋_GB2312" w:cs="仿宋_GB2312"/>
          <w:sz w:val="32"/>
          <w:szCs w:val="32"/>
          <w:lang w:val="en-US" w:eastAsia="zh-CN"/>
        </w:rPr>
        <w:t>.</w:t>
      </w:r>
      <w:r>
        <w:rPr>
          <w:rFonts w:hint="eastAsia" w:eastAsia="仿宋_GB2312" w:cs="仿宋_GB2312"/>
          <w:sz w:val="32"/>
          <w:szCs w:val="32"/>
        </w:rPr>
        <w:t>8</w:t>
      </w:r>
    </w:p>
    <w:p w14:paraId="214DD13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1A16B6F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0AD0963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15E540AD">
      <w:pPr>
        <w:pStyle w:val="13"/>
        <w:adjustRightInd w:val="0"/>
        <w:snapToGrid w:val="0"/>
        <w:spacing w:before="0" w:line="560" w:lineRule="exact"/>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3</w:t>
      </w:r>
    </w:p>
    <w:p w14:paraId="5185CAD2">
      <w:pPr>
        <w:pStyle w:val="13"/>
        <w:adjustRightInd w:val="0"/>
        <w:snapToGrid w:val="0"/>
        <w:spacing w:before="0" w:line="560" w:lineRule="exact"/>
        <w:jc w:val="left"/>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6</w:t>
      </w:r>
    </w:p>
    <w:p w14:paraId="1E7C3442">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26</w:t>
      </w:r>
    </w:p>
    <w:p w14:paraId="3760BC8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14:paraId="6CDD3E4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14:paraId="29ACCB9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14:paraId="73AD9C9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14:paraId="7D6F0D3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14:paraId="2703D04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14:paraId="573EC80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14:paraId="660C4A8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14:paraId="6D5B59C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14:paraId="710CB9C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14:paraId="550D315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14:paraId="5DAB01A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14:paraId="65CDC4C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14:paraId="6720756C">
      <w:pPr>
        <w:widowControl/>
        <w:spacing w:line="560" w:lineRule="exact"/>
        <w:jc w:val="left"/>
        <w:rPr>
          <w:rFonts w:eastAsia="仿宋_GB2312" w:cs="仿宋_GB2312"/>
          <w:bCs/>
          <w:kern w:val="44"/>
          <w:sz w:val="32"/>
          <w:szCs w:val="32"/>
        </w:rPr>
      </w:pPr>
      <w:bookmarkStart w:id="12" w:name="_Toc15396599"/>
      <w:bookmarkStart w:id="13" w:name="_Toc15377196"/>
      <w:r>
        <w:rPr>
          <w:rFonts w:hint="eastAsia" w:eastAsia="仿宋_GB2312" w:cs="仿宋_GB2312"/>
          <w:b/>
          <w:sz w:val="32"/>
          <w:szCs w:val="32"/>
        </w:rPr>
        <w:br w:type="page"/>
      </w:r>
    </w:p>
    <w:p w14:paraId="0F239EF7">
      <w:pPr>
        <w:pStyle w:val="5"/>
        <w:jc w:val="center"/>
        <w:rPr>
          <w:rFonts w:eastAsia="方正小标宋简体" w:cs="方正小标宋简体"/>
          <w:b w:val="0"/>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14:paraId="34CFD27E">
      <w:pPr>
        <w:pStyle w:val="5"/>
        <w:jc w:val="center"/>
        <w:rPr>
          <w:rFonts w:eastAsia="方正小标宋简体" w:cs="方正小标宋简体"/>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lang w:val="en-US" w:eastAsia="zh-CN"/>
        </w:rPr>
        <w:t>部门</w:t>
      </w:r>
      <w:r>
        <w:rPr>
          <w:rStyle w:val="28"/>
          <w:rFonts w:hint="eastAsia" w:eastAsia="方正小标宋简体" w:cs="方正小标宋简体"/>
          <w:b w:val="0"/>
          <w:bCs w:val="0"/>
        </w:rPr>
        <w:t>概况</w:t>
      </w:r>
      <w:bookmarkEnd w:id="12"/>
      <w:bookmarkEnd w:id="13"/>
    </w:p>
    <w:p w14:paraId="5363CF68">
      <w:pPr>
        <w:pStyle w:val="6"/>
        <w:numPr>
          <w:ilvl w:val="0"/>
          <w:numId w:val="1"/>
        </w:numPr>
        <w:rPr>
          <w:rFonts w:ascii="Times New Roman" w:hAnsi="Times New Roman" w:eastAsia="黑体"/>
          <w:b w:val="0"/>
        </w:rPr>
      </w:pPr>
      <w:r>
        <w:rPr>
          <w:rFonts w:hint="eastAsia" w:ascii="Times New Roman" w:hAnsi="Times New Roman" w:eastAsia="黑体"/>
          <w:b w:val="0"/>
          <w:lang w:val="en-US" w:eastAsia="zh-CN"/>
        </w:rPr>
        <w:t>部门</w:t>
      </w:r>
      <w:r>
        <w:rPr>
          <w:rFonts w:hint="eastAsia" w:ascii="Times New Roman" w:hAnsi="Times New Roman" w:eastAsia="黑体"/>
          <w:b w:val="0"/>
        </w:rPr>
        <w:t>职责</w:t>
      </w:r>
    </w:p>
    <w:p w14:paraId="32433874">
      <w:pPr>
        <w:pStyle w:val="27"/>
        <w:spacing w:line="600" w:lineRule="exact"/>
        <w:ind w:left="0" w:leftChars="0" w:firstLine="640" w:firstLineChars="2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1.依法审判法律规定由本级人民法院管辖的第一审刑事、民事、行政案件。</w:t>
      </w:r>
    </w:p>
    <w:p w14:paraId="5D23D6F8">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2.受理不服本院已经发生法律效力的判决、裁定的申诉和申请再审案件以及本院审判委员会讨论决定的再审案件。</w:t>
      </w:r>
    </w:p>
    <w:p w14:paraId="160F5063">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3.接受上级法院指令再审和交办的案件。</w:t>
      </w:r>
    </w:p>
    <w:p w14:paraId="2933EEC0">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4.依法行使司法执行权和司法决定权。</w:t>
      </w:r>
    </w:p>
    <w:p w14:paraId="56E9B847">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5.对案件审理中发现的问题提出司法建议。</w:t>
      </w:r>
    </w:p>
    <w:p w14:paraId="05A3A256">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6.组织本院法官与其他法院间的司法交流活动。</w:t>
      </w:r>
    </w:p>
    <w:p w14:paraId="3D77F4C8">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7.抓好本院的思想政治、教育培训工作；按照权限管理本院法官和其他工作人员。</w:t>
      </w:r>
    </w:p>
    <w:p w14:paraId="392C802F">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8.管理本院的经费、物质装备。</w:t>
      </w:r>
    </w:p>
    <w:p w14:paraId="239E268B">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9.结合审判业务，开展法制宣传，教育公民自觉遵守宪法、法律。</w:t>
      </w:r>
    </w:p>
    <w:p w14:paraId="03861633">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10.对人民调解组织和镇、街道司法助理员进行业务指导。</w:t>
      </w:r>
    </w:p>
    <w:p w14:paraId="6C404AE0">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11.承办其他应由本院负责的工作。</w:t>
      </w:r>
    </w:p>
    <w:p w14:paraId="397A37F6">
      <w:pPr>
        <w:pStyle w:val="6"/>
        <w:numPr>
          <w:ilvl w:val="0"/>
          <w:numId w:val="0"/>
        </w:numPr>
        <w:ind w:leftChars="0" w:firstLine="320" w:firstLineChars="100"/>
        <w:rPr>
          <w:rFonts w:hint="eastAsia" w:ascii="Times New Roman" w:hAnsi="Times New Roman" w:eastAsia="黑体"/>
          <w:b w:val="0"/>
          <w:lang w:eastAsia="zh-CN"/>
        </w:rPr>
      </w:pPr>
      <w:r>
        <w:rPr>
          <w:rFonts w:hint="eastAsia" w:ascii="Times New Roman" w:hAnsi="Times New Roman" w:eastAsia="黑体"/>
          <w:b w:val="0"/>
          <w:lang w:eastAsia="zh-CN"/>
        </w:rPr>
        <w:t>二、机构设置</w:t>
      </w:r>
    </w:p>
    <w:p w14:paraId="1AB068F5">
      <w:pPr>
        <w:pStyle w:val="27"/>
        <w:spacing w:line="600" w:lineRule="exact"/>
        <w:ind w:firstLine="960" w:firstLineChars="3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西区法院无下属二级单位。现有9个内设机构和1个派出机构，即：综合办公室、政治部（督察室）、立案庭（诉讼服务中心）、刑事审判庭、民事审判庭（未成年人与家事案件审判庭）、行政审判庭（综合审判庭）、执行局、审判管理办公室（研究室）、司法警察大队和派出机构格里坪人民法庭，其中司法警察大队和格里坪人民法庭未纳入内设机构改革。</w:t>
      </w:r>
    </w:p>
    <w:p w14:paraId="696B73D4">
      <w:pPr>
        <w:pStyle w:val="27"/>
        <w:spacing w:line="600" w:lineRule="exact"/>
        <w:ind w:firstLine="640"/>
        <w:outlineLvl w:val="1"/>
        <w:rPr>
          <w:rFonts w:hint="eastAsia" w:ascii="仿宋_GB2312" w:hAnsi="仿宋_GB2312" w:eastAsia="仿宋_GB2312" w:cs="仿宋_GB2312"/>
          <w:sz w:val="32"/>
          <w:szCs w:val="32"/>
        </w:rPr>
      </w:pPr>
    </w:p>
    <w:p w14:paraId="07FF49AD">
      <w:pPr>
        <w:widowControl/>
        <w:jc w:val="left"/>
        <w:rPr>
          <w:rFonts w:eastAsia="仿宋"/>
          <w:kern w:val="0"/>
          <w:sz w:val="32"/>
          <w:szCs w:val="32"/>
        </w:rPr>
      </w:pPr>
      <w:r>
        <w:rPr>
          <w:rFonts w:eastAsia="仿宋"/>
          <w:sz w:val="32"/>
          <w:szCs w:val="32"/>
        </w:rPr>
        <w:br w:type="page"/>
      </w:r>
    </w:p>
    <w:p w14:paraId="4AA3952D">
      <w:pPr>
        <w:pStyle w:val="5"/>
        <w:jc w:val="center"/>
        <w:rPr>
          <w:rFonts w:eastAsia="方正小标宋简体" w:cs="方正小标宋简体"/>
          <w:b w:val="0"/>
        </w:rPr>
      </w:pPr>
      <w:bookmarkStart w:id="14" w:name="_Toc15396602"/>
      <w:bookmarkStart w:id="15" w:name="_Toc15377204"/>
      <w:r>
        <w:rPr>
          <w:rFonts w:hint="eastAsia" w:eastAsia="方正小标宋简体" w:cs="方正小标宋简体"/>
          <w:b w:val="0"/>
        </w:rPr>
        <w:t>第二部分  2024年度</w:t>
      </w:r>
      <w:r>
        <w:rPr>
          <w:rFonts w:hint="eastAsia" w:eastAsia="方正小标宋简体" w:cs="方正小标宋简体"/>
          <w:b w:val="0"/>
          <w:lang w:val="en-US" w:eastAsia="zh-CN"/>
        </w:rPr>
        <w:t>部门</w:t>
      </w:r>
      <w:r>
        <w:rPr>
          <w:rFonts w:hint="eastAsia" w:eastAsia="方正小标宋简体" w:cs="方正小标宋简体"/>
          <w:b w:val="0"/>
        </w:rPr>
        <w:t>决算情况说明</w:t>
      </w:r>
      <w:bookmarkEnd w:id="14"/>
      <w:bookmarkEnd w:id="15"/>
    </w:p>
    <w:p w14:paraId="59601E8A"/>
    <w:p w14:paraId="0E0C31CB">
      <w:pPr>
        <w:pStyle w:val="27"/>
        <w:spacing w:line="600" w:lineRule="exact"/>
        <w:ind w:firstLine="640"/>
        <w:outlineLvl w:val="1"/>
        <w:rPr>
          <w:rStyle w:val="29"/>
          <w:rFonts w:ascii="Times New Roman" w:hAnsi="Times New Roman" w:eastAsia="黑体"/>
          <w:b w:val="0"/>
        </w:rPr>
      </w:pPr>
      <w:bookmarkStart w:id="16" w:name="_Toc15377205"/>
      <w:bookmarkStart w:id="17"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6"/>
      <w:bookmarkEnd w:id="17"/>
    </w:p>
    <w:p w14:paraId="69AC0004">
      <w:pPr>
        <w:pStyle w:val="27"/>
        <w:spacing w:line="600" w:lineRule="exact"/>
        <w:ind w:firstLine="640"/>
        <w:outlineLvl w:val="1"/>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年度收入、支出总计均为</w:t>
      </w:r>
      <w:r>
        <w:rPr>
          <w:rFonts w:hint="eastAsia" w:ascii="仿宋_GB2312" w:hAnsi="仿宋_GB2312" w:eastAsia="仿宋_GB2312" w:cs="仿宋_GB2312"/>
          <w:sz w:val="32"/>
          <w:szCs w:val="32"/>
          <w:lang w:val="en-US" w:eastAsia="zh-CN"/>
        </w:rPr>
        <w:t>1685.94</w:t>
      </w:r>
      <w:r>
        <w:rPr>
          <w:rFonts w:hint="eastAsia" w:eastAsia="仿宋_GB2312" w:cs="仿宋_GB2312"/>
          <w:sz w:val="32"/>
          <w:szCs w:val="32"/>
        </w:rPr>
        <w:t>万元。与2023年度相比，收入、支出总计各</w:t>
      </w:r>
      <w:r>
        <w:rPr>
          <w:rFonts w:hint="eastAsia" w:eastAsia="仿宋_GB2312" w:cs="仿宋_GB2312"/>
          <w:sz w:val="32"/>
          <w:szCs w:val="32"/>
          <w:lang w:val="en-US" w:eastAsia="zh-CN"/>
        </w:rPr>
        <w:t>减少75.39</w:t>
      </w:r>
      <w:r>
        <w:rPr>
          <w:rFonts w:hint="eastAsia" w:eastAsia="仿宋_GB2312" w:cs="仿宋_GB2312"/>
          <w:sz w:val="32"/>
          <w:szCs w:val="32"/>
        </w:rPr>
        <w:t>万元，</w:t>
      </w:r>
      <w:r>
        <w:rPr>
          <w:rFonts w:hint="eastAsia" w:eastAsia="仿宋_GB2312" w:cs="仿宋_GB2312"/>
          <w:sz w:val="32"/>
          <w:szCs w:val="32"/>
          <w:lang w:val="en-US" w:eastAsia="zh-CN"/>
        </w:rPr>
        <w:t>下降4.28</w:t>
      </w:r>
      <w:r>
        <w:rPr>
          <w:rFonts w:hint="eastAsia"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42A1F20D">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14:paraId="641ECFAF">
      <w:pPr>
        <w:ind w:firstLine="420" w:firstLineChars="200"/>
        <w:rPr>
          <w:rFonts w:eastAsia="仿宋_GB2312" w:cs="仿宋_GB2312"/>
          <w:sz w:val="32"/>
          <w:szCs w:val="32"/>
        </w:rP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34BEBD">
      <w:pPr>
        <w:pStyle w:val="27"/>
        <w:spacing w:line="600" w:lineRule="exact"/>
        <w:ind w:firstLine="640"/>
        <w:outlineLvl w:val="1"/>
        <w:rPr>
          <w:rFonts w:eastAsia="黑体"/>
          <w:sz w:val="32"/>
          <w:szCs w:val="32"/>
        </w:rPr>
      </w:pPr>
      <w:bookmarkStart w:id="18" w:name="_Toc15377206"/>
      <w:bookmarkStart w:id="19" w:name="_Toc15396604"/>
      <w:r>
        <w:rPr>
          <w:rFonts w:hint="eastAsia" w:eastAsia="黑体"/>
          <w:sz w:val="32"/>
          <w:szCs w:val="32"/>
        </w:rPr>
        <w:t>二、收入决算情况说明</w:t>
      </w:r>
      <w:bookmarkEnd w:id="18"/>
      <w:bookmarkEnd w:id="19"/>
    </w:p>
    <w:p w14:paraId="18B53F8D">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2024年度本年收入合计</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1278.51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75.83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政府性基金预算财政拨款收入0万元，占0%；国有资本经营预算财政拨款收入0万元，占0%；上级补助收入0万元，占0%；事业收入0万元，占0%；经营收入0万元，占0%；附属单位上缴收入0万元，占0%；其他收入</w:t>
      </w:r>
      <w:r>
        <w:rPr>
          <w:rFonts w:hint="eastAsia" w:ascii="仿宋_GB2312" w:hAnsi="仿宋_GB2312" w:eastAsia="仿宋_GB2312" w:cs="仿宋_GB2312"/>
          <w:sz w:val="32"/>
          <w:szCs w:val="32"/>
          <w:lang w:val="en-US" w:eastAsia="zh-CN"/>
        </w:rPr>
        <w:t>407.43</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24.17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7A60DA5">
      <w:pPr>
        <w:pStyle w:val="8"/>
        <w:rPr>
          <w:rFonts w:hint="eastAsia"/>
          <w:lang w:eastAsia="zh-CN"/>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024809">
      <w:pPr>
        <w:pStyle w:val="27"/>
        <w:spacing w:line="600" w:lineRule="exact"/>
        <w:ind w:firstLine="640"/>
        <w:jc w:val="left"/>
        <w:outlineLvl w:val="1"/>
        <w:rPr>
          <w:rFonts w:eastAsia="仿宋_GB2312" w:cs="仿宋_GB2312"/>
          <w:b/>
          <w:bCs/>
          <w:sz w:val="32"/>
          <w:szCs w:val="32"/>
        </w:rPr>
      </w:pPr>
    </w:p>
    <w:p w14:paraId="3A2FCF6B">
      <w:pPr>
        <w:ind w:firstLine="800" w:firstLineChars="250"/>
        <w:rPr>
          <w:rFonts w:eastAsia="仿宋_GB2312" w:cs="仿宋_GB2312"/>
          <w:sz w:val="32"/>
          <w:szCs w:val="32"/>
        </w:rPr>
      </w:pPr>
    </w:p>
    <w:p w14:paraId="1B052427">
      <w:pPr>
        <w:pStyle w:val="27"/>
        <w:spacing w:line="600" w:lineRule="exact"/>
        <w:ind w:firstLine="640"/>
        <w:outlineLvl w:val="1"/>
        <w:rPr>
          <w:rStyle w:val="29"/>
          <w:rFonts w:ascii="Times New Roman" w:hAnsi="Times New Roman" w:eastAsia="黑体"/>
          <w:b w:val="0"/>
        </w:rPr>
      </w:pPr>
      <w:bookmarkStart w:id="20" w:name="_Toc15396605"/>
      <w:bookmarkStart w:id="21" w:name="_Toc15377207"/>
      <w:r>
        <w:rPr>
          <w:rFonts w:hint="eastAsia" w:eastAsia="黑体"/>
          <w:sz w:val="32"/>
          <w:szCs w:val="32"/>
        </w:rPr>
        <w:t>三、支</w:t>
      </w:r>
      <w:r>
        <w:rPr>
          <w:rStyle w:val="29"/>
          <w:rFonts w:hint="eastAsia" w:ascii="Times New Roman" w:hAnsi="Times New Roman" w:eastAsia="黑体"/>
          <w:b w:val="0"/>
        </w:rPr>
        <w:t>出决算情况说明</w:t>
      </w:r>
      <w:bookmarkEnd w:id="20"/>
      <w:bookmarkEnd w:id="21"/>
    </w:p>
    <w:p w14:paraId="46BE273E">
      <w:pPr>
        <w:ind w:firstLine="640" w:firstLineChars="2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1685.94</w:t>
      </w:r>
      <w:r>
        <w:rPr>
          <w:rFonts w:hint="default"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一般公共服务支出1万元，占0.5%；</w:t>
      </w:r>
      <w:r>
        <w:rPr>
          <w:rFonts w:hint="default" w:ascii="仿宋_GB2312" w:hAnsi="仿宋_GB2312" w:eastAsia="仿宋_GB2312" w:cs="仿宋_GB2312"/>
          <w:sz w:val="32"/>
          <w:szCs w:val="32"/>
          <w:lang w:eastAsia="zh-CN"/>
        </w:rPr>
        <w:t>公共安全</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1390.78</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82.48</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社会保障和就业</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131.45</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卫生健康</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75.99</w:t>
      </w:r>
      <w:r>
        <w:rPr>
          <w:rFonts w:hint="default"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城乡社区</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住房保障</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86.72</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；灾害防治及应急管理</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w:t>
      </w:r>
    </w:p>
    <w:p w14:paraId="0B82C953">
      <w:pPr>
        <w:ind w:firstLine="800" w:firstLineChars="250"/>
        <w:rPr>
          <w:rFonts w:eastAsia="仿宋_GB2312" w:cs="仿宋_GB2312"/>
          <w:sz w:val="32"/>
          <w:szCs w:val="32"/>
        </w:rPr>
      </w:pPr>
      <w:r>
        <w:rPr>
          <w:rFonts w:hint="eastAsia" w:eastAsia="仿宋_GB2312" w:cs="仿宋_GB2312"/>
          <w:sz w:val="32"/>
          <w:szCs w:val="32"/>
        </w:rPr>
        <w:t>（图3：支出决算结构图）（饼状图）</w:t>
      </w:r>
    </w:p>
    <w:p w14:paraId="4CEB4CAD">
      <w:pPr>
        <w:ind w:firstLine="800" w:firstLineChars="250"/>
        <w:rPr>
          <w:rFonts w:eastAsia="仿宋_GB2312" w:cs="仿宋_GB2312"/>
          <w:sz w:val="32"/>
          <w:szCs w:val="32"/>
        </w:rPr>
      </w:pPr>
    </w:p>
    <w:p w14:paraId="2CF2CA92">
      <w:pPr>
        <w:pStyle w:val="8"/>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F94608">
      <w:pPr>
        <w:spacing w:line="600" w:lineRule="exact"/>
        <w:ind w:firstLine="640" w:firstLineChars="200"/>
        <w:outlineLvl w:val="1"/>
        <w:rPr>
          <w:rStyle w:val="29"/>
          <w:rFonts w:ascii="Times New Roman" w:hAnsi="Times New Roman" w:eastAsia="黑体"/>
          <w:b w:val="0"/>
        </w:rPr>
      </w:pPr>
      <w:bookmarkStart w:id="22" w:name="_Toc15377208"/>
      <w:bookmarkStart w:id="23"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22"/>
      <w:bookmarkEnd w:id="23"/>
    </w:p>
    <w:p w14:paraId="76644CCD">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lang w:val="en-US" w:eastAsia="zh-CN"/>
        </w:rPr>
        <w:t>1278.51</w:t>
      </w:r>
      <w:r>
        <w:rPr>
          <w:rFonts w:hint="eastAsia" w:eastAsia="仿宋_GB2312" w:cs="仿宋_GB2312"/>
          <w:sz w:val="32"/>
          <w:szCs w:val="32"/>
        </w:rPr>
        <w:t>万元。与2023年度相比，财政拨款收入总计、支出总计各</w:t>
      </w:r>
      <w:r>
        <w:rPr>
          <w:rFonts w:hint="eastAsia" w:eastAsia="仿宋_GB2312" w:cs="仿宋_GB2312"/>
          <w:sz w:val="32"/>
          <w:szCs w:val="32"/>
          <w:lang w:val="en-US" w:eastAsia="zh-CN"/>
        </w:rPr>
        <w:t>减少129.17</w:t>
      </w:r>
      <w:r>
        <w:rPr>
          <w:rFonts w:hint="eastAsia" w:eastAsia="仿宋_GB2312" w:cs="仿宋_GB2312"/>
          <w:sz w:val="32"/>
          <w:szCs w:val="32"/>
        </w:rPr>
        <w:t>万元，</w:t>
      </w:r>
      <w:r>
        <w:rPr>
          <w:rFonts w:hint="eastAsia" w:eastAsia="仿宋_GB2312" w:cs="仿宋_GB2312"/>
          <w:sz w:val="32"/>
          <w:szCs w:val="32"/>
          <w:lang w:val="en-US" w:eastAsia="zh-CN"/>
        </w:rPr>
        <w:t>下降9.18</w:t>
      </w:r>
      <w:r>
        <w:rPr>
          <w:rFonts w:hint="eastAsia"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5C3B10F0">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（图4：财政拨款收、支决算总计变动情况）（柱状图）</w:t>
      </w:r>
      <w:bookmarkStart w:id="24" w:name="_Toc15396607"/>
      <w:bookmarkStart w:id="25" w:name="_Toc15377209"/>
    </w:p>
    <w:p w14:paraId="36A098CF">
      <w:pPr>
        <w:pStyle w:val="8"/>
      </w:pPr>
      <w:r>
        <w:drawing>
          <wp:inline distT="0" distB="0" distL="114300" distR="114300">
            <wp:extent cx="4826000" cy="2743200"/>
            <wp:effectExtent l="4445" t="4445" r="825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3275A">
      <w:pPr>
        <w:pStyle w:val="2"/>
      </w:pPr>
    </w:p>
    <w:p w14:paraId="1B80D985">
      <w:pPr>
        <w:pStyle w:val="3"/>
      </w:pPr>
    </w:p>
    <w:p w14:paraId="1391D2E1">
      <w:pPr>
        <w:spacing w:line="600" w:lineRule="exact"/>
        <w:ind w:firstLine="640" w:firstLineChars="200"/>
        <w:outlineLvl w:val="1"/>
        <w:rPr>
          <w:rStyle w:val="29"/>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4"/>
      <w:bookmarkEnd w:id="25"/>
    </w:p>
    <w:p w14:paraId="1119235A">
      <w:pPr>
        <w:spacing w:line="600" w:lineRule="exact"/>
        <w:ind w:firstLine="643" w:firstLineChars="200"/>
        <w:outlineLvl w:val="2"/>
        <w:rPr>
          <w:rFonts w:eastAsia="楷体_GB2312" w:cs="楷体_GB2312"/>
          <w:b/>
          <w:sz w:val="32"/>
          <w:szCs w:val="32"/>
        </w:rPr>
      </w:pPr>
      <w:bookmarkStart w:id="26" w:name="_Toc15377210"/>
      <w:r>
        <w:rPr>
          <w:rFonts w:hint="eastAsia" w:eastAsia="楷体_GB2312" w:cs="楷体_GB2312"/>
          <w:b/>
          <w:sz w:val="32"/>
          <w:szCs w:val="32"/>
        </w:rPr>
        <w:t>（一）一般公共预算财政拨款支出决算总体情况</w:t>
      </w:r>
      <w:bookmarkEnd w:id="26"/>
    </w:p>
    <w:p w14:paraId="0F043AF3">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%。与2023年度相比，一般公共预算财政拨款支出</w:t>
      </w:r>
      <w:r>
        <w:rPr>
          <w:rFonts w:hint="eastAsia" w:ascii="仿宋_GB2312" w:hAnsi="仿宋_GB2312" w:eastAsia="仿宋_GB2312" w:cs="仿宋_GB2312"/>
          <w:sz w:val="32"/>
          <w:szCs w:val="32"/>
          <w:lang w:val="en-US" w:eastAsia="zh-CN"/>
        </w:rPr>
        <w:t>减少75.39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下降4.28</w:t>
      </w:r>
      <w:r>
        <w:rPr>
          <w:rFonts w:hint="eastAsia" w:ascii="仿宋_GB2312" w:hAnsi="仿宋_GB2312"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1A7EC90C">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14:paraId="05854095">
      <w:pPr>
        <w:pStyle w:val="2"/>
      </w:pPr>
    </w:p>
    <w:p w14:paraId="6E1A2A18">
      <w:pPr>
        <w:pStyle w:val="3"/>
      </w:pPr>
      <w:r>
        <w:drawing>
          <wp:inline distT="0" distB="0" distL="114300" distR="114300">
            <wp:extent cx="4826000" cy="2743200"/>
            <wp:effectExtent l="4445" t="4445" r="825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64AFEF">
      <w:pPr>
        <w:spacing w:line="600" w:lineRule="exact"/>
        <w:ind w:firstLine="643" w:firstLineChars="200"/>
        <w:outlineLvl w:val="2"/>
        <w:rPr>
          <w:rFonts w:eastAsia="楷体_GB2312" w:cs="楷体_GB2312"/>
          <w:b/>
          <w:sz w:val="32"/>
          <w:szCs w:val="32"/>
        </w:rPr>
      </w:pPr>
      <w:bookmarkStart w:id="27" w:name="_Toc15377211"/>
      <w:r>
        <w:rPr>
          <w:rFonts w:hint="eastAsia" w:eastAsia="楷体_GB2312" w:cs="楷体_GB2312"/>
          <w:b/>
          <w:sz w:val="32"/>
          <w:szCs w:val="32"/>
        </w:rPr>
        <w:t>（二）一般公共预算财政拨款支出决算结构情况</w:t>
      </w:r>
      <w:bookmarkEnd w:id="27"/>
    </w:p>
    <w:p w14:paraId="1188CA9E">
      <w:pPr>
        <w:spacing w:line="600" w:lineRule="exact"/>
        <w:ind w:firstLine="640"/>
        <w:rPr>
          <w:rFonts w:eastAsia="仿宋_GB2312" w:cs="仿宋_GB2312"/>
          <w:b/>
          <w:bCs/>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w:t>
      </w:r>
      <w:r>
        <w:rPr>
          <w:rFonts w:hint="eastAsia" w:ascii="仿宋_GB2312" w:hAnsi="仿宋_GB2312" w:eastAsia="仿宋_GB2312" w:cs="仿宋_GB2312"/>
          <w:sz w:val="32"/>
          <w:szCs w:val="32"/>
          <w:lang w:val="en-US" w:eastAsia="zh-CN"/>
        </w:rPr>
        <w:t>一般公共服务支出1万元，占0.5%；</w:t>
      </w:r>
      <w:r>
        <w:rPr>
          <w:rFonts w:hint="default" w:ascii="仿宋_GB2312" w:hAnsi="仿宋_GB2312" w:eastAsia="仿宋_GB2312" w:cs="仿宋_GB2312"/>
          <w:sz w:val="32"/>
          <w:szCs w:val="32"/>
          <w:lang w:eastAsia="zh-CN"/>
        </w:rPr>
        <w:t>公共安全</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1390.78</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82.48</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社会保障和就业</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131.45</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卫生健康</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75.99</w:t>
      </w:r>
      <w:r>
        <w:rPr>
          <w:rFonts w:hint="default"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住房保障</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86.72</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w:t>
      </w:r>
    </w:p>
    <w:p w14:paraId="17E1A7E0">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14:paraId="2E36A62A">
      <w:pPr>
        <w:pStyle w:val="2"/>
      </w:pPr>
      <w:r>
        <w:drawing>
          <wp:inline distT="0" distB="0" distL="114300" distR="114300">
            <wp:extent cx="4826000" cy="2743200"/>
            <wp:effectExtent l="4445" t="4445" r="825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4ADC87">
      <w:pPr>
        <w:spacing w:line="600" w:lineRule="exact"/>
        <w:ind w:firstLine="643" w:firstLineChars="200"/>
        <w:outlineLvl w:val="2"/>
        <w:rPr>
          <w:rFonts w:eastAsia="楷体_GB2312" w:cs="楷体_GB2312"/>
          <w:b/>
          <w:sz w:val="32"/>
          <w:szCs w:val="32"/>
        </w:rPr>
      </w:pPr>
      <w:bookmarkStart w:id="28" w:name="_Toc15377212"/>
    </w:p>
    <w:p w14:paraId="16E50848">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（三）一般公共预算财政拨款支出决算具体情况</w:t>
      </w:r>
      <w:bookmarkEnd w:id="28"/>
    </w:p>
    <w:p w14:paraId="12481E7C">
      <w:pPr>
        <w:spacing w:line="600" w:lineRule="exact"/>
        <w:ind w:firstLine="640"/>
        <w:rPr>
          <w:rFonts w:eastAsia="仿宋_GB2312" w:cs="仿宋_GB2312"/>
          <w:sz w:val="32"/>
          <w:szCs w:val="32"/>
        </w:rPr>
      </w:pPr>
      <w:bookmarkStart w:id="29" w:name="_Toc15377213"/>
      <w:bookmarkStart w:id="30" w:name="_Toc15378460"/>
      <w:bookmarkStart w:id="31"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w:t>
      </w:r>
      <w:r>
        <w:rPr>
          <w:rFonts w:hint="eastAsia" w:eastAsia="仿宋_GB2312" w:cs="仿宋_GB2312"/>
          <w:sz w:val="32"/>
          <w:szCs w:val="32"/>
        </w:rPr>
        <w:t>完成预算100%。其中：</w:t>
      </w:r>
      <w:bookmarkEnd w:id="29"/>
      <w:bookmarkEnd w:id="30"/>
      <w:bookmarkEnd w:id="31"/>
    </w:p>
    <w:p w14:paraId="7FA6C715">
      <w:pPr>
        <w:spacing w:line="600" w:lineRule="exact"/>
        <w:ind w:firstLine="640"/>
        <w:rPr>
          <w:rFonts w:eastAsia="仿宋_GB2312" w:cs="仿宋_GB2312"/>
          <w:sz w:val="32"/>
          <w:szCs w:val="32"/>
        </w:rPr>
      </w:pPr>
      <w:r>
        <w:rPr>
          <w:rFonts w:hint="eastAsia" w:eastAsia="仿宋_GB2312" w:cs="仿宋_GB2312"/>
          <w:sz w:val="32"/>
          <w:szCs w:val="32"/>
        </w:rPr>
        <w:t>1.公共安全支出204（类）05（款）01、02、50、99（项）：支出决算为</w:t>
      </w:r>
      <w:r>
        <w:rPr>
          <w:rFonts w:hint="eastAsia" w:eastAsia="仿宋_GB2312" w:cs="仿宋_GB2312"/>
          <w:sz w:val="32"/>
          <w:szCs w:val="32"/>
          <w:lang w:val="en-US" w:eastAsia="zh-CN"/>
        </w:rPr>
        <w:t>1390.78</w:t>
      </w:r>
      <w:r>
        <w:rPr>
          <w:rFonts w:hint="eastAsia" w:eastAsia="仿宋_GB2312" w:cs="仿宋_GB2312"/>
          <w:sz w:val="32"/>
          <w:szCs w:val="32"/>
        </w:rPr>
        <w:t>万元，完成预算100%。</w:t>
      </w:r>
    </w:p>
    <w:p w14:paraId="029964F3">
      <w:pPr>
        <w:spacing w:line="600" w:lineRule="exact"/>
        <w:ind w:firstLine="640"/>
        <w:rPr>
          <w:rFonts w:eastAsia="仿宋_GB2312" w:cs="仿宋_GB2312"/>
          <w:sz w:val="32"/>
          <w:szCs w:val="32"/>
        </w:rPr>
      </w:pPr>
      <w:r>
        <w:rPr>
          <w:rFonts w:hint="eastAsia" w:eastAsia="仿宋_GB2312" w:cs="仿宋_GB2312"/>
          <w:sz w:val="32"/>
          <w:szCs w:val="32"/>
        </w:rPr>
        <w:t>2. 社会保障和就业支出208（类）05（款）01、05（项）: 支出决算为</w:t>
      </w:r>
      <w:r>
        <w:rPr>
          <w:rFonts w:hint="eastAsia" w:eastAsia="仿宋_GB2312" w:cs="仿宋_GB2312"/>
          <w:sz w:val="32"/>
          <w:szCs w:val="32"/>
          <w:lang w:val="en-US" w:eastAsia="zh-CN"/>
        </w:rPr>
        <w:t>131.45</w:t>
      </w:r>
      <w:r>
        <w:rPr>
          <w:rFonts w:hint="eastAsia" w:eastAsia="仿宋_GB2312" w:cs="仿宋_GB2312"/>
          <w:sz w:val="32"/>
          <w:szCs w:val="32"/>
        </w:rPr>
        <w:t>万元，完成预算100%。</w:t>
      </w:r>
    </w:p>
    <w:p w14:paraId="24887391">
      <w:pPr>
        <w:spacing w:line="600" w:lineRule="exact"/>
        <w:ind w:firstLine="640"/>
        <w:rPr>
          <w:rFonts w:eastAsia="仿宋_GB2312" w:cs="仿宋_GB2312"/>
          <w:sz w:val="32"/>
          <w:szCs w:val="32"/>
        </w:rPr>
      </w:pPr>
      <w:r>
        <w:rPr>
          <w:rFonts w:hint="eastAsia" w:eastAsia="仿宋_GB2312" w:cs="仿宋_GB2312"/>
          <w:sz w:val="32"/>
          <w:szCs w:val="32"/>
        </w:rPr>
        <w:t>3. 卫生健康支出210（类）11（款）01、03（项）：支出决算为</w:t>
      </w:r>
      <w:r>
        <w:rPr>
          <w:rFonts w:hint="eastAsia" w:eastAsia="仿宋_GB2312" w:cs="仿宋_GB2312"/>
          <w:sz w:val="32"/>
          <w:szCs w:val="32"/>
          <w:lang w:val="en-US" w:eastAsia="zh-CN"/>
        </w:rPr>
        <w:t>75.99</w:t>
      </w:r>
      <w:r>
        <w:rPr>
          <w:rFonts w:hint="eastAsia" w:eastAsia="仿宋_GB2312" w:cs="仿宋_GB2312"/>
          <w:sz w:val="32"/>
          <w:szCs w:val="32"/>
        </w:rPr>
        <w:t>万元，完成预算100%。</w:t>
      </w:r>
    </w:p>
    <w:p w14:paraId="05A557E1">
      <w:pPr>
        <w:spacing w:line="600" w:lineRule="exact"/>
        <w:ind w:firstLine="640"/>
        <w:rPr>
          <w:rFonts w:eastAsia="仿宋_GB2312" w:cs="仿宋_GB2312"/>
          <w:sz w:val="32"/>
          <w:szCs w:val="32"/>
        </w:rPr>
      </w:pPr>
      <w:r>
        <w:rPr>
          <w:rFonts w:hint="eastAsia" w:eastAsia="仿宋_GB2312" w:cs="仿宋_GB2312"/>
          <w:sz w:val="32"/>
          <w:szCs w:val="32"/>
        </w:rPr>
        <w:t>4. 住房保障支出221（类）02（款）01（项）：支出决算为</w:t>
      </w:r>
      <w:r>
        <w:rPr>
          <w:rFonts w:hint="eastAsia" w:eastAsia="仿宋_GB2312" w:cs="仿宋_GB2312"/>
          <w:sz w:val="32"/>
          <w:szCs w:val="32"/>
          <w:lang w:val="en-US" w:eastAsia="zh-CN"/>
        </w:rPr>
        <w:t>86.72</w:t>
      </w:r>
      <w:r>
        <w:rPr>
          <w:rFonts w:hint="eastAsia" w:eastAsia="仿宋_GB2312" w:cs="仿宋_GB2312"/>
          <w:sz w:val="32"/>
          <w:szCs w:val="32"/>
        </w:rPr>
        <w:t>万元，完成预算100%。</w:t>
      </w:r>
    </w:p>
    <w:p w14:paraId="3E9FC11C">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5.一般公共共服务支出201</w:t>
      </w:r>
      <w:r>
        <w:rPr>
          <w:rFonts w:hint="eastAsia" w:eastAsia="仿宋_GB2312" w:cs="仿宋_GB2312"/>
          <w:sz w:val="32"/>
          <w:szCs w:val="32"/>
        </w:rPr>
        <w:t>（类）</w:t>
      </w:r>
      <w:r>
        <w:rPr>
          <w:rFonts w:hint="eastAsia" w:eastAsia="仿宋_GB2312" w:cs="仿宋_GB2312"/>
          <w:sz w:val="32"/>
          <w:szCs w:val="32"/>
          <w:lang w:val="en-US" w:eastAsia="zh-CN"/>
        </w:rPr>
        <w:t>36</w:t>
      </w:r>
      <w:r>
        <w:rPr>
          <w:rFonts w:hint="eastAsia" w:eastAsia="仿宋_GB2312" w:cs="仿宋_GB2312"/>
          <w:sz w:val="32"/>
          <w:szCs w:val="32"/>
        </w:rPr>
        <w:t>（款）</w:t>
      </w:r>
      <w:r>
        <w:rPr>
          <w:rFonts w:hint="eastAsia" w:eastAsia="仿宋_GB2312" w:cs="仿宋_GB2312"/>
          <w:sz w:val="32"/>
          <w:szCs w:val="32"/>
          <w:lang w:val="en-US" w:eastAsia="zh-CN"/>
        </w:rPr>
        <w:t>02</w:t>
      </w:r>
      <w:r>
        <w:rPr>
          <w:rFonts w:hint="eastAsia" w:eastAsia="仿宋_GB2312" w:cs="仿宋_GB2312"/>
          <w:sz w:val="32"/>
          <w:szCs w:val="32"/>
        </w:rPr>
        <w:t>（项）：支出决算为</w:t>
      </w:r>
      <w:r>
        <w:rPr>
          <w:rFonts w:hint="eastAsia" w:eastAsia="仿宋_GB2312" w:cs="仿宋_GB2312"/>
          <w:sz w:val="32"/>
          <w:szCs w:val="32"/>
          <w:lang w:val="en-US" w:eastAsia="zh-CN"/>
        </w:rPr>
        <w:t>1</w:t>
      </w:r>
      <w:r>
        <w:rPr>
          <w:rFonts w:hint="eastAsia" w:eastAsia="仿宋_GB2312" w:cs="仿宋_GB2312"/>
          <w:sz w:val="32"/>
          <w:szCs w:val="32"/>
        </w:rPr>
        <w:t>万元，完成预算100%。</w:t>
      </w:r>
    </w:p>
    <w:p w14:paraId="62CAD101">
      <w:pPr>
        <w:tabs>
          <w:tab w:val="right" w:pos="8306"/>
        </w:tabs>
        <w:spacing w:line="600" w:lineRule="exact"/>
        <w:ind w:firstLine="640"/>
        <w:outlineLvl w:val="1"/>
        <w:rPr>
          <w:rStyle w:val="29"/>
          <w:rFonts w:ascii="Times New Roman" w:hAnsi="Times New Roman"/>
        </w:rPr>
      </w:pPr>
      <w:bookmarkStart w:id="32" w:name="_Toc15396608"/>
      <w:bookmarkStart w:id="33" w:name="_Toc15377214"/>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2"/>
      <w:bookmarkEnd w:id="33"/>
      <w:r>
        <w:rPr>
          <w:rStyle w:val="29"/>
          <w:rFonts w:ascii="Times New Roman" w:hAnsi="Times New Roman" w:eastAsia="黑体"/>
          <w:b w:val="0"/>
        </w:rPr>
        <w:tab/>
      </w:r>
    </w:p>
    <w:p w14:paraId="7BDBA6DE">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lang w:val="en-US" w:eastAsia="zh-CN"/>
        </w:rPr>
        <w:t>1127.15</w:t>
      </w:r>
      <w:r>
        <w:rPr>
          <w:rFonts w:hint="eastAsia" w:ascii="仿宋_GB2312" w:hAnsi="仿宋_GB2312" w:eastAsia="仿宋_GB2312" w:cs="仿宋_GB2312"/>
          <w:sz w:val="32"/>
          <w:szCs w:val="32"/>
        </w:rPr>
        <w:t>万</w:t>
      </w:r>
      <w:r>
        <w:rPr>
          <w:rFonts w:hint="eastAsia" w:eastAsia="仿宋_GB2312" w:cs="仿宋_GB2312"/>
          <w:sz w:val="32"/>
          <w:szCs w:val="32"/>
        </w:rPr>
        <w:t>元，其中：</w:t>
      </w:r>
    </w:p>
    <w:p w14:paraId="0939F9D5">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lang w:val="en-US" w:eastAsia="zh-CN"/>
        </w:rPr>
        <w:t>986.98</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元，主要包括：基本工资、津贴补贴、奖金、机关事业单位基本养老保险缴费、职工基本医疗保险缴费、公务员医疗补助缴费、他社会保障缴费、住房公积金、其他工资福利支出、抚恤金、生活补助、奖励金等。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lang w:val="en-US" w:eastAsia="zh-CN"/>
        </w:rPr>
        <w:t>140.17</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元，主要包括：办公费、水费、电费、邮电费、差旅费、维修（护）费、培训费、公务接待费、劳务费、工会经费、福利费、公务用车运行维护费、其他交通费、其他商品和服务支出。</w:t>
      </w:r>
    </w:p>
    <w:p w14:paraId="7C19C80B">
      <w:pPr>
        <w:spacing w:line="600" w:lineRule="exact"/>
        <w:ind w:firstLine="640"/>
        <w:rPr>
          <w:rFonts w:eastAsia="仿宋_GB2312" w:cs="仿宋_GB2312"/>
          <w:sz w:val="32"/>
          <w:szCs w:val="32"/>
        </w:rPr>
      </w:pPr>
    </w:p>
    <w:p w14:paraId="4313BB99">
      <w:pPr>
        <w:spacing w:line="600" w:lineRule="exact"/>
        <w:ind w:firstLine="640"/>
        <w:outlineLvl w:val="1"/>
        <w:rPr>
          <w:rStyle w:val="29"/>
          <w:rFonts w:ascii="Times New Roman" w:hAnsi="Times New Roman" w:eastAsia="黑体"/>
          <w:b w:val="0"/>
        </w:rPr>
      </w:pPr>
      <w:bookmarkStart w:id="34" w:name="_Toc15377215"/>
      <w:bookmarkStart w:id="35"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4"/>
      <w:bookmarkEnd w:id="35"/>
    </w:p>
    <w:p w14:paraId="6C256BAF">
      <w:pPr>
        <w:spacing w:line="600" w:lineRule="exact"/>
        <w:ind w:firstLine="643" w:firstLineChars="200"/>
        <w:outlineLvl w:val="2"/>
        <w:rPr>
          <w:rFonts w:eastAsia="楷体_GB2312" w:cs="楷体_GB2312"/>
          <w:b/>
          <w:sz w:val="32"/>
          <w:szCs w:val="32"/>
        </w:rPr>
      </w:pPr>
      <w:bookmarkStart w:id="36" w:name="_Toc15377216"/>
      <w:r>
        <w:rPr>
          <w:rFonts w:hint="eastAsia" w:eastAsia="楷体_GB2312" w:cs="楷体_GB2312"/>
          <w:b/>
          <w:sz w:val="32"/>
          <w:szCs w:val="32"/>
        </w:rPr>
        <w:t>（一）“三公”经费财政拨款支出决算总体情况说明</w:t>
      </w:r>
      <w:bookmarkEnd w:id="36"/>
    </w:p>
    <w:p w14:paraId="6E33368B">
      <w:pPr>
        <w:spacing w:line="600" w:lineRule="exact"/>
        <w:ind w:firstLine="640"/>
        <w:rPr>
          <w:rFonts w:eastAsia="仿宋_GB2312" w:cs="仿宋_GB2312"/>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lang w:val="en-US" w:eastAsia="zh-CN"/>
        </w:rPr>
        <w:t>13.49</w:t>
      </w:r>
      <w:r>
        <w:rPr>
          <w:rFonts w:hint="eastAsia" w:ascii="仿宋_GB2312" w:hAnsi="仿宋_GB2312" w:eastAsia="仿宋_GB2312" w:cs="仿宋_GB2312"/>
          <w:sz w:val="32"/>
          <w:szCs w:val="32"/>
        </w:rPr>
        <w:t>万元，完成预算100%，</w:t>
      </w:r>
      <w:r>
        <w:rPr>
          <w:rFonts w:hint="eastAsia" w:eastAsia="仿宋_GB2312" w:cs="仿宋_GB2312"/>
          <w:sz w:val="32"/>
          <w:szCs w:val="32"/>
        </w:rPr>
        <w:t>较上年度</w:t>
      </w:r>
      <w:r>
        <w:rPr>
          <w:rFonts w:hint="eastAsia" w:eastAsia="仿宋_GB2312" w:cs="仿宋_GB2312"/>
          <w:sz w:val="32"/>
          <w:szCs w:val="32"/>
          <w:lang w:val="en-US" w:eastAsia="zh-CN"/>
        </w:rPr>
        <w:t>减少0.52</w:t>
      </w:r>
      <w:r>
        <w:rPr>
          <w:rFonts w:hint="eastAsia" w:eastAsia="仿宋_GB2312" w:cs="仿宋_GB2312"/>
          <w:sz w:val="32"/>
          <w:szCs w:val="32"/>
        </w:rPr>
        <w:t>万元，</w:t>
      </w:r>
      <w:r>
        <w:rPr>
          <w:rFonts w:hint="eastAsia" w:eastAsia="仿宋_GB2312" w:cs="仿宋_GB2312"/>
          <w:sz w:val="32"/>
          <w:szCs w:val="32"/>
          <w:lang w:val="en-US" w:eastAsia="zh-CN"/>
        </w:rPr>
        <w:t>下降3.71</w:t>
      </w:r>
      <w:r>
        <w:rPr>
          <w:rFonts w:hint="eastAsia" w:eastAsia="仿宋_GB2312" w:cs="仿宋_GB2312"/>
          <w:sz w:val="32"/>
          <w:szCs w:val="32"/>
        </w:rPr>
        <w:t>%。决算数</w:t>
      </w:r>
      <w:r>
        <w:rPr>
          <w:rFonts w:hint="eastAsia" w:eastAsia="仿宋_GB2312" w:cs="仿宋_GB2312"/>
          <w:sz w:val="32"/>
          <w:szCs w:val="32"/>
          <w:lang w:val="en-US" w:eastAsia="zh-CN"/>
        </w:rPr>
        <w:t>等于</w:t>
      </w:r>
      <w:r>
        <w:rPr>
          <w:rFonts w:hint="eastAsia" w:eastAsia="仿宋_GB2312" w:cs="仿宋_GB2312"/>
          <w:sz w:val="32"/>
          <w:szCs w:val="32"/>
        </w:rPr>
        <w:t>预算数。</w:t>
      </w:r>
    </w:p>
    <w:p w14:paraId="6184E095">
      <w:pPr>
        <w:spacing w:line="600" w:lineRule="exact"/>
        <w:ind w:firstLine="643" w:firstLineChars="200"/>
        <w:outlineLvl w:val="2"/>
        <w:rPr>
          <w:rFonts w:eastAsia="楷体_GB2312" w:cs="楷体_GB2312"/>
          <w:b/>
          <w:sz w:val="32"/>
          <w:szCs w:val="32"/>
        </w:rPr>
      </w:pPr>
      <w:bookmarkStart w:id="37" w:name="_Toc15377217"/>
      <w:r>
        <w:rPr>
          <w:rFonts w:hint="eastAsia" w:eastAsia="楷体_GB2312" w:cs="楷体_GB2312"/>
          <w:b/>
          <w:sz w:val="32"/>
          <w:szCs w:val="32"/>
        </w:rPr>
        <w:t>（二）“三公”经费财政拨款支出决算具体情况说明</w:t>
      </w:r>
      <w:bookmarkEnd w:id="37"/>
    </w:p>
    <w:p w14:paraId="57974F0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w:t>
      </w:r>
      <w:r>
        <w:rPr>
          <w:rFonts w:hint="eastAsia" w:ascii="仿宋_GB2312" w:hAnsi="仿宋_GB2312" w:eastAsia="仿宋_GB2312" w:cs="仿宋_GB2312"/>
          <w:sz w:val="32"/>
          <w:szCs w:val="32"/>
          <w:lang w:val="en-US" w:eastAsia="zh-CN"/>
        </w:rPr>
        <w:t>12.91</w:t>
      </w:r>
      <w:r>
        <w:rPr>
          <w:rFonts w:hint="eastAsia" w:ascii="仿宋_GB2312" w:hAnsi="仿宋_GB2312" w:eastAsia="仿宋_GB2312" w:cs="仿宋_GB2312"/>
          <w:sz w:val="32"/>
          <w:szCs w:val="32"/>
        </w:rPr>
        <w:t>万元，占9</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%。具体情况如下：</w:t>
      </w:r>
    </w:p>
    <w:p w14:paraId="3F494DEF">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（图7：“三公”经费财政拨款支出结构）（饼状图）</w:t>
      </w:r>
    </w:p>
    <w:p w14:paraId="6BC97909">
      <w:pPr>
        <w:pStyle w:val="2"/>
      </w:pPr>
    </w:p>
    <w:p w14:paraId="630E6AD1">
      <w:pPr>
        <w:pStyle w:val="3"/>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4CD5EC">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。因公出国（境）支出决算与2023年持平。</w:t>
      </w:r>
    </w:p>
    <w:p w14:paraId="57D2F2BB">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lang w:val="en-US" w:eastAsia="zh-CN"/>
        </w:rPr>
        <w:t>12.91</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w:t>
      </w:r>
      <w:r>
        <w:rPr>
          <w:rFonts w:hint="eastAsia" w:eastAsia="仿宋_GB2312" w:cs="仿宋_GB2312"/>
          <w:sz w:val="32"/>
          <w:szCs w:val="32"/>
          <w:lang w:val="en-US" w:eastAsia="zh-CN"/>
        </w:rPr>
        <w:t>减少0.5</w:t>
      </w:r>
      <w:r>
        <w:rPr>
          <w:rFonts w:hint="eastAsia" w:eastAsia="仿宋_GB2312" w:cs="仿宋_GB2312"/>
          <w:sz w:val="32"/>
          <w:szCs w:val="32"/>
        </w:rPr>
        <w:t>万元，</w:t>
      </w:r>
      <w:r>
        <w:rPr>
          <w:rFonts w:hint="eastAsia" w:eastAsia="仿宋_GB2312" w:cs="仿宋_GB2312"/>
          <w:sz w:val="32"/>
          <w:szCs w:val="32"/>
          <w:lang w:val="en-US" w:eastAsia="zh-CN"/>
        </w:rPr>
        <w:t>下降3.7</w:t>
      </w:r>
      <w:r>
        <w:rPr>
          <w:rFonts w:hint="eastAsia" w:eastAsia="仿宋_GB2312" w:cs="仿宋_GB2312"/>
          <w:sz w:val="32"/>
          <w:szCs w:val="32"/>
        </w:rPr>
        <w:t>%。主要原因是</w:t>
      </w:r>
      <w:r>
        <w:rPr>
          <w:rFonts w:hint="eastAsia" w:eastAsia="仿宋_GB2312" w:cs="仿宋_GB2312"/>
          <w:sz w:val="32"/>
          <w:szCs w:val="32"/>
          <w:lang w:val="en-US" w:eastAsia="zh-CN"/>
        </w:rPr>
        <w:t>节约支出，相关维修费减少</w:t>
      </w:r>
      <w:r>
        <w:rPr>
          <w:rFonts w:hint="eastAsia" w:eastAsia="仿宋_GB2312" w:cs="仿宋_GB2312"/>
          <w:sz w:val="32"/>
          <w:szCs w:val="32"/>
        </w:rPr>
        <w:t>。</w:t>
      </w:r>
    </w:p>
    <w:p w14:paraId="7D87C8A0">
      <w:pPr>
        <w:spacing w:line="560" w:lineRule="exact"/>
        <w:ind w:firstLine="640" w:firstLineChars="200"/>
        <w:rPr>
          <w:rFonts w:hint="default"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万元。全年按规定更新购置公务用车0辆，其中：轿车0辆、金额0万元，越野车0辆、金额0万元，载客汽车0辆、金额0万元。截至2024年12月31日，单位共有公务用车10辆，其中：</w:t>
      </w:r>
      <w:r>
        <w:rPr>
          <w:rFonts w:hint="default" w:eastAsia="仿宋_GB2312" w:cs="仿宋_GB2312"/>
          <w:sz w:val="32"/>
          <w:szCs w:val="32"/>
        </w:rPr>
        <w:t>截至202</w:t>
      </w:r>
      <w:r>
        <w:rPr>
          <w:rFonts w:hint="default" w:eastAsia="仿宋_GB2312" w:cs="仿宋_GB2312"/>
          <w:sz w:val="32"/>
          <w:szCs w:val="32"/>
          <w:lang w:val="en-US" w:eastAsia="zh-CN"/>
        </w:rPr>
        <w:t>3</w:t>
      </w:r>
      <w:r>
        <w:rPr>
          <w:rFonts w:hint="default" w:eastAsia="仿宋_GB2312" w:cs="仿宋_GB2312"/>
          <w:sz w:val="32"/>
          <w:szCs w:val="32"/>
        </w:rPr>
        <w:t>年12月底，单位共有公务用车10辆，其中：轿车7辆、越野车3辆。</w:t>
      </w:r>
    </w:p>
    <w:p w14:paraId="5055021A">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12.91</w:t>
      </w:r>
      <w:r>
        <w:rPr>
          <w:rFonts w:hint="eastAsia" w:eastAsia="仿宋_GB2312" w:cs="仿宋_GB2312"/>
          <w:sz w:val="32"/>
          <w:szCs w:val="32"/>
        </w:rPr>
        <w:t>万元。主要用于审判办案所需的公务用车燃料费、维修费、过路过桥费、保险费等支出。</w:t>
      </w:r>
    </w:p>
    <w:p w14:paraId="7AAEF227">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lang w:val="en-US" w:eastAsia="zh-CN"/>
        </w:rPr>
        <w:t>0.58</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hint="eastAsia" w:eastAsia="仿宋_GB2312" w:cs="仿宋_GB2312"/>
          <w:sz w:val="32"/>
          <w:szCs w:val="32"/>
          <w:lang w:val="en-US" w:eastAsia="zh-CN"/>
        </w:rPr>
        <w:t>0.02</w:t>
      </w:r>
      <w:r>
        <w:rPr>
          <w:rFonts w:hint="eastAsia" w:eastAsia="仿宋_GB2312" w:cs="仿宋_GB2312"/>
          <w:sz w:val="32"/>
          <w:szCs w:val="32"/>
        </w:rPr>
        <w:t>万元，下降</w:t>
      </w:r>
      <w:r>
        <w:rPr>
          <w:rFonts w:hint="eastAsia" w:eastAsia="仿宋_GB2312" w:cs="仿宋_GB2312"/>
          <w:sz w:val="32"/>
          <w:szCs w:val="32"/>
          <w:lang w:val="en-US" w:eastAsia="zh-CN"/>
        </w:rPr>
        <w:t>3.33</w:t>
      </w:r>
      <w:r>
        <w:rPr>
          <w:rFonts w:hint="eastAsia" w:eastAsia="仿宋_GB2312" w:cs="仿宋_GB2312"/>
          <w:sz w:val="32"/>
          <w:szCs w:val="32"/>
        </w:rPr>
        <w:t>%。主要原因是</w:t>
      </w:r>
      <w:r>
        <w:rPr>
          <w:rFonts w:hint="eastAsia" w:eastAsia="仿宋_GB2312" w:cs="仿宋_GB2312"/>
          <w:sz w:val="32"/>
          <w:szCs w:val="32"/>
          <w:lang w:val="en-US" w:eastAsia="zh-CN"/>
        </w:rPr>
        <w:t>控制</w:t>
      </w:r>
      <w:r>
        <w:rPr>
          <w:rFonts w:hint="eastAsia" w:eastAsia="仿宋_GB2312" w:cs="仿宋_GB2312"/>
          <w:sz w:val="32"/>
          <w:szCs w:val="32"/>
        </w:rPr>
        <w:t>2024年接待</w:t>
      </w:r>
      <w:r>
        <w:rPr>
          <w:rFonts w:hint="eastAsia" w:eastAsia="仿宋_GB2312" w:cs="仿宋_GB2312"/>
          <w:sz w:val="32"/>
          <w:szCs w:val="32"/>
          <w:lang w:val="en-US" w:eastAsia="zh-CN"/>
        </w:rPr>
        <w:t>费</w:t>
      </w:r>
      <w:r>
        <w:rPr>
          <w:rFonts w:hint="eastAsia" w:eastAsia="仿宋_GB2312" w:cs="仿宋_GB2312"/>
          <w:sz w:val="32"/>
          <w:szCs w:val="32"/>
        </w:rPr>
        <w:t>。其中：</w:t>
      </w:r>
    </w:p>
    <w:p w14:paraId="262562DE">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万</w:t>
      </w:r>
      <w:r>
        <w:rPr>
          <w:rFonts w:hint="eastAsia" w:eastAsia="仿宋_GB2312" w:cs="仿宋_GB2312"/>
          <w:sz w:val="32"/>
          <w:szCs w:val="32"/>
        </w:rPr>
        <w:t>元，主要用于执行公务</w:t>
      </w:r>
      <w:r>
        <w:rPr>
          <w:rFonts w:hint="eastAsia" w:eastAsia="仿宋_GB2312" w:cs="仿宋_GB2312"/>
          <w:sz w:val="32"/>
          <w:szCs w:val="32"/>
          <w:lang w:val="en-US" w:eastAsia="zh-CN"/>
        </w:rPr>
        <w:t>接待</w:t>
      </w:r>
      <w:r>
        <w:rPr>
          <w:rFonts w:hint="eastAsia" w:eastAsia="仿宋_GB2312" w:cs="仿宋_GB2312"/>
          <w:sz w:val="32"/>
          <w:szCs w:val="32"/>
        </w:rPr>
        <w:t>。国内公务接</w:t>
      </w:r>
      <w:r>
        <w:rPr>
          <w:rFonts w:hint="eastAsia" w:ascii="仿宋_GB2312" w:hAnsi="仿宋_GB2312" w:eastAsia="仿宋_GB2312" w:cs="仿宋_GB2312"/>
          <w:sz w:val="32"/>
          <w:szCs w:val="32"/>
        </w:rPr>
        <w:t>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44</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0.58</w:t>
      </w:r>
      <w:r>
        <w:rPr>
          <w:rFonts w:hint="eastAsia" w:eastAsia="仿宋_GB2312" w:cs="仿宋_GB2312"/>
          <w:sz w:val="32"/>
          <w:szCs w:val="32"/>
        </w:rPr>
        <w:t>万元，具体内容包括</w:t>
      </w:r>
      <w:r>
        <w:rPr>
          <w:rFonts w:hint="eastAsia" w:eastAsia="仿宋_GB2312" w:cs="仿宋_GB2312"/>
          <w:sz w:val="32"/>
          <w:szCs w:val="32"/>
          <w:lang w:eastAsia="zh-CN"/>
        </w:rPr>
        <w:t>：</w:t>
      </w:r>
      <w:r>
        <w:rPr>
          <w:rFonts w:hint="eastAsia" w:eastAsia="仿宋_GB2312" w:cs="仿宋_GB2312"/>
          <w:sz w:val="32"/>
          <w:szCs w:val="32"/>
          <w:lang w:val="en-US" w:eastAsia="zh-CN"/>
        </w:rPr>
        <w:t>:接待云南华坪、永仁交流学习1200元；接待德昌县司法局考察调研486元；接待省高院调研归档方式改革687元；接待全市法院民事审判工作接待2048元；接待省高元调研慰问干警947元；接待米易法院调研学习460元。</w:t>
      </w: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14:paraId="61F73D4F">
      <w:pPr>
        <w:spacing w:line="600" w:lineRule="exact"/>
        <w:ind w:firstLine="640"/>
        <w:rPr>
          <w:rFonts w:eastAsia="仿宋_GB2312" w:cs="仿宋_GB2312"/>
          <w:sz w:val="32"/>
          <w:szCs w:val="32"/>
        </w:rPr>
      </w:pPr>
      <w:bookmarkStart w:id="38" w:name="_Toc15396610"/>
      <w:bookmarkStart w:id="39" w:name="_Toc15377218"/>
    </w:p>
    <w:p w14:paraId="6CB2C876">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8"/>
      <w:bookmarkEnd w:id="39"/>
    </w:p>
    <w:p w14:paraId="27CF520C">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w:t>
      </w:r>
    </w:p>
    <w:p w14:paraId="57C33C1A">
      <w:pPr>
        <w:spacing w:line="600" w:lineRule="exact"/>
        <w:ind w:firstLine="640"/>
        <w:rPr>
          <w:rFonts w:eastAsia="仿宋_GB2312" w:cs="仿宋_GB2312"/>
          <w:sz w:val="32"/>
          <w:szCs w:val="32"/>
        </w:rPr>
      </w:pPr>
    </w:p>
    <w:p w14:paraId="3286E5EF">
      <w:pPr>
        <w:spacing w:line="600" w:lineRule="exact"/>
        <w:ind w:left="630"/>
        <w:outlineLvl w:val="1"/>
        <w:rPr>
          <w:rStyle w:val="29"/>
          <w:rFonts w:ascii="Times New Roman" w:hAnsi="Times New Roman" w:eastAsia="黑体"/>
          <w:b w:val="0"/>
        </w:rPr>
      </w:pPr>
      <w:bookmarkStart w:id="40" w:name="_Toc15377219"/>
      <w:bookmarkStart w:id="41" w:name="_Toc15396611"/>
      <w:r>
        <w:rPr>
          <w:rStyle w:val="29"/>
          <w:rFonts w:hint="eastAsia" w:ascii="Times New Roman" w:hAnsi="Times New Roman" w:eastAsia="黑体"/>
          <w:b w:val="0"/>
        </w:rPr>
        <w:t>九、国有资本经营预算支出决算情况说明</w:t>
      </w:r>
      <w:bookmarkEnd w:id="40"/>
      <w:bookmarkEnd w:id="41"/>
    </w:p>
    <w:p w14:paraId="334ED53A">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p>
    <w:p w14:paraId="75D4501C">
      <w:pPr>
        <w:spacing w:line="600" w:lineRule="exact"/>
        <w:ind w:firstLine="640"/>
        <w:rPr>
          <w:rFonts w:eastAsia="仿宋_GB2312" w:cs="仿宋_GB2312"/>
          <w:sz w:val="32"/>
          <w:szCs w:val="32"/>
        </w:rPr>
      </w:pPr>
    </w:p>
    <w:p w14:paraId="06C0D781">
      <w:pPr>
        <w:spacing w:line="600" w:lineRule="exact"/>
        <w:ind w:left="630"/>
        <w:outlineLvl w:val="1"/>
        <w:rPr>
          <w:rStyle w:val="29"/>
          <w:rFonts w:ascii="Times New Roman" w:hAnsi="Times New Roman" w:eastAsia="黑体"/>
          <w:b w:val="0"/>
        </w:rPr>
      </w:pPr>
      <w:bookmarkStart w:id="42" w:name="_Toc15377221"/>
      <w:bookmarkStart w:id="43" w:name="_Toc15396612"/>
      <w:r>
        <w:rPr>
          <w:rStyle w:val="29"/>
          <w:rFonts w:hint="eastAsia" w:ascii="Times New Roman" w:hAnsi="Times New Roman" w:eastAsia="黑体"/>
          <w:b w:val="0"/>
        </w:rPr>
        <w:t>十、其他重要事项的情况说明</w:t>
      </w:r>
      <w:bookmarkEnd w:id="42"/>
      <w:bookmarkEnd w:id="43"/>
    </w:p>
    <w:p w14:paraId="05430372">
      <w:pPr>
        <w:spacing w:line="600" w:lineRule="exact"/>
        <w:ind w:firstLine="643" w:firstLineChars="200"/>
        <w:outlineLvl w:val="2"/>
        <w:rPr>
          <w:rFonts w:eastAsia="楷体_GB2312" w:cs="楷体_GB2312"/>
          <w:b/>
          <w:sz w:val="32"/>
          <w:szCs w:val="32"/>
        </w:rPr>
      </w:pPr>
      <w:bookmarkStart w:id="44" w:name="_Toc15377222"/>
      <w:r>
        <w:rPr>
          <w:rFonts w:hint="eastAsia" w:eastAsia="楷体_GB2312" w:cs="楷体_GB2312"/>
          <w:b/>
          <w:sz w:val="32"/>
          <w:szCs w:val="32"/>
        </w:rPr>
        <w:t>（一）机关运行经费支出情况</w:t>
      </w:r>
      <w:bookmarkEnd w:id="44"/>
    </w:p>
    <w:p w14:paraId="6C791334">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w:t>
      </w:r>
      <w:r>
        <w:rPr>
          <w:rFonts w:hint="eastAsia" w:ascii="仿宋_GB2312" w:hAnsi="仿宋_GB2312" w:eastAsia="仿宋_GB2312" w:cs="仿宋_GB2312"/>
          <w:sz w:val="32"/>
          <w:szCs w:val="32"/>
          <w:lang w:val="en-US" w:eastAsia="zh-CN"/>
        </w:rPr>
        <w:t>西区</w:t>
      </w:r>
      <w:r>
        <w:rPr>
          <w:rFonts w:hint="eastAsia" w:ascii="仿宋_GB2312" w:hAnsi="仿宋_GB2312" w:eastAsia="仿宋_GB2312" w:cs="仿宋_GB2312"/>
          <w:sz w:val="32"/>
          <w:szCs w:val="32"/>
        </w:rPr>
        <w:t>人民法院机关运行经费支出</w:t>
      </w:r>
      <w:r>
        <w:rPr>
          <w:rFonts w:hint="eastAsia" w:ascii="仿宋_GB2312" w:hAnsi="仿宋_GB2312" w:eastAsia="仿宋_GB2312" w:cs="仿宋_GB2312"/>
          <w:sz w:val="32"/>
          <w:szCs w:val="32"/>
          <w:lang w:val="en-US" w:eastAsia="zh-CN"/>
        </w:rPr>
        <w:t>140.17</w:t>
      </w:r>
      <w:r>
        <w:rPr>
          <w:rFonts w:hint="eastAsia" w:ascii="仿宋_GB2312" w:hAnsi="仿宋_GB2312" w:eastAsia="仿宋_GB2312" w:cs="仿宋_GB2312"/>
          <w:sz w:val="32"/>
          <w:szCs w:val="32"/>
        </w:rPr>
        <w:t>万</w:t>
      </w:r>
      <w:r>
        <w:rPr>
          <w:rFonts w:hint="eastAsia" w:eastAsia="仿宋_GB2312" w:cs="仿宋_GB2312"/>
          <w:sz w:val="32"/>
          <w:szCs w:val="32"/>
        </w:rPr>
        <w:t>元，比2023年度</w:t>
      </w:r>
      <w:r>
        <w:rPr>
          <w:rFonts w:hint="eastAsia" w:eastAsia="仿宋_GB2312" w:cs="仿宋_GB2312"/>
          <w:sz w:val="32"/>
          <w:szCs w:val="32"/>
          <w:lang w:val="en-US" w:eastAsia="zh-CN"/>
        </w:rPr>
        <w:t>减少2.48</w:t>
      </w:r>
      <w:r>
        <w:rPr>
          <w:rFonts w:hint="eastAsia" w:eastAsia="仿宋_GB2312" w:cs="仿宋_GB2312"/>
          <w:sz w:val="32"/>
          <w:szCs w:val="32"/>
        </w:rPr>
        <w:t>万元，</w:t>
      </w:r>
      <w:r>
        <w:rPr>
          <w:rFonts w:hint="eastAsia" w:eastAsia="仿宋_GB2312" w:cs="仿宋_GB2312"/>
          <w:sz w:val="32"/>
          <w:szCs w:val="32"/>
          <w:lang w:val="en-US" w:eastAsia="zh-CN"/>
        </w:rPr>
        <w:t>下降1.74</w:t>
      </w:r>
      <w:r>
        <w:rPr>
          <w:rFonts w:hint="eastAsia" w:eastAsia="仿宋_GB2312" w:cs="仿宋_GB2312"/>
          <w:sz w:val="32"/>
          <w:szCs w:val="32"/>
        </w:rPr>
        <w:t>%。主要原因是</w:t>
      </w:r>
      <w:r>
        <w:rPr>
          <w:rFonts w:hint="eastAsia" w:eastAsia="仿宋_GB2312" w:cs="仿宋_GB2312"/>
          <w:sz w:val="32"/>
          <w:szCs w:val="32"/>
          <w:lang w:val="en-US" w:eastAsia="zh-CN"/>
        </w:rPr>
        <w:t>节约支出</w:t>
      </w:r>
      <w:r>
        <w:rPr>
          <w:rFonts w:hint="eastAsia" w:eastAsia="仿宋_GB2312" w:cs="仿宋_GB2312"/>
          <w:sz w:val="32"/>
          <w:szCs w:val="32"/>
        </w:rPr>
        <w:t>。</w:t>
      </w:r>
    </w:p>
    <w:p w14:paraId="52CDD7B3">
      <w:pPr>
        <w:spacing w:line="600" w:lineRule="exact"/>
        <w:ind w:firstLine="640"/>
        <w:rPr>
          <w:rFonts w:eastAsia="仿宋_GB2312" w:cs="仿宋_GB2312"/>
          <w:sz w:val="32"/>
          <w:szCs w:val="32"/>
        </w:rPr>
      </w:pPr>
    </w:p>
    <w:p w14:paraId="23100D9F">
      <w:pPr>
        <w:spacing w:line="600" w:lineRule="exact"/>
        <w:ind w:firstLine="643" w:firstLineChars="200"/>
        <w:outlineLvl w:val="2"/>
        <w:rPr>
          <w:rFonts w:eastAsia="楷体_GB2312" w:cs="楷体_GB2312"/>
          <w:b/>
          <w:sz w:val="32"/>
          <w:szCs w:val="32"/>
        </w:rPr>
      </w:pPr>
      <w:bookmarkStart w:id="45" w:name="_Toc15377223"/>
      <w:r>
        <w:rPr>
          <w:rFonts w:hint="eastAsia" w:eastAsia="楷体_GB2312" w:cs="楷体_GB2312"/>
          <w:b/>
          <w:sz w:val="32"/>
          <w:szCs w:val="32"/>
        </w:rPr>
        <w:t>（二）政府采购支出情况</w:t>
      </w:r>
      <w:bookmarkEnd w:id="45"/>
    </w:p>
    <w:p w14:paraId="665E489C">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2024年度，四川省攀枝花市仁和区人民法院政府采购支出总额</w:t>
      </w:r>
      <w:r>
        <w:rPr>
          <w:rFonts w:hint="eastAsia" w:ascii="仿宋_GB2312" w:hAnsi="仿宋_GB2312" w:eastAsia="仿宋_GB2312" w:cs="仿宋_GB2312"/>
          <w:sz w:val="32"/>
          <w:szCs w:val="32"/>
          <w:lang w:val="en-US" w:eastAsia="zh-CN"/>
        </w:rPr>
        <w:t>97.4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万元。主要用于行政审判工作。授予中小企业合同金额</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99.59</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95.48</w:t>
      </w:r>
      <w:r>
        <w:rPr>
          <w:rFonts w:hint="eastAsia" w:ascii="仿宋_GB2312" w:hAnsi="仿宋_GB2312" w:eastAsia="仿宋_GB2312" w:cs="仿宋_GB2312"/>
          <w:sz w:val="32"/>
          <w:szCs w:val="32"/>
        </w:rPr>
        <w:t>%。</w:t>
      </w:r>
    </w:p>
    <w:p w14:paraId="41C903EF">
      <w:pPr>
        <w:spacing w:line="600" w:lineRule="exact"/>
        <w:ind w:firstLine="640"/>
        <w:rPr>
          <w:rFonts w:eastAsia="仿宋_GB2312" w:cs="仿宋_GB2312"/>
          <w:sz w:val="32"/>
          <w:szCs w:val="32"/>
        </w:rPr>
      </w:pPr>
    </w:p>
    <w:p w14:paraId="24B63EDE">
      <w:pPr>
        <w:spacing w:line="600" w:lineRule="exact"/>
        <w:ind w:firstLine="643" w:firstLineChars="200"/>
        <w:outlineLvl w:val="2"/>
        <w:rPr>
          <w:rFonts w:eastAsia="楷体_GB2312" w:cs="楷体_GB2312"/>
          <w:b/>
          <w:sz w:val="32"/>
          <w:szCs w:val="32"/>
        </w:rPr>
      </w:pPr>
      <w:bookmarkStart w:id="46" w:name="_Toc15377224"/>
      <w:r>
        <w:rPr>
          <w:rFonts w:hint="eastAsia" w:eastAsia="楷体_GB2312" w:cs="楷体_GB2312"/>
          <w:b/>
          <w:sz w:val="32"/>
          <w:szCs w:val="32"/>
        </w:rPr>
        <w:t>（三）国有资产占有使用情况</w:t>
      </w:r>
      <w:bookmarkEnd w:id="46"/>
    </w:p>
    <w:p w14:paraId="70D8B69F">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区人民法院共有车辆10辆，其中：主要负责人用车0辆、机要通信用车0辆、应急保障用车0辆、其他用车10辆，其他用车主要是用于日常工作。单价100万元（含）以上设备（不含车辆）0台（套）</w:t>
      </w:r>
      <w:r>
        <w:rPr>
          <w:rFonts w:hint="eastAsia" w:eastAsia="仿宋_GB2312" w:cs="仿宋_GB2312"/>
          <w:sz w:val="32"/>
          <w:szCs w:val="32"/>
        </w:rPr>
        <w:t>。</w:t>
      </w:r>
    </w:p>
    <w:p w14:paraId="26ABDAE5">
      <w:pPr>
        <w:spacing w:line="600" w:lineRule="exact"/>
        <w:ind w:firstLine="640"/>
        <w:rPr>
          <w:rFonts w:eastAsia="仿宋_GB2312" w:cs="仿宋_GB2312"/>
          <w:sz w:val="32"/>
          <w:szCs w:val="32"/>
        </w:rPr>
      </w:pPr>
    </w:p>
    <w:p w14:paraId="76FD12F4">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6931A186">
      <w:pPr>
        <w:spacing w:line="600" w:lineRule="exact"/>
        <w:ind w:firstLine="640"/>
        <w:rPr>
          <w:rFonts w:hint="eastAsia" w:eastAsia="仿宋_GB2312" w:cs="仿宋_GB2312"/>
          <w:sz w:val="32"/>
          <w:szCs w:val="32"/>
        </w:rPr>
      </w:pPr>
      <w:r>
        <w:rPr>
          <w:rFonts w:hint="eastAsia" w:eastAsia="仿宋_GB2312" w:cs="仿宋_GB2312"/>
          <w:sz w:val="32"/>
          <w:szCs w:val="32"/>
        </w:rPr>
        <w:t>根据预算绩效管理要求，本单位在2024年度预算编制阶段，组织对人民陪审员、司法救助</w:t>
      </w:r>
      <w:r>
        <w:rPr>
          <w:rFonts w:hint="eastAsia" w:eastAsia="仿宋_GB2312" w:cs="仿宋_GB2312"/>
          <w:sz w:val="32"/>
          <w:szCs w:val="32"/>
          <w:lang w:eastAsia="zh-CN"/>
        </w:rPr>
        <w:t>、</w:t>
      </w:r>
      <w:r>
        <w:rPr>
          <w:rFonts w:hint="eastAsia" w:eastAsia="仿宋_GB2312" w:cs="仿宋_GB2312"/>
          <w:sz w:val="32"/>
          <w:szCs w:val="32"/>
          <w:lang w:val="en-US" w:eastAsia="zh-CN"/>
        </w:rPr>
        <w:t>办案业务费3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3</w:t>
      </w:r>
      <w:r>
        <w:rPr>
          <w:rFonts w:hint="eastAsia" w:eastAsia="仿宋_GB2312" w:cs="仿宋_GB2312"/>
          <w:sz w:val="32"/>
          <w:szCs w:val="32"/>
        </w:rPr>
        <w:t>个项目开展绩效监控。</w:t>
      </w:r>
    </w:p>
    <w:p w14:paraId="26B7C766">
      <w:pPr>
        <w:pStyle w:val="8"/>
        <w:ind w:firstLine="640" w:firstLineChars="200"/>
      </w:pPr>
      <w:r>
        <w:rPr>
          <w:rFonts w:hint="eastAsia" w:eastAsia="仿宋_GB2312" w:cs="仿宋_GB2312"/>
          <w:sz w:val="32"/>
          <w:szCs w:val="32"/>
        </w:rPr>
        <w:t>组织对2024年度一般公共预算全面开展绩效自评，形成</w:t>
      </w:r>
      <w:r>
        <w:rPr>
          <w:rFonts w:hint="eastAsia" w:ascii="仿宋_GB2312" w:hAnsi="仿宋_GB2312" w:eastAsia="仿宋_GB2312" w:cs="仿宋_GB2312"/>
          <w:sz w:val="32"/>
          <w:szCs w:val="32"/>
        </w:rPr>
        <w:t>攀枝花市</w:t>
      </w:r>
      <w:r>
        <w:rPr>
          <w:rFonts w:hint="eastAsia" w:hAnsi="仿宋_GB2312" w:cs="仿宋_GB2312"/>
          <w:sz w:val="32"/>
          <w:szCs w:val="32"/>
          <w:lang w:val="en-US" w:eastAsia="zh-CN"/>
        </w:rPr>
        <w:t>西区</w:t>
      </w:r>
      <w:r>
        <w:rPr>
          <w:rFonts w:hint="eastAsia" w:ascii="仿宋_GB2312" w:hAnsi="仿宋_GB2312" w:eastAsia="仿宋_GB2312" w:cs="仿宋_GB2312"/>
          <w:sz w:val="32"/>
          <w:szCs w:val="32"/>
        </w:rPr>
        <w:t>人民法院</w:t>
      </w:r>
      <w:r>
        <w:rPr>
          <w:rFonts w:hint="eastAsia" w:eastAsia="仿宋_GB2312" w:cs="仿宋_GB2312"/>
          <w:sz w:val="32"/>
          <w:szCs w:val="32"/>
        </w:rPr>
        <w:t>部门整体（含部门预算项目）绩效自评报告、</w:t>
      </w:r>
      <w:r>
        <w:rPr>
          <w:rFonts w:hint="eastAsia" w:ascii="仿宋_GB2312" w:hAnsi="仿宋_GB2312" w:eastAsia="仿宋_GB2312" w:cs="仿宋_GB2312"/>
          <w:sz w:val="32"/>
          <w:szCs w:val="32"/>
        </w:rPr>
        <w:t>司法救助款</w:t>
      </w:r>
      <w:r>
        <w:rPr>
          <w:rFonts w:hint="eastAsia" w:eastAsia="仿宋_GB2312" w:cs="仿宋_GB2312"/>
          <w:sz w:val="32"/>
          <w:szCs w:val="32"/>
        </w:rPr>
        <w:t>专项预算项目绩效自评报告，其中，</w:t>
      </w:r>
      <w:r>
        <w:rPr>
          <w:rFonts w:hint="eastAsia" w:ascii="仿宋_GB2312" w:hAnsi="仿宋_GB2312" w:eastAsia="仿宋_GB2312" w:cs="仿宋_GB2312"/>
          <w:sz w:val="32"/>
          <w:szCs w:val="32"/>
        </w:rPr>
        <w:t>攀枝花市</w:t>
      </w:r>
      <w:r>
        <w:rPr>
          <w:rFonts w:hint="eastAsia" w:hAnsi="仿宋_GB2312" w:cs="仿宋_GB2312"/>
          <w:sz w:val="32"/>
          <w:szCs w:val="32"/>
          <w:lang w:val="en-US" w:eastAsia="zh-CN"/>
        </w:rPr>
        <w:t>西区</w:t>
      </w:r>
      <w:r>
        <w:rPr>
          <w:rFonts w:hint="eastAsia" w:ascii="仿宋_GB2312" w:hAnsi="仿宋_GB2312" w:eastAsia="仿宋_GB2312" w:cs="仿宋_GB2312"/>
          <w:sz w:val="32"/>
          <w:szCs w:val="32"/>
        </w:rPr>
        <w:t>人民法院</w:t>
      </w:r>
      <w:r>
        <w:rPr>
          <w:rFonts w:hint="eastAsia" w:eastAsia="仿宋_GB2312" w:cs="仿宋_GB2312"/>
          <w:sz w:val="32"/>
          <w:szCs w:val="32"/>
        </w:rPr>
        <w:t>部门整体（含部门预算项目）绩效自评得分为</w:t>
      </w:r>
      <w:r>
        <w:rPr>
          <w:rFonts w:hint="eastAsia" w:cs="仿宋_GB2312"/>
          <w:sz w:val="32"/>
          <w:szCs w:val="32"/>
          <w:lang w:val="en-US" w:eastAsia="zh-CN"/>
        </w:rPr>
        <w:t>100</w:t>
      </w:r>
      <w:r>
        <w:rPr>
          <w:rFonts w:hint="eastAsia" w:eastAsia="仿宋_GB2312" w:cs="仿宋_GB2312"/>
          <w:sz w:val="32"/>
          <w:szCs w:val="32"/>
        </w:rPr>
        <w:t>分，绩效自评综述</w:t>
      </w:r>
      <w:r>
        <w:rPr>
          <w:rFonts w:hint="eastAsia" w:ascii="仿宋_GB2312" w:hAnsi="仿宋_GB2312" w:eastAsia="仿宋_GB2312" w:cs="仿宋_GB2312"/>
          <w:sz w:val="32"/>
          <w:szCs w:val="32"/>
        </w:rPr>
        <w:t>预算绩效执行情况较好</w:t>
      </w:r>
      <w:r>
        <w:rPr>
          <w:rFonts w:hint="eastAsia" w:eastAsia="仿宋_GB2312" w:cs="仿宋_GB2312"/>
          <w:sz w:val="32"/>
          <w:szCs w:val="32"/>
        </w:rPr>
        <w:t>；</w:t>
      </w:r>
      <w:r>
        <w:rPr>
          <w:rFonts w:hint="eastAsia" w:ascii="仿宋_GB2312" w:hAnsi="仿宋_GB2312" w:eastAsia="仿宋_GB2312" w:cs="仿宋_GB2312"/>
          <w:sz w:val="32"/>
          <w:szCs w:val="32"/>
        </w:rPr>
        <w:t>司法救助款</w:t>
      </w:r>
      <w:r>
        <w:rPr>
          <w:rFonts w:hint="eastAsia" w:eastAsia="仿宋_GB2312" w:cs="仿宋_GB2312"/>
          <w:sz w:val="32"/>
          <w:szCs w:val="32"/>
        </w:rPr>
        <w:t>专项预算项目绩效自评得分为</w:t>
      </w:r>
      <w:r>
        <w:rPr>
          <w:rFonts w:hint="eastAsia" w:cs="仿宋_GB2312"/>
          <w:sz w:val="32"/>
          <w:szCs w:val="32"/>
          <w:lang w:val="en-US" w:eastAsia="zh-CN"/>
        </w:rPr>
        <w:t>100</w:t>
      </w:r>
      <w:r>
        <w:rPr>
          <w:rFonts w:hint="eastAsia" w:eastAsia="仿宋_GB2312" w:cs="仿宋_GB2312"/>
          <w:sz w:val="32"/>
          <w:szCs w:val="32"/>
        </w:rPr>
        <w:t>分，绩效自评综述</w:t>
      </w:r>
      <w:r>
        <w:rPr>
          <w:rFonts w:hint="eastAsia" w:ascii="仿宋_GB2312" w:hAnsi="仿宋_GB2312" w:eastAsia="仿宋_GB2312" w:cs="仿宋_GB2312"/>
          <w:sz w:val="32"/>
          <w:szCs w:val="32"/>
        </w:rPr>
        <w:t>预算绩效执行情况较好</w:t>
      </w:r>
      <w:r>
        <w:rPr>
          <w:rFonts w:hint="eastAsia" w:eastAsia="仿宋_GB2312" w:cs="仿宋_GB2312"/>
          <w:sz w:val="32"/>
          <w:szCs w:val="32"/>
        </w:rPr>
        <w:t>。绩效自评报告详见附件。</w:t>
      </w:r>
    </w:p>
    <w:p w14:paraId="7D5C6CA4">
      <w:pPr>
        <w:pStyle w:val="3"/>
        <w:ind w:left="420"/>
      </w:pPr>
    </w:p>
    <w:p w14:paraId="1EAA38A6">
      <w:pPr>
        <w:spacing w:line="600" w:lineRule="exact"/>
        <w:ind w:firstLine="640"/>
        <w:rPr>
          <w:rFonts w:eastAsia="仿宋_GB2312" w:cs="仿宋_GB2312"/>
          <w:sz w:val="32"/>
          <w:szCs w:val="32"/>
        </w:rPr>
      </w:pPr>
    </w:p>
    <w:p w14:paraId="2A5884B2">
      <w:pPr>
        <w:spacing w:line="600" w:lineRule="exact"/>
        <w:ind w:firstLine="2200" w:firstLineChars="500"/>
        <w:jc w:val="both"/>
        <w:outlineLvl w:val="0"/>
        <w:rPr>
          <w:rFonts w:hint="eastAsia" w:eastAsia="黑体"/>
          <w:sz w:val="44"/>
          <w:szCs w:val="44"/>
        </w:rPr>
      </w:pPr>
      <w:bookmarkStart w:id="47" w:name="_Toc15377225"/>
      <w:bookmarkStart w:id="48" w:name="_Toc15396613"/>
    </w:p>
    <w:p w14:paraId="491916FE">
      <w:pPr>
        <w:spacing w:line="600" w:lineRule="exact"/>
        <w:ind w:firstLine="2200" w:firstLineChars="500"/>
        <w:jc w:val="both"/>
        <w:outlineLvl w:val="0"/>
        <w:rPr>
          <w:rFonts w:hint="eastAsia" w:eastAsia="黑体"/>
          <w:sz w:val="44"/>
          <w:szCs w:val="44"/>
        </w:rPr>
      </w:pPr>
    </w:p>
    <w:p w14:paraId="7D1652B1">
      <w:pPr>
        <w:spacing w:line="600" w:lineRule="exact"/>
        <w:ind w:firstLine="2200" w:firstLineChars="500"/>
        <w:jc w:val="both"/>
        <w:outlineLvl w:val="0"/>
        <w:rPr>
          <w:rFonts w:hint="eastAsia" w:eastAsia="黑体"/>
          <w:sz w:val="44"/>
          <w:szCs w:val="44"/>
        </w:rPr>
      </w:pPr>
    </w:p>
    <w:p w14:paraId="470330DA">
      <w:pPr>
        <w:spacing w:line="600" w:lineRule="exact"/>
        <w:ind w:firstLine="2200" w:firstLineChars="500"/>
        <w:jc w:val="both"/>
        <w:outlineLvl w:val="0"/>
        <w:rPr>
          <w:rFonts w:hint="eastAsia" w:eastAsia="黑体"/>
          <w:sz w:val="44"/>
          <w:szCs w:val="44"/>
        </w:rPr>
      </w:pPr>
    </w:p>
    <w:p w14:paraId="2D39DE92">
      <w:pPr>
        <w:spacing w:line="600" w:lineRule="exact"/>
        <w:ind w:firstLine="2200" w:firstLineChars="500"/>
        <w:jc w:val="both"/>
        <w:outlineLvl w:val="0"/>
        <w:rPr>
          <w:rFonts w:hint="eastAsia" w:eastAsia="黑体"/>
          <w:sz w:val="44"/>
          <w:szCs w:val="44"/>
        </w:rPr>
      </w:pPr>
    </w:p>
    <w:p w14:paraId="57395795">
      <w:pPr>
        <w:spacing w:line="600" w:lineRule="exact"/>
        <w:ind w:firstLine="2200" w:firstLineChars="500"/>
        <w:jc w:val="both"/>
        <w:outlineLvl w:val="0"/>
        <w:rPr>
          <w:rFonts w:hint="eastAsia" w:eastAsia="黑体"/>
          <w:sz w:val="44"/>
          <w:szCs w:val="44"/>
        </w:rPr>
      </w:pPr>
    </w:p>
    <w:p w14:paraId="580428B0">
      <w:pPr>
        <w:spacing w:line="600" w:lineRule="exact"/>
        <w:ind w:firstLine="2200" w:firstLineChars="500"/>
        <w:jc w:val="both"/>
        <w:outlineLvl w:val="0"/>
        <w:rPr>
          <w:rFonts w:hint="eastAsia" w:eastAsia="黑体"/>
          <w:sz w:val="44"/>
          <w:szCs w:val="44"/>
        </w:rPr>
      </w:pPr>
    </w:p>
    <w:p w14:paraId="3003F2EF">
      <w:pPr>
        <w:spacing w:line="600" w:lineRule="exact"/>
        <w:ind w:firstLine="2200" w:firstLineChars="500"/>
        <w:jc w:val="both"/>
        <w:outlineLvl w:val="0"/>
        <w:rPr>
          <w:rFonts w:hint="eastAsia" w:eastAsia="黑体"/>
          <w:sz w:val="44"/>
          <w:szCs w:val="44"/>
        </w:rPr>
      </w:pPr>
    </w:p>
    <w:p w14:paraId="4C1EE6EA">
      <w:pPr>
        <w:spacing w:line="600" w:lineRule="exact"/>
        <w:ind w:firstLine="2200" w:firstLineChars="500"/>
        <w:jc w:val="both"/>
        <w:outlineLvl w:val="0"/>
        <w:rPr>
          <w:rFonts w:hint="eastAsia" w:eastAsia="黑体"/>
          <w:sz w:val="44"/>
          <w:szCs w:val="44"/>
        </w:rPr>
      </w:pPr>
    </w:p>
    <w:p w14:paraId="49C4451E">
      <w:pPr>
        <w:spacing w:line="600" w:lineRule="exact"/>
        <w:ind w:firstLine="2200" w:firstLineChars="500"/>
        <w:jc w:val="both"/>
        <w:outlineLvl w:val="0"/>
        <w:rPr>
          <w:rFonts w:hint="eastAsia" w:eastAsia="黑体"/>
          <w:sz w:val="44"/>
          <w:szCs w:val="44"/>
        </w:rPr>
      </w:pPr>
    </w:p>
    <w:p w14:paraId="0412D121">
      <w:pPr>
        <w:spacing w:line="600" w:lineRule="exact"/>
        <w:ind w:firstLine="2200" w:firstLineChars="500"/>
        <w:jc w:val="both"/>
        <w:outlineLvl w:val="0"/>
        <w:rPr>
          <w:rFonts w:hint="eastAsia" w:eastAsia="黑体"/>
          <w:sz w:val="44"/>
          <w:szCs w:val="44"/>
        </w:rPr>
      </w:pPr>
    </w:p>
    <w:p w14:paraId="1C0447CC">
      <w:pPr>
        <w:spacing w:line="600" w:lineRule="exact"/>
        <w:ind w:firstLine="2200" w:firstLineChars="500"/>
        <w:jc w:val="both"/>
        <w:outlineLvl w:val="0"/>
        <w:rPr>
          <w:rFonts w:hint="eastAsia" w:eastAsia="黑体"/>
          <w:sz w:val="44"/>
          <w:szCs w:val="44"/>
        </w:rPr>
      </w:pPr>
    </w:p>
    <w:p w14:paraId="01292BF8">
      <w:pPr>
        <w:spacing w:line="600" w:lineRule="exact"/>
        <w:ind w:firstLine="2200" w:firstLineChars="500"/>
        <w:jc w:val="both"/>
        <w:outlineLvl w:val="0"/>
        <w:rPr>
          <w:rFonts w:hint="eastAsia" w:eastAsia="黑体"/>
          <w:sz w:val="44"/>
          <w:szCs w:val="44"/>
        </w:rPr>
      </w:pPr>
    </w:p>
    <w:p w14:paraId="327FC24B">
      <w:pPr>
        <w:spacing w:line="600" w:lineRule="exact"/>
        <w:ind w:firstLine="2200" w:firstLineChars="500"/>
        <w:jc w:val="both"/>
        <w:outlineLvl w:val="0"/>
        <w:rPr>
          <w:rFonts w:hint="eastAsia" w:eastAsia="黑体"/>
          <w:sz w:val="44"/>
          <w:szCs w:val="44"/>
        </w:rPr>
      </w:pPr>
    </w:p>
    <w:p w14:paraId="24C759BD">
      <w:pPr>
        <w:spacing w:line="600" w:lineRule="exact"/>
        <w:ind w:firstLine="2200" w:firstLineChars="500"/>
        <w:jc w:val="both"/>
        <w:outlineLvl w:val="0"/>
        <w:rPr>
          <w:rFonts w:hint="eastAsia" w:eastAsia="黑体"/>
          <w:sz w:val="44"/>
          <w:szCs w:val="44"/>
        </w:rPr>
      </w:pPr>
    </w:p>
    <w:p w14:paraId="0B267377">
      <w:pPr>
        <w:spacing w:line="600" w:lineRule="exact"/>
        <w:ind w:firstLine="2200" w:firstLineChars="500"/>
        <w:jc w:val="both"/>
        <w:outlineLvl w:val="0"/>
        <w:rPr>
          <w:rFonts w:hint="eastAsia" w:eastAsia="黑体"/>
          <w:sz w:val="44"/>
          <w:szCs w:val="44"/>
        </w:rPr>
      </w:pPr>
    </w:p>
    <w:p w14:paraId="73655CDE">
      <w:pPr>
        <w:spacing w:line="600" w:lineRule="exact"/>
        <w:ind w:firstLine="2200" w:firstLineChars="500"/>
        <w:jc w:val="both"/>
        <w:outlineLvl w:val="0"/>
        <w:rPr>
          <w:rFonts w:eastAsia="黑体"/>
          <w:sz w:val="44"/>
          <w:szCs w:val="44"/>
        </w:rPr>
      </w:pPr>
      <w:r>
        <w:rPr>
          <w:rFonts w:hint="eastAsia" w:eastAsia="黑体"/>
          <w:sz w:val="44"/>
          <w:szCs w:val="44"/>
        </w:rPr>
        <w:t>第三部分  名词解释</w:t>
      </w:r>
      <w:bookmarkEnd w:id="47"/>
      <w:bookmarkEnd w:id="48"/>
    </w:p>
    <w:p w14:paraId="0D30E18A">
      <w:pPr>
        <w:spacing w:line="600" w:lineRule="exact"/>
        <w:jc w:val="left"/>
        <w:rPr>
          <w:b/>
          <w:sz w:val="44"/>
          <w:szCs w:val="44"/>
        </w:rPr>
      </w:pPr>
    </w:p>
    <w:p w14:paraId="34CB3795">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bookmarkStart w:id="49" w:name="_Toc15377226"/>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 xml:space="preserve"> 财政拨款收入：指单位从同级财政部门取得的财政预算资金。</w:t>
      </w:r>
    </w:p>
    <w:p w14:paraId="538ACCEE">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其他收入：指单位取得的除上述收入以外的各项收入。主要是银行存款利息等。</w:t>
      </w:r>
    </w:p>
    <w:p w14:paraId="0F815B3E">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3</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年初结转和结余：指以前年度尚未完成、结转到本年按有关规定继续使用的资金。</w:t>
      </w:r>
    </w:p>
    <w:p w14:paraId="519B4ABF">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4. 年末结转和结余：指单位按有关规定结转到下年或以后年度继续使用的资金。</w:t>
      </w:r>
    </w:p>
    <w:p w14:paraId="61E533D6">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 xml:space="preserve"> 公共安全204（类）05（款）01（项）：指行政单位的基本支出。</w:t>
      </w:r>
    </w:p>
    <w:p w14:paraId="51258456">
      <w:pPr>
        <w:ind w:firstLine="640" w:firstLineChars="200"/>
        <w:rPr>
          <w:rFonts w:ascii="仿宋_GB2312" w:eastAsia="仿宋_GB2312"/>
          <w:color w:val="000000"/>
          <w:sz w:val="32"/>
          <w:szCs w:val="32"/>
        </w:rPr>
      </w:pPr>
      <w:r>
        <w:rPr>
          <w:rFonts w:hint="eastAsia"/>
          <w:color w:val="000000"/>
          <w:sz w:val="32"/>
          <w:szCs w:val="32"/>
        </w:rPr>
        <w:t xml:space="preserve">6. </w:t>
      </w:r>
      <w:r>
        <w:rPr>
          <w:rFonts w:hint="eastAsia" w:ascii="仿宋_GB2312" w:eastAsia="仿宋_GB2312"/>
          <w:color w:val="000000"/>
          <w:sz w:val="32"/>
          <w:szCs w:val="32"/>
        </w:rPr>
        <w:t>公共安全204（类）05（款）02（项）：指行政单位的项目支出。</w:t>
      </w:r>
    </w:p>
    <w:p w14:paraId="243A9227">
      <w:pPr>
        <w:ind w:firstLine="640" w:firstLineChars="200"/>
        <w:rPr>
          <w:rFonts w:eastAsia="仿宋_GB2312"/>
        </w:rPr>
      </w:pPr>
      <w:r>
        <w:rPr>
          <w:rFonts w:hint="eastAsia"/>
          <w:color w:val="000000"/>
          <w:sz w:val="32"/>
          <w:szCs w:val="32"/>
        </w:rPr>
        <w:t xml:space="preserve">7. </w:t>
      </w:r>
      <w:r>
        <w:rPr>
          <w:rFonts w:hint="eastAsia" w:ascii="仿宋_GB2312" w:eastAsia="仿宋_GB2312"/>
          <w:color w:val="000000"/>
          <w:sz w:val="32"/>
          <w:szCs w:val="32"/>
        </w:rPr>
        <w:t>公共安全204（类）05（款）99（项）：指行政单位的其他项目支出。</w:t>
      </w:r>
    </w:p>
    <w:p w14:paraId="5191CA9C">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社会保障和就业208（类）05（款）01（项）：指实行归口管理的行政单位开支的退休费。</w:t>
      </w:r>
    </w:p>
    <w:p w14:paraId="4CFFBD90">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社会保障和就业208（类）05（款）05（项）：指反映机关事业单位实施养老保险制度由单位缴纳的基本养老保险。</w:t>
      </w:r>
    </w:p>
    <w:p w14:paraId="470C94F5">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10. 社会保障和就业208（类）05（款）06（项）：指反映机关事业单位缴纳的职业年金。</w:t>
      </w:r>
    </w:p>
    <w:p w14:paraId="2406A0E8">
      <w:pPr>
        <w:ind w:firstLine="640" w:firstLineChars="200"/>
        <w:rPr>
          <w:rFonts w:ascii="仿宋_GB2312" w:eastAsia="仿宋_GB2312"/>
          <w:color w:val="000000"/>
          <w:sz w:val="32"/>
          <w:szCs w:val="32"/>
        </w:rPr>
      </w:pPr>
      <w:r>
        <w:rPr>
          <w:rFonts w:hint="eastAsia" w:ascii="仿宋_GB2312" w:eastAsia="仿宋_GB2312"/>
          <w:color w:val="000000"/>
          <w:sz w:val="32"/>
          <w:szCs w:val="32"/>
        </w:rPr>
        <w:t>11. 卫生健康210（类）11（款）01（项）：指财政部门集中安排的行政单位的基本医疗保险缴费经费。</w:t>
      </w:r>
    </w:p>
    <w:p w14:paraId="1920978D">
      <w:pPr>
        <w:numPr>
          <w:ilvl w:val="0"/>
          <w:numId w:val="2"/>
        </w:num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卫生健康210（类）11（款）03（项）：指财政部门集中安排的行政单位的公务员医疗补助缴费。</w:t>
      </w:r>
    </w:p>
    <w:p w14:paraId="448D7AAD">
      <w:pPr>
        <w:pStyle w:val="8"/>
        <w:numPr>
          <w:ilvl w:val="0"/>
          <w:numId w:val="2"/>
        </w:numPr>
        <w:spacing w:before="93"/>
        <w:ind w:firstLine="640" w:firstLineChars="200"/>
        <w:rPr>
          <w:color w:val="000000"/>
          <w:sz w:val="32"/>
          <w:szCs w:val="32"/>
        </w:rPr>
      </w:pPr>
      <w:r>
        <w:rPr>
          <w:rFonts w:hint="eastAsia"/>
          <w:color w:val="000000"/>
          <w:sz w:val="32"/>
          <w:szCs w:val="32"/>
        </w:rPr>
        <w:t>城乡社区212（类）08（款）02（项）：指反映不含计提和划转部分的国有土地使用权出让收入及对应专项债务收入安排的支出。</w:t>
      </w:r>
    </w:p>
    <w:p w14:paraId="5CEDDF3B">
      <w:pPr>
        <w:pStyle w:val="8"/>
        <w:numPr>
          <w:ilvl w:val="0"/>
          <w:numId w:val="2"/>
        </w:numPr>
        <w:spacing w:before="93"/>
        <w:ind w:firstLine="640" w:firstLineChars="200"/>
        <w:rPr>
          <w:color w:val="000000"/>
          <w:sz w:val="32"/>
          <w:szCs w:val="32"/>
        </w:rPr>
      </w:pPr>
      <w:r>
        <w:rPr>
          <w:rFonts w:hint="eastAsia"/>
          <w:color w:val="000000"/>
          <w:sz w:val="32"/>
          <w:szCs w:val="32"/>
        </w:rPr>
        <w:t>住房保障支出221（类）02（款）01（项）：指住房改革支出—住房公积金支出。</w:t>
      </w:r>
    </w:p>
    <w:p w14:paraId="68631062">
      <w:pPr>
        <w:numPr>
          <w:ilvl w:val="0"/>
          <w:numId w:val="2"/>
        </w:numPr>
        <w:suppressAutoHyphens/>
        <w:ind w:firstLine="64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2612FD55">
      <w:pPr>
        <w:numPr>
          <w:ilvl w:val="0"/>
          <w:numId w:val="2"/>
        </w:numPr>
        <w:suppressAutoHyphens/>
        <w:ind w:firstLine="64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04624C1">
      <w:pPr>
        <w:numPr>
          <w:ilvl w:val="0"/>
          <w:numId w:val="2"/>
        </w:numPr>
        <w:suppressAutoHyphens/>
        <w:ind w:firstLine="64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11C60182">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7ECB60">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696656">
      <w:pPr>
        <w:spacing w:line="600" w:lineRule="exact"/>
        <w:jc w:val="center"/>
        <w:rPr>
          <w:rStyle w:val="28"/>
          <w:rFonts w:eastAsia="黑体"/>
          <w:b w:val="0"/>
        </w:rPr>
      </w:pPr>
      <w:r>
        <w:rPr>
          <w:rFonts w:hint="eastAsia" w:eastAsia="仿宋_GB2312" w:cs="仿宋_GB2312"/>
          <w:sz w:val="32"/>
          <w:szCs w:val="32"/>
        </w:rPr>
        <w:br w:type="page"/>
      </w:r>
      <w:bookmarkStart w:id="50" w:name="_Toc15396614"/>
      <w:bookmarkStart w:id="51" w:name="_Toc15396618"/>
      <w:r>
        <w:rPr>
          <w:rFonts w:hint="eastAsia" w:eastAsia="黑体"/>
          <w:sz w:val="44"/>
          <w:szCs w:val="44"/>
        </w:rPr>
        <w:t>第四部分  附件</w:t>
      </w:r>
      <w:bookmarkEnd w:id="50"/>
    </w:p>
    <w:p w14:paraId="4753206C">
      <w:pPr>
        <w:spacing w:line="572" w:lineRule="exact"/>
        <w:jc w:val="left"/>
        <w:outlineLvl w:val="0"/>
        <w:rPr>
          <w:rFonts w:eastAsia="黑体" w:cs="黑体"/>
          <w:color w:val="FF0000"/>
          <w:sz w:val="32"/>
          <w:szCs w:val="32"/>
        </w:rPr>
      </w:pPr>
    </w:p>
    <w:p w14:paraId="0CE0E30F">
      <w:pPr>
        <w:spacing w:line="572" w:lineRule="exact"/>
        <w:jc w:val="left"/>
        <w:outlineLvl w:val="0"/>
        <w:rPr>
          <w:rFonts w:eastAsia="黑体" w:cs="方正小标宋简体"/>
          <w:sz w:val="44"/>
          <w:szCs w:val="44"/>
        </w:rPr>
      </w:pPr>
      <w:r>
        <w:rPr>
          <w:rFonts w:hint="eastAsia" w:eastAsia="黑体" w:cs="黑体"/>
          <w:sz w:val="32"/>
          <w:szCs w:val="32"/>
        </w:rPr>
        <w:t>附件1</w:t>
      </w:r>
    </w:p>
    <w:p w14:paraId="29886945">
      <w:pPr>
        <w:widowControl/>
        <w:spacing w:line="578" w:lineRule="exact"/>
        <w:contextualSpacing/>
        <w:jc w:val="center"/>
        <w:rPr>
          <w:rFonts w:eastAsia="方正小标宋简体"/>
          <w:bCs/>
          <w:sz w:val="44"/>
          <w:szCs w:val="44"/>
          <w:shd w:val="clear" w:color="auto" w:fill="FFFFFF"/>
        </w:rPr>
      </w:pPr>
    </w:p>
    <w:p w14:paraId="141AE01F">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14:paraId="43F7F4D0">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7D2987E6">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部门基本情况</w:t>
      </w:r>
    </w:p>
    <w:p w14:paraId="1DB18B5E">
      <w:pPr>
        <w:widowControl/>
        <w:adjustRightInd w:val="0"/>
        <w:snapToGrid w:val="0"/>
        <w:spacing w:line="578" w:lineRule="exact"/>
        <w:ind w:firstLine="643" w:firstLineChars="200"/>
        <w:contextualSpacing/>
        <w:jc w:val="left"/>
        <w:rPr>
          <w:rFonts w:eastAsia="楷体_GB2312" w:cs="楷体_GB2312"/>
          <w:b/>
          <w:sz w:val="32"/>
          <w:szCs w:val="32"/>
          <w:lang w:val="zh-CN"/>
        </w:rPr>
      </w:pPr>
      <w:r>
        <w:rPr>
          <w:rFonts w:hint="eastAsia" w:eastAsia="楷体_GB2312" w:cs="楷体_GB2312"/>
          <w:b/>
          <w:sz w:val="32"/>
          <w:szCs w:val="32"/>
          <w:lang w:val="zh-CN"/>
        </w:rPr>
        <w:t>（一）</w:t>
      </w:r>
      <w:r>
        <w:rPr>
          <w:rFonts w:eastAsia="楷体_GB2312" w:cs="楷体_GB2312"/>
          <w:b/>
          <w:sz w:val="32"/>
          <w:szCs w:val="32"/>
          <w:lang w:val="zh-CN"/>
        </w:rPr>
        <w:t>机构组成。</w:t>
      </w:r>
    </w:p>
    <w:p w14:paraId="094CD6C9">
      <w:pPr>
        <w:spacing w:line="600" w:lineRule="exact"/>
        <w:ind w:firstLine="640" w:firstLineChars="200"/>
        <w:rPr>
          <w:rFonts w:hint="eastAsia" w:eastAsia="仿宋_GB2312"/>
          <w:sz w:val="32"/>
          <w:szCs w:val="32"/>
        </w:rPr>
      </w:pPr>
      <w:r>
        <w:rPr>
          <w:rFonts w:hint="default" w:eastAsia="仿宋_GB2312"/>
          <w:sz w:val="32"/>
          <w:szCs w:val="32"/>
          <w:lang w:val="zh-CN"/>
        </w:rPr>
        <w:t>2023年末，我院共有9个内设机构和1个派出机构。即：综合办公室、政治部（督察室）、立案庭（诉讼服务中心）、刑事审判庭、民事审判庭（未成年人与家事案件审判庭）、行政审判庭（综合审判庭）、执行局、审判管理办公室（研究室）、司法警察大队和派出机构格里坪人民法庭。</w:t>
      </w:r>
    </w:p>
    <w:p w14:paraId="0B0DC391">
      <w:pPr>
        <w:widowControl/>
        <w:adjustRightInd w:val="0"/>
        <w:snapToGrid w:val="0"/>
        <w:spacing w:line="578" w:lineRule="exact"/>
        <w:ind w:firstLine="643" w:firstLineChars="200"/>
        <w:contextualSpacing/>
        <w:jc w:val="left"/>
        <w:rPr>
          <w:rFonts w:eastAsia="楷体_GB2312" w:cs="楷体_GB2312"/>
          <w:b/>
          <w:sz w:val="32"/>
          <w:szCs w:val="32"/>
          <w:lang w:val="zh-CN"/>
        </w:rPr>
      </w:pPr>
      <w:r>
        <w:rPr>
          <w:rFonts w:eastAsia="楷体_GB2312" w:cs="楷体_GB2312"/>
          <w:b/>
          <w:sz w:val="32"/>
          <w:szCs w:val="32"/>
          <w:lang w:val="zh-CN"/>
        </w:rPr>
        <w:t>（二）机构职能</w:t>
      </w:r>
      <w:r>
        <w:rPr>
          <w:rFonts w:hint="eastAsia" w:eastAsia="楷体_GB2312" w:cs="楷体_GB2312"/>
          <w:b/>
          <w:sz w:val="32"/>
          <w:szCs w:val="32"/>
          <w:lang w:val="zh-CN"/>
        </w:rPr>
        <w:t>。</w:t>
      </w:r>
    </w:p>
    <w:p w14:paraId="0787BFFB">
      <w:pPr>
        <w:spacing w:line="600" w:lineRule="exact"/>
        <w:ind w:firstLine="640" w:firstLineChars="200"/>
        <w:rPr>
          <w:rFonts w:hint="eastAsia" w:eastAsia="仿宋_GB2312"/>
          <w:sz w:val="32"/>
          <w:szCs w:val="32"/>
          <w:lang w:val="en-US" w:eastAsia="zh-CN"/>
        </w:rPr>
      </w:pPr>
      <w:r>
        <w:rPr>
          <w:rFonts w:hint="eastAsia" w:eastAsia="仿宋_GB2312"/>
          <w:sz w:val="32"/>
          <w:szCs w:val="32"/>
        </w:rPr>
        <w:t>根据</w:t>
      </w:r>
      <w:r>
        <w:rPr>
          <w:rFonts w:hint="eastAsia" w:eastAsia="仿宋_GB2312"/>
          <w:sz w:val="32"/>
          <w:szCs w:val="32"/>
          <w:lang w:val="en-US" w:eastAsia="zh-CN"/>
        </w:rPr>
        <w:t>西区</w:t>
      </w:r>
      <w:r>
        <w:rPr>
          <w:rFonts w:hint="eastAsia" w:eastAsia="仿宋_GB2312"/>
          <w:sz w:val="32"/>
          <w:szCs w:val="32"/>
        </w:rPr>
        <w:t>人民法院“三定”方案区法院的职责主要是：（一）负责对</w:t>
      </w:r>
      <w:r>
        <w:rPr>
          <w:rFonts w:hint="eastAsia" w:eastAsia="仿宋_GB2312"/>
          <w:sz w:val="32"/>
          <w:szCs w:val="32"/>
          <w:lang w:val="en-US" w:eastAsia="zh-CN"/>
        </w:rPr>
        <w:t>西区</w:t>
      </w:r>
      <w:r>
        <w:rPr>
          <w:rFonts w:hint="eastAsia" w:eastAsia="仿宋_GB2312"/>
          <w:sz w:val="32"/>
          <w:szCs w:val="32"/>
        </w:rPr>
        <w:t>人民代表大会及其常务委员会报告工作，接受</w:t>
      </w:r>
      <w:r>
        <w:rPr>
          <w:rFonts w:hint="eastAsia" w:eastAsia="仿宋_GB2312"/>
          <w:sz w:val="32"/>
          <w:szCs w:val="32"/>
          <w:lang w:val="en-US" w:eastAsia="zh-CN"/>
        </w:rPr>
        <w:t>西区</w:t>
      </w:r>
      <w:r>
        <w:rPr>
          <w:rFonts w:hint="eastAsia" w:eastAsia="仿宋_GB2312"/>
          <w:sz w:val="32"/>
          <w:szCs w:val="32"/>
        </w:rPr>
        <w:t>人民代表大会及其常务委员会的监督。（二）贯彻执行最高人民法院、省高级人民法院、市中级人民法院确定的工作方针和工作任务。（三）依法审判法律规定由本院管辖的刑事、民事、行政等第一审案件。（四）依法审理由市中级人民法院、区人大交办的各类案件。（五）依法审判由人民检察院按照审判监督程序提出的抗诉案件。（六）依法审理本院决定再审的案件，审理上级法院指令再审的案件和发回重审的案件。（七）依法行使司法执行权和司法决定权。（八）负责向区人大常委会提请人事任免工作；负责本院的思想政治工作和队伍建设工作；负责本院的法官及其它工作人员的管理和教育培训工作；负责本院的纪检监察工作；负责本院司法警察管理工作。（九）开展调查研究工作，总结审判经验；开展司法建议工作和法制宣传工作；参与社会治安综合治理工作。（十）负责本院的装备计划工作；负责本院的财务管理工作；负责本院的诉讼费收取、管理工作和罚没款的上缴工作。（十一）经办其他应由本院负责的工作。</w:t>
      </w:r>
      <w:r>
        <w:rPr>
          <w:rFonts w:hint="eastAsia" w:eastAsia="仿宋_GB2312"/>
          <w:sz w:val="32"/>
          <w:szCs w:val="32"/>
          <w:lang w:val="en-US" w:eastAsia="zh-CN"/>
        </w:rPr>
        <w:t xml:space="preserve">  </w:t>
      </w:r>
    </w:p>
    <w:p w14:paraId="0923BED7">
      <w:pPr>
        <w:widowControl/>
        <w:adjustRightInd w:val="0"/>
        <w:snapToGrid w:val="0"/>
        <w:spacing w:line="578" w:lineRule="exact"/>
        <w:ind w:firstLine="643" w:firstLineChars="200"/>
        <w:contextualSpacing/>
        <w:jc w:val="left"/>
        <w:rPr>
          <w:rFonts w:hint="default" w:eastAsia="楷体_GB2312"/>
          <w:b/>
          <w:bCs/>
          <w:color w:val="000000"/>
          <w:kern w:val="0"/>
          <w:sz w:val="32"/>
          <w:szCs w:val="32"/>
          <w:shd w:val="clear" w:color="auto" w:fill="FFFFFF"/>
          <w:lang w:val="en-US"/>
        </w:rPr>
      </w:pPr>
      <w:r>
        <w:rPr>
          <w:rFonts w:hint="eastAsia" w:eastAsia="楷体_GB2312"/>
          <w:b/>
          <w:bCs/>
          <w:color w:val="000000"/>
          <w:kern w:val="0"/>
          <w:sz w:val="32"/>
          <w:szCs w:val="32"/>
          <w:shd w:val="clear" w:color="auto" w:fill="FFFFFF"/>
          <w:lang w:val="en-US" w:eastAsia="zh-CN"/>
        </w:rPr>
        <w:t>（三）人员概况</w:t>
      </w:r>
    </w:p>
    <w:p w14:paraId="267750FC">
      <w:pPr>
        <w:spacing w:line="600" w:lineRule="exact"/>
        <w:ind w:firstLine="640" w:firstLineChars="200"/>
        <w:rPr>
          <w:szCs w:val="32"/>
        </w:rPr>
      </w:pPr>
      <w:r>
        <w:rPr>
          <w:rFonts w:eastAsia="仿宋_GB2312"/>
          <w:sz w:val="32"/>
          <w:szCs w:val="32"/>
        </w:rPr>
        <w:t>截至202</w:t>
      </w:r>
      <w:r>
        <w:rPr>
          <w:rFonts w:hint="eastAsia" w:eastAsia="仿宋_GB2312"/>
          <w:sz w:val="32"/>
          <w:szCs w:val="32"/>
        </w:rPr>
        <w:t>4</w:t>
      </w:r>
      <w:r>
        <w:rPr>
          <w:rFonts w:eastAsia="仿宋_GB2312"/>
          <w:sz w:val="32"/>
          <w:szCs w:val="32"/>
        </w:rPr>
        <w:t>年末，</w:t>
      </w:r>
      <w:r>
        <w:rPr>
          <w:rFonts w:hint="eastAsia" w:eastAsia="仿宋_GB2312"/>
          <w:sz w:val="32"/>
          <w:szCs w:val="32"/>
        </w:rPr>
        <w:t>攀枝花市</w:t>
      </w:r>
      <w:r>
        <w:rPr>
          <w:rFonts w:hint="eastAsia" w:eastAsia="仿宋_GB2312"/>
          <w:sz w:val="32"/>
          <w:szCs w:val="32"/>
          <w:lang w:val="en-US" w:eastAsia="zh-CN"/>
        </w:rPr>
        <w:t>西</w:t>
      </w:r>
      <w:r>
        <w:rPr>
          <w:rFonts w:hint="eastAsia" w:eastAsia="仿宋_GB2312"/>
          <w:sz w:val="32"/>
          <w:szCs w:val="32"/>
        </w:rPr>
        <w:t>区人民法院</w:t>
      </w:r>
      <w:r>
        <w:rPr>
          <w:rFonts w:eastAsia="仿宋_GB2312"/>
          <w:sz w:val="32"/>
          <w:szCs w:val="32"/>
        </w:rPr>
        <w:t>编制</w:t>
      </w:r>
      <w:r>
        <w:rPr>
          <w:rFonts w:hint="eastAsia" w:eastAsia="仿宋_GB2312"/>
          <w:sz w:val="32"/>
          <w:szCs w:val="32"/>
          <w:lang w:val="en-US" w:eastAsia="zh-CN"/>
        </w:rPr>
        <w:t>55</w:t>
      </w:r>
      <w:r>
        <w:rPr>
          <w:rFonts w:hint="eastAsia" w:eastAsia="仿宋_GB2312"/>
          <w:sz w:val="32"/>
          <w:szCs w:val="32"/>
        </w:rPr>
        <w:t>人，</w:t>
      </w:r>
      <w:r>
        <w:rPr>
          <w:rFonts w:eastAsia="仿宋_GB2312"/>
          <w:sz w:val="32"/>
          <w:szCs w:val="32"/>
        </w:rPr>
        <w:t>年末实有人数</w:t>
      </w:r>
      <w:r>
        <w:rPr>
          <w:rFonts w:hint="eastAsia" w:eastAsia="仿宋_GB2312"/>
          <w:sz w:val="32"/>
          <w:szCs w:val="32"/>
          <w:lang w:val="en-US" w:eastAsia="zh-CN"/>
        </w:rPr>
        <w:t>53</w:t>
      </w:r>
      <w:r>
        <w:rPr>
          <w:rFonts w:hint="eastAsia" w:eastAsia="仿宋_GB2312"/>
          <w:sz w:val="32"/>
          <w:szCs w:val="32"/>
        </w:rPr>
        <w:t>人。</w:t>
      </w:r>
    </w:p>
    <w:p w14:paraId="7FF2B81F">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14:paraId="3FB8E6E2">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p>
    <w:p w14:paraId="44617159">
      <w:pPr>
        <w:widowControl/>
        <w:adjustRightInd w:val="0"/>
        <w:snapToGrid w:val="0"/>
        <w:spacing w:line="578" w:lineRule="exact"/>
        <w:ind w:firstLine="640" w:firstLineChars="200"/>
        <w:contextualSpacing/>
        <w:jc w:val="left"/>
        <w:rPr>
          <w:rFonts w:eastAsia="楷体_GB2312"/>
          <w:b/>
          <w:bCs/>
          <w:color w:val="000000"/>
          <w:kern w:val="0"/>
          <w:szCs w:val="32"/>
          <w:shd w:val="clear" w:color="auto" w:fill="FFFFFF"/>
        </w:rPr>
      </w:pPr>
      <w:r>
        <w:rPr>
          <w:rFonts w:hint="eastAsia" w:eastAsia="仿宋_GB2312"/>
          <w:sz w:val="32"/>
          <w:szCs w:val="32"/>
        </w:rPr>
        <w:t>攀枝花市</w:t>
      </w:r>
      <w:r>
        <w:rPr>
          <w:rFonts w:hint="eastAsia" w:eastAsia="仿宋_GB2312"/>
          <w:sz w:val="32"/>
          <w:szCs w:val="32"/>
          <w:lang w:val="en-US" w:eastAsia="zh-CN"/>
        </w:rPr>
        <w:t>西区</w:t>
      </w:r>
      <w:r>
        <w:rPr>
          <w:rFonts w:hint="eastAsia" w:eastAsia="仿宋_GB2312"/>
          <w:sz w:val="32"/>
          <w:szCs w:val="32"/>
        </w:rPr>
        <w:t>人民法院2024年年初预算收入为</w:t>
      </w:r>
      <w:r>
        <w:rPr>
          <w:rFonts w:hint="eastAsia" w:eastAsia="仿宋_GB2312"/>
          <w:sz w:val="32"/>
          <w:szCs w:val="32"/>
          <w:lang w:val="en-US" w:eastAsia="zh-CN"/>
        </w:rPr>
        <w:t>1416.13</w:t>
      </w:r>
      <w:r>
        <w:rPr>
          <w:rFonts w:hint="eastAsia" w:eastAsia="仿宋_GB2312"/>
          <w:sz w:val="32"/>
          <w:szCs w:val="32"/>
        </w:rPr>
        <w:t>万元、决算报表收入为</w:t>
      </w:r>
      <w:r>
        <w:rPr>
          <w:rFonts w:hint="eastAsia" w:eastAsia="仿宋_GB2312"/>
          <w:sz w:val="32"/>
          <w:szCs w:val="32"/>
          <w:lang w:val="en-US" w:eastAsia="zh-CN"/>
        </w:rPr>
        <w:t>1685.94</w:t>
      </w:r>
      <w:r>
        <w:rPr>
          <w:rFonts w:hint="eastAsia" w:eastAsia="仿宋_GB2312"/>
          <w:sz w:val="32"/>
          <w:szCs w:val="32"/>
        </w:rPr>
        <w:t>万元。</w:t>
      </w:r>
    </w:p>
    <w:p w14:paraId="7A4F7928">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p>
    <w:p w14:paraId="7D13E15C">
      <w:pPr>
        <w:widowControl/>
        <w:adjustRightInd w:val="0"/>
        <w:snapToGrid w:val="0"/>
        <w:spacing w:line="578" w:lineRule="exact"/>
        <w:ind w:firstLine="640" w:firstLineChars="200"/>
        <w:contextualSpacing/>
        <w:jc w:val="left"/>
        <w:rPr>
          <w:szCs w:val="32"/>
          <w:lang w:val="zh-CN"/>
        </w:rPr>
      </w:pPr>
      <w:r>
        <w:rPr>
          <w:rFonts w:hint="eastAsia" w:eastAsia="仿宋_GB2312"/>
          <w:sz w:val="32"/>
          <w:szCs w:val="32"/>
        </w:rPr>
        <w:t>攀枝花市</w:t>
      </w:r>
      <w:r>
        <w:rPr>
          <w:rFonts w:hint="eastAsia" w:eastAsia="仿宋_GB2312"/>
          <w:sz w:val="32"/>
          <w:szCs w:val="32"/>
          <w:lang w:val="en-US" w:eastAsia="zh-CN"/>
        </w:rPr>
        <w:t>西区</w:t>
      </w:r>
      <w:r>
        <w:rPr>
          <w:rFonts w:hint="eastAsia" w:eastAsia="仿宋_GB2312"/>
          <w:sz w:val="32"/>
          <w:szCs w:val="32"/>
        </w:rPr>
        <w:t>人民法院2024年年初预算支出为</w:t>
      </w:r>
      <w:r>
        <w:rPr>
          <w:rFonts w:hint="eastAsia" w:eastAsia="仿宋_GB2312"/>
          <w:sz w:val="32"/>
          <w:szCs w:val="32"/>
          <w:lang w:val="en-US" w:eastAsia="zh-CN"/>
        </w:rPr>
        <w:t>1685.94</w:t>
      </w:r>
      <w:r>
        <w:rPr>
          <w:rFonts w:hint="eastAsia" w:eastAsia="仿宋_GB2312"/>
          <w:sz w:val="32"/>
          <w:szCs w:val="32"/>
        </w:rPr>
        <w:t>万元、决算报表支出为</w:t>
      </w:r>
      <w:r>
        <w:rPr>
          <w:rFonts w:hint="eastAsia" w:eastAsia="仿宋_GB2312"/>
          <w:sz w:val="32"/>
          <w:szCs w:val="32"/>
          <w:lang w:val="en-US" w:eastAsia="zh-CN"/>
        </w:rPr>
        <w:t>1685.94</w:t>
      </w:r>
      <w:r>
        <w:rPr>
          <w:rFonts w:hint="eastAsia" w:eastAsia="仿宋_GB2312"/>
          <w:sz w:val="32"/>
          <w:szCs w:val="32"/>
        </w:rPr>
        <w:t>万元。</w:t>
      </w:r>
    </w:p>
    <w:p w14:paraId="22EA56F2">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）结余分配和结转结余情况</w:t>
      </w:r>
      <w:r>
        <w:rPr>
          <w:rFonts w:hint="eastAsia" w:eastAsia="楷体_GB2312"/>
          <w:b/>
          <w:bCs/>
          <w:color w:val="000000"/>
          <w:kern w:val="0"/>
          <w:sz w:val="32"/>
          <w:szCs w:val="32"/>
          <w:shd w:val="clear" w:color="auto" w:fill="FFFFFF"/>
          <w:lang w:val="zh-CN"/>
        </w:rPr>
        <w:t>。</w:t>
      </w:r>
    </w:p>
    <w:p w14:paraId="41303AEC">
      <w:pPr>
        <w:widowControl/>
        <w:adjustRightInd w:val="0"/>
        <w:snapToGrid w:val="0"/>
        <w:spacing w:line="578" w:lineRule="exact"/>
        <w:ind w:firstLine="640" w:firstLineChars="200"/>
        <w:contextualSpacing/>
        <w:jc w:val="left"/>
        <w:rPr>
          <w:rFonts w:eastAsia="仿宋_GB2312"/>
          <w:color w:val="000000"/>
          <w:kern w:val="0"/>
          <w:szCs w:val="32"/>
          <w:shd w:val="clear" w:color="auto" w:fill="FFFFFF"/>
          <w:lang w:val="zh-CN"/>
        </w:rPr>
      </w:pPr>
      <w:r>
        <w:rPr>
          <w:rFonts w:hint="eastAsia" w:eastAsia="仿宋_GB2312"/>
          <w:sz w:val="32"/>
          <w:szCs w:val="32"/>
        </w:rPr>
        <w:t>攀枝花市</w:t>
      </w:r>
      <w:r>
        <w:rPr>
          <w:rFonts w:hint="eastAsia" w:eastAsia="仿宋_GB2312"/>
          <w:sz w:val="32"/>
          <w:szCs w:val="32"/>
          <w:lang w:val="en-US" w:eastAsia="zh-CN"/>
        </w:rPr>
        <w:t>西区</w:t>
      </w:r>
      <w:r>
        <w:rPr>
          <w:rFonts w:hint="eastAsia" w:eastAsia="仿宋_GB2312"/>
          <w:sz w:val="32"/>
          <w:szCs w:val="32"/>
        </w:rPr>
        <w:t>人民法院2024年决算报表无</w:t>
      </w:r>
      <w:r>
        <w:rPr>
          <w:rFonts w:eastAsia="仿宋_GB2312"/>
          <w:sz w:val="32"/>
          <w:szCs w:val="32"/>
        </w:rPr>
        <w:t>结转结余。</w:t>
      </w:r>
    </w:p>
    <w:p w14:paraId="3366C87E">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14:paraId="4A73ED23">
      <w:p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14:paraId="35C85B59">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1.</w:t>
      </w:r>
      <w:r>
        <w:rPr>
          <w:rFonts w:hint="eastAsia" w:eastAsia="仿宋_GB2312" w:cs="仿宋_GB2312"/>
          <w:sz w:val="32"/>
          <w:szCs w:val="32"/>
          <w:lang w:val="zh-CN"/>
        </w:rPr>
        <w:t>履职效能。</w:t>
      </w:r>
    </w:p>
    <w:p w14:paraId="46DD8C72">
      <w:pPr>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rPr>
        <w:t>我院2024年全年受理案件</w:t>
      </w:r>
      <w:r>
        <w:rPr>
          <w:rFonts w:hint="eastAsia" w:eastAsia="仿宋_GB2312"/>
          <w:sz w:val="32"/>
          <w:szCs w:val="32"/>
          <w:lang w:val="en-US" w:eastAsia="zh-CN"/>
        </w:rPr>
        <w:t>3618</w:t>
      </w:r>
      <w:r>
        <w:rPr>
          <w:rFonts w:hint="eastAsia" w:eastAsia="仿宋_GB2312"/>
          <w:sz w:val="32"/>
          <w:szCs w:val="32"/>
        </w:rPr>
        <w:t>件，结案</w:t>
      </w:r>
      <w:r>
        <w:rPr>
          <w:rFonts w:hint="eastAsia" w:eastAsia="仿宋_GB2312"/>
          <w:sz w:val="32"/>
          <w:szCs w:val="32"/>
          <w:lang w:val="en-US" w:eastAsia="zh-CN"/>
        </w:rPr>
        <w:t>3464</w:t>
      </w:r>
      <w:r>
        <w:rPr>
          <w:rFonts w:hint="eastAsia" w:eastAsia="仿宋_GB2312"/>
          <w:sz w:val="32"/>
          <w:szCs w:val="32"/>
        </w:rPr>
        <w:t>件，结案率</w:t>
      </w:r>
      <w:r>
        <w:rPr>
          <w:rFonts w:hint="eastAsia" w:eastAsia="仿宋_GB2312"/>
          <w:sz w:val="32"/>
          <w:szCs w:val="32"/>
          <w:lang w:val="en-US" w:eastAsia="zh-CN"/>
        </w:rPr>
        <w:t>95.74</w:t>
      </w:r>
      <w:r>
        <w:rPr>
          <w:rFonts w:hint="eastAsia" w:eastAsia="仿宋_GB2312"/>
          <w:sz w:val="32"/>
          <w:szCs w:val="32"/>
        </w:rPr>
        <w:t>%，审判工作质效较高，完成了全年工作安排。</w:t>
      </w:r>
    </w:p>
    <w:p w14:paraId="1C17892C">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2.</w:t>
      </w:r>
      <w:r>
        <w:rPr>
          <w:rFonts w:eastAsia="仿宋_GB2312" w:cs="仿宋_GB2312"/>
          <w:sz w:val="32"/>
          <w:szCs w:val="32"/>
          <w:lang w:val="zh-CN"/>
        </w:rPr>
        <w:t>预算管理</w:t>
      </w:r>
      <w:r>
        <w:rPr>
          <w:rFonts w:hint="eastAsia" w:eastAsia="仿宋_GB2312" w:cs="仿宋_GB2312"/>
          <w:sz w:val="32"/>
          <w:szCs w:val="32"/>
          <w:lang w:val="zh-CN"/>
        </w:rPr>
        <w:t>。</w:t>
      </w:r>
    </w:p>
    <w:p w14:paraId="6DE2550B">
      <w:pPr>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rPr>
        <w:t>建立健全内部控制制度，制定资产管理、财务管理、绩效管理等规章制度。</w:t>
      </w:r>
    </w:p>
    <w:p w14:paraId="4B040581">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3.</w:t>
      </w:r>
      <w:r>
        <w:rPr>
          <w:rFonts w:eastAsia="仿宋_GB2312" w:cs="仿宋_GB2312"/>
          <w:sz w:val="32"/>
          <w:szCs w:val="32"/>
          <w:lang w:val="zh-CN"/>
        </w:rPr>
        <w:t>财务管理</w:t>
      </w:r>
      <w:r>
        <w:rPr>
          <w:rFonts w:hint="eastAsia" w:eastAsia="仿宋_GB2312" w:cs="仿宋_GB2312"/>
          <w:sz w:val="32"/>
          <w:szCs w:val="32"/>
          <w:lang w:val="zh-CN"/>
        </w:rPr>
        <w:t>。</w:t>
      </w:r>
    </w:p>
    <w:p w14:paraId="2A90EF85">
      <w:pPr>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rPr>
        <w:t>建立科学完善的体系、建立健全监督机制、规范预算行为。</w:t>
      </w:r>
    </w:p>
    <w:p w14:paraId="106013A3">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4.</w:t>
      </w:r>
      <w:r>
        <w:rPr>
          <w:rFonts w:eastAsia="仿宋_GB2312" w:cs="仿宋_GB2312"/>
          <w:sz w:val="32"/>
          <w:szCs w:val="32"/>
          <w:lang w:val="zh-CN"/>
        </w:rPr>
        <w:t>资产管理</w:t>
      </w:r>
      <w:r>
        <w:rPr>
          <w:rFonts w:hint="eastAsia" w:eastAsia="仿宋_GB2312" w:cs="仿宋_GB2312"/>
          <w:sz w:val="32"/>
          <w:szCs w:val="32"/>
          <w:lang w:val="zh-CN"/>
        </w:rPr>
        <w:t>。</w:t>
      </w:r>
    </w:p>
    <w:p w14:paraId="6C53E3D7">
      <w:pPr>
        <w:adjustRightInd w:val="0"/>
        <w:snapToGrid w:val="0"/>
        <w:spacing w:line="578"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2024年对我院资产进行全面盘点，人均资产变化率与2023年相比无变化，资产利用率为100%。</w:t>
      </w:r>
    </w:p>
    <w:p w14:paraId="56FF1065">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5.</w:t>
      </w:r>
      <w:r>
        <w:rPr>
          <w:rFonts w:eastAsia="仿宋_GB2312" w:cs="仿宋_GB2312"/>
          <w:sz w:val="32"/>
          <w:szCs w:val="32"/>
          <w:lang w:val="zh-CN"/>
        </w:rPr>
        <w:t>采购管理</w:t>
      </w:r>
      <w:r>
        <w:rPr>
          <w:rFonts w:hint="eastAsia" w:eastAsia="仿宋_GB2312" w:cs="仿宋_GB2312"/>
          <w:sz w:val="32"/>
          <w:szCs w:val="32"/>
          <w:lang w:val="zh-CN"/>
        </w:rPr>
        <w:t>。</w:t>
      </w:r>
    </w:p>
    <w:p w14:paraId="059BB1E4">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lang w:val="zh-CN"/>
        </w:rPr>
        <w:t>2024年，我院采购支出总额为</w:t>
      </w:r>
      <w:r>
        <w:rPr>
          <w:rFonts w:hint="eastAsia" w:eastAsia="仿宋_GB2312" w:cs="仿宋_GB2312"/>
          <w:sz w:val="32"/>
          <w:szCs w:val="32"/>
          <w:lang w:val="en-US" w:eastAsia="zh-CN"/>
        </w:rPr>
        <w:t>97.4</w:t>
      </w:r>
      <w:r>
        <w:rPr>
          <w:rFonts w:hint="eastAsia" w:eastAsia="仿宋_GB2312" w:cs="仿宋_GB2312"/>
          <w:sz w:val="32"/>
          <w:szCs w:val="32"/>
          <w:lang w:val="zh-CN"/>
        </w:rPr>
        <w:t>万元，其中</w:t>
      </w:r>
      <w:r>
        <w:rPr>
          <w:rFonts w:hint="eastAsia" w:ascii="仿宋_GB2312" w:hAnsi="仿宋_GB2312" w:eastAsia="仿宋_GB2312" w:cs="仿宋_GB2312"/>
          <w:sz w:val="32"/>
          <w:szCs w:val="32"/>
        </w:rPr>
        <w:t>授予小微企业合同金额</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99.58</w:t>
      </w:r>
      <w:r>
        <w:rPr>
          <w:rFonts w:hint="eastAsia" w:ascii="仿宋_GB2312" w:hAnsi="仿宋_GB2312" w:eastAsia="仿宋_GB2312" w:cs="仿宋_GB2312"/>
          <w:sz w:val="32"/>
          <w:szCs w:val="32"/>
        </w:rPr>
        <w:t>%。</w:t>
      </w:r>
    </w:p>
    <w:p w14:paraId="080FA36A">
      <w:pPr>
        <w:adjustRightInd w:val="0"/>
        <w:snapToGrid w:val="0"/>
        <w:spacing w:line="578" w:lineRule="exact"/>
        <w:ind w:firstLine="643" w:firstLineChars="200"/>
        <w:contextualSpacing/>
        <w:rPr>
          <w:rFonts w:eastAsia="仿宋_GB2312" w:cs="仿宋_GB2312"/>
          <w:sz w:val="32"/>
          <w:szCs w:val="32"/>
        </w:rPr>
      </w:pPr>
      <w:r>
        <w:rPr>
          <w:rFonts w:eastAsia="楷体_GB2312"/>
          <w:b/>
          <w:bCs/>
          <w:color w:val="000000"/>
          <w:kern w:val="0"/>
          <w:sz w:val="32"/>
          <w:szCs w:val="32"/>
          <w:shd w:val="clear" w:color="auto" w:fill="FFFFFF"/>
          <w:lang w:val="zh-CN"/>
        </w:rPr>
        <w:t>（二）部门预算项目绩效分析。</w:t>
      </w:r>
    </w:p>
    <w:p w14:paraId="2468B7AC">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常年项目绩效分析。</w:t>
      </w:r>
      <w:r>
        <w:rPr>
          <w:rFonts w:eastAsia="仿宋_GB2312" w:cs="仿宋_GB2312"/>
          <w:sz w:val="32"/>
          <w:szCs w:val="32"/>
          <w:lang w:val="zh-CN"/>
        </w:rPr>
        <w:t>该类项目总数</w:t>
      </w:r>
      <w:r>
        <w:rPr>
          <w:rFonts w:hint="eastAsia" w:eastAsia="仿宋_GB2312" w:cs="仿宋_GB2312"/>
          <w:sz w:val="32"/>
          <w:szCs w:val="32"/>
        </w:rPr>
        <w:t>1</w:t>
      </w:r>
      <w:r>
        <w:rPr>
          <w:rFonts w:eastAsia="仿宋_GB2312" w:cs="仿宋_GB2312"/>
          <w:sz w:val="32"/>
          <w:szCs w:val="32"/>
          <w:lang w:val="zh-CN"/>
        </w:rPr>
        <w:t>个，涉及预算总金额</w:t>
      </w:r>
      <w:r>
        <w:rPr>
          <w:rFonts w:hint="eastAsia" w:eastAsia="仿宋_GB2312" w:cs="仿宋_GB2312"/>
          <w:sz w:val="32"/>
          <w:szCs w:val="32"/>
        </w:rPr>
        <w:t>40</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rPr>
        <w:t>100</w:t>
      </w:r>
      <w:r>
        <w:rPr>
          <w:rFonts w:eastAsia="仿宋_GB2312" w:cs="仿宋_GB2312"/>
          <w:sz w:val="32"/>
          <w:szCs w:val="32"/>
          <w:lang w:val="zh-CN"/>
        </w:rPr>
        <w:t>%，其中：预算结余率大于</w:t>
      </w:r>
      <w:r>
        <w:rPr>
          <w:rFonts w:eastAsia="仿宋_GB2312" w:cs="仿宋_GB2312"/>
          <w:sz w:val="32"/>
          <w:szCs w:val="32"/>
        </w:rPr>
        <w:t>10%</w:t>
      </w:r>
      <w:r>
        <w:rPr>
          <w:rFonts w:eastAsia="仿宋_GB2312" w:cs="仿宋_GB2312"/>
          <w:sz w:val="32"/>
          <w:szCs w:val="32"/>
          <w:lang w:val="zh-CN"/>
        </w:rPr>
        <w:t>的项目共计</w:t>
      </w:r>
      <w:r>
        <w:rPr>
          <w:rFonts w:hint="eastAsia" w:eastAsia="仿宋_GB2312" w:cs="仿宋_GB2312"/>
          <w:sz w:val="32"/>
          <w:szCs w:val="32"/>
        </w:rPr>
        <w:t>0</w:t>
      </w:r>
      <w:r>
        <w:rPr>
          <w:rFonts w:eastAsia="仿宋_GB2312" w:cs="仿宋_GB2312"/>
          <w:sz w:val="32"/>
          <w:szCs w:val="32"/>
          <w:lang w:val="zh-CN"/>
        </w:rPr>
        <w:t>个。</w:t>
      </w:r>
    </w:p>
    <w:p w14:paraId="0465D3FA">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阶段</w:t>
      </w:r>
      <w:r>
        <w:rPr>
          <w:rFonts w:hint="eastAsia" w:eastAsia="仿宋_GB2312" w:cs="仿宋_GB2312"/>
          <w:sz w:val="32"/>
          <w:szCs w:val="32"/>
        </w:rPr>
        <w:t>（</w:t>
      </w:r>
      <w:r>
        <w:rPr>
          <w:rFonts w:eastAsia="仿宋_GB2312" w:cs="仿宋_GB2312"/>
          <w:sz w:val="32"/>
          <w:szCs w:val="32"/>
        </w:rPr>
        <w:t>一次性</w:t>
      </w:r>
      <w:r>
        <w:rPr>
          <w:rFonts w:hint="eastAsia" w:eastAsia="仿宋_GB2312" w:cs="仿宋_GB2312"/>
          <w:sz w:val="32"/>
          <w:szCs w:val="32"/>
        </w:rPr>
        <w:t>）</w:t>
      </w:r>
      <w:r>
        <w:rPr>
          <w:rFonts w:eastAsia="仿宋_GB2312" w:cs="仿宋_GB2312"/>
          <w:sz w:val="32"/>
          <w:szCs w:val="32"/>
        </w:rPr>
        <w:t>项目绩效分析。</w:t>
      </w:r>
      <w:r>
        <w:rPr>
          <w:rFonts w:eastAsia="仿宋_GB2312" w:cs="仿宋_GB2312"/>
          <w:sz w:val="32"/>
          <w:szCs w:val="32"/>
          <w:lang w:val="zh-CN"/>
        </w:rPr>
        <w:t>该类项目总数</w:t>
      </w:r>
      <w:r>
        <w:rPr>
          <w:rFonts w:hint="eastAsia" w:eastAsia="仿宋_GB2312" w:cs="仿宋_GB2312"/>
          <w:sz w:val="32"/>
          <w:szCs w:val="32"/>
        </w:rPr>
        <w:t>0</w:t>
      </w:r>
      <w:r>
        <w:rPr>
          <w:rFonts w:eastAsia="仿宋_GB2312" w:cs="仿宋_GB2312"/>
          <w:sz w:val="32"/>
          <w:szCs w:val="32"/>
          <w:lang w:val="zh-CN"/>
        </w:rPr>
        <w:t>个，涉及预算总金额</w:t>
      </w:r>
      <w:r>
        <w:rPr>
          <w:rFonts w:hint="eastAsia" w:eastAsia="仿宋_GB2312" w:cs="仿宋_GB2312"/>
          <w:sz w:val="32"/>
          <w:szCs w:val="32"/>
        </w:rPr>
        <w:t>0</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rPr>
        <w:t>0</w:t>
      </w:r>
      <w:r>
        <w:rPr>
          <w:rFonts w:eastAsia="仿宋_GB2312" w:cs="仿宋_GB2312"/>
          <w:sz w:val="32"/>
          <w:szCs w:val="32"/>
          <w:lang w:val="zh-CN"/>
        </w:rPr>
        <w:t>%，其中：预算结余率大于</w:t>
      </w:r>
      <w:r>
        <w:rPr>
          <w:rFonts w:eastAsia="仿宋_GB2312" w:cs="仿宋_GB2312"/>
          <w:sz w:val="32"/>
          <w:szCs w:val="32"/>
        </w:rPr>
        <w:t>10%</w:t>
      </w:r>
      <w:r>
        <w:rPr>
          <w:rFonts w:eastAsia="仿宋_GB2312" w:cs="仿宋_GB2312"/>
          <w:sz w:val="32"/>
          <w:szCs w:val="32"/>
          <w:lang w:val="zh-CN"/>
        </w:rPr>
        <w:t>的项目共计</w:t>
      </w:r>
      <w:r>
        <w:rPr>
          <w:rFonts w:hint="eastAsia" w:eastAsia="仿宋_GB2312" w:cs="仿宋_GB2312"/>
          <w:sz w:val="32"/>
          <w:szCs w:val="32"/>
        </w:rPr>
        <w:t>0</w:t>
      </w:r>
      <w:r>
        <w:rPr>
          <w:rFonts w:eastAsia="仿宋_GB2312" w:cs="仿宋_GB2312"/>
          <w:sz w:val="32"/>
          <w:szCs w:val="32"/>
          <w:lang w:val="zh-CN"/>
        </w:rPr>
        <w:t>个。</w:t>
      </w:r>
    </w:p>
    <w:p w14:paraId="19E7040C">
      <w:pPr>
        <w:pStyle w:val="27"/>
        <w:numPr>
          <w:ilvl w:val="0"/>
          <w:numId w:val="0"/>
        </w:numPr>
        <w:adjustRightInd w:val="0"/>
        <w:snapToGrid w:val="0"/>
        <w:spacing w:line="578" w:lineRule="exact"/>
        <w:ind w:left="640" w:leftChars="0"/>
        <w:contextualSpacing/>
        <w:rPr>
          <w:rFonts w:eastAsia="仿宋_GB2312" w:cs="仿宋_GB2312"/>
          <w:sz w:val="32"/>
          <w:szCs w:val="32"/>
          <w:lang w:val="zh-CN"/>
        </w:rPr>
      </w:pPr>
      <w:r>
        <w:rPr>
          <w:rFonts w:hint="eastAsia" w:eastAsia="仿宋_GB2312" w:cs="仿宋_GB2312"/>
          <w:sz w:val="32"/>
          <w:szCs w:val="32"/>
          <w:lang w:val="en-US" w:eastAsia="zh-CN"/>
        </w:rPr>
        <w:t>1.</w:t>
      </w:r>
      <w:r>
        <w:rPr>
          <w:rFonts w:hint="eastAsia" w:eastAsia="仿宋_GB2312" w:cs="仿宋_GB2312"/>
          <w:sz w:val="32"/>
          <w:szCs w:val="32"/>
          <w:lang w:val="zh-CN"/>
        </w:rPr>
        <w:t>项目决策。</w:t>
      </w:r>
    </w:p>
    <w:p w14:paraId="156D1591">
      <w:pPr>
        <w:adjustRightInd w:val="0"/>
        <w:snapToGrid w:val="0"/>
        <w:spacing w:line="578" w:lineRule="exact"/>
        <w:ind w:firstLine="480" w:firstLineChars="150"/>
        <w:contextualSpacing/>
        <w:jc w:val="left"/>
        <w:rPr>
          <w:rFonts w:eastAsia="仿宋_GB2312"/>
          <w:sz w:val="32"/>
          <w:szCs w:val="32"/>
          <w:lang w:val="zh-CN"/>
        </w:rPr>
      </w:pPr>
      <w:r>
        <w:rPr>
          <w:rFonts w:hint="eastAsia" w:eastAsia="仿宋_GB2312"/>
          <w:sz w:val="32"/>
          <w:szCs w:val="32"/>
          <w:lang w:val="zh-CN"/>
        </w:rPr>
        <w:t>根据项目执行情况，动态分析资金使用效率，及时调整项目执行进度，力争在规定的时间内完成项目。</w:t>
      </w:r>
    </w:p>
    <w:p w14:paraId="2C3A9B1A">
      <w:pPr>
        <w:pStyle w:val="27"/>
        <w:numPr>
          <w:ilvl w:val="0"/>
          <w:numId w:val="0"/>
        </w:numPr>
        <w:adjustRightInd w:val="0"/>
        <w:snapToGrid w:val="0"/>
        <w:spacing w:line="578" w:lineRule="exact"/>
        <w:ind w:left="640" w:leftChars="0"/>
        <w:contextualSpacing/>
        <w:rPr>
          <w:rFonts w:eastAsia="仿宋_GB2312" w:cs="仿宋_GB2312"/>
          <w:sz w:val="32"/>
          <w:szCs w:val="32"/>
          <w:lang w:val="zh-CN"/>
        </w:rPr>
      </w:pPr>
      <w:r>
        <w:rPr>
          <w:rFonts w:hint="eastAsia" w:eastAsia="仿宋_GB2312" w:cs="仿宋_GB2312"/>
          <w:sz w:val="32"/>
          <w:szCs w:val="32"/>
          <w:lang w:val="en-US" w:eastAsia="zh-CN"/>
        </w:rPr>
        <w:t>2.</w:t>
      </w:r>
      <w:r>
        <w:rPr>
          <w:rFonts w:hint="eastAsia" w:eastAsia="仿宋_GB2312" w:cs="仿宋_GB2312"/>
          <w:sz w:val="32"/>
          <w:szCs w:val="32"/>
        </w:rPr>
        <w:t>项目执行</w:t>
      </w:r>
      <w:r>
        <w:rPr>
          <w:rFonts w:hint="eastAsia" w:eastAsia="仿宋_GB2312" w:cs="仿宋_GB2312"/>
          <w:sz w:val="32"/>
          <w:szCs w:val="32"/>
          <w:lang w:val="zh-CN"/>
        </w:rPr>
        <w:t>。</w:t>
      </w:r>
    </w:p>
    <w:p w14:paraId="498C3580">
      <w:pPr>
        <w:adjustRightInd w:val="0"/>
        <w:snapToGrid w:val="0"/>
        <w:spacing w:line="578" w:lineRule="exact"/>
        <w:ind w:firstLine="480" w:firstLineChars="150"/>
        <w:contextualSpacing/>
        <w:jc w:val="left"/>
        <w:rPr>
          <w:rFonts w:eastAsia="仿宋_GB2312"/>
          <w:sz w:val="32"/>
          <w:szCs w:val="32"/>
          <w:lang w:val="zh-CN"/>
        </w:rPr>
      </w:pPr>
      <w:r>
        <w:rPr>
          <w:rFonts w:hint="eastAsia" w:eastAsia="仿宋_GB2312"/>
          <w:sz w:val="32"/>
          <w:szCs w:val="32"/>
          <w:lang w:val="zh-CN"/>
        </w:rPr>
        <w:t>根据项目执行情况，动态分析资金使用效率，及时调整项目执行进度，力争在规定的时间内完成项目。</w:t>
      </w:r>
    </w:p>
    <w:p w14:paraId="65336A50">
      <w:pPr>
        <w:pStyle w:val="27"/>
        <w:numPr>
          <w:ilvl w:val="0"/>
          <w:numId w:val="0"/>
        </w:numPr>
        <w:adjustRightInd w:val="0"/>
        <w:snapToGrid w:val="0"/>
        <w:spacing w:line="578" w:lineRule="exact"/>
        <w:ind w:left="640" w:leftChars="0"/>
        <w:contextualSpacing/>
        <w:rPr>
          <w:rFonts w:eastAsia="仿宋_GB2312" w:cs="仿宋_GB2312"/>
          <w:sz w:val="32"/>
          <w:szCs w:val="32"/>
          <w:lang w:val="zh-CN"/>
        </w:rPr>
      </w:pPr>
      <w:r>
        <w:rPr>
          <w:rFonts w:hint="eastAsia" w:eastAsia="仿宋_GB2312" w:cs="仿宋_GB2312"/>
          <w:sz w:val="32"/>
          <w:szCs w:val="32"/>
          <w:lang w:val="en-US" w:eastAsia="zh-CN"/>
        </w:rPr>
        <w:t>3.</w:t>
      </w:r>
      <w:r>
        <w:rPr>
          <w:rFonts w:hint="eastAsia" w:eastAsia="仿宋_GB2312" w:cs="仿宋_GB2312"/>
          <w:sz w:val="32"/>
          <w:szCs w:val="32"/>
          <w:lang w:val="zh-CN"/>
        </w:rPr>
        <w:t>目标实现。</w:t>
      </w:r>
    </w:p>
    <w:p w14:paraId="30CB1772">
      <w:pPr>
        <w:adjustRightInd w:val="0"/>
        <w:snapToGrid w:val="0"/>
        <w:spacing w:line="578" w:lineRule="exact"/>
        <w:ind w:firstLine="480" w:firstLineChars="150"/>
        <w:contextualSpacing/>
        <w:jc w:val="left"/>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zh-CN"/>
        </w:rPr>
        <w:t>2024年项目都已在规定期限内完成。</w:t>
      </w:r>
    </w:p>
    <w:p w14:paraId="36B520F5">
      <w:pPr>
        <w:snapToGrid w:val="0"/>
        <w:spacing w:line="600" w:lineRule="exact"/>
        <w:ind w:firstLine="643" w:firstLineChars="200"/>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hint="eastAsia" w:eastAsia="楷体_GB2312"/>
          <w:b/>
          <w:bCs/>
          <w:color w:val="000000"/>
          <w:kern w:val="0"/>
          <w:sz w:val="32"/>
          <w:szCs w:val="32"/>
          <w:shd w:val="clear" w:color="auto" w:fill="FFFFFF"/>
          <w:lang w:val="zh-CN"/>
        </w:rPr>
        <w:t>。</w:t>
      </w:r>
    </w:p>
    <w:p w14:paraId="32815346">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对照绩效评价工作中发现的问题，结合绩效评价中的整改意见，进一步完善预算管理机制，增强支出责任，规范资金使用，强化监督检查，强化财政资金管理水平，提高财政资金使用效率。</w:t>
      </w:r>
    </w:p>
    <w:p w14:paraId="7EA5115A">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14:paraId="36368981">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（一）评价结论。</w:t>
      </w:r>
    </w:p>
    <w:p w14:paraId="33E3840A">
      <w:pPr>
        <w:widowControl/>
        <w:adjustRightInd w:val="0"/>
        <w:snapToGrid w:val="0"/>
        <w:spacing w:line="560" w:lineRule="exact"/>
        <w:ind w:firstLine="640" w:firstLineChars="200"/>
        <w:contextualSpacing/>
        <w:jc w:val="left"/>
        <w:rPr>
          <w:rFonts w:eastAsia="方正仿宋_GBK"/>
          <w:color w:val="000000"/>
          <w:kern w:val="0"/>
          <w:sz w:val="33"/>
          <w:szCs w:val="33"/>
          <w:shd w:val="clear" w:color="auto" w:fill="FFFFFF"/>
        </w:rPr>
      </w:pPr>
      <w:r>
        <w:rPr>
          <w:rFonts w:hint="eastAsia" w:eastAsia="仿宋_GB2312"/>
          <w:sz w:val="32"/>
          <w:szCs w:val="32"/>
          <w:lang w:val="zh-CN"/>
        </w:rPr>
        <w:t>我院部门整体支出绩效自评得分为</w:t>
      </w:r>
      <w:r>
        <w:rPr>
          <w:rFonts w:hint="eastAsia" w:eastAsia="仿宋_GB2312"/>
          <w:sz w:val="32"/>
          <w:szCs w:val="32"/>
          <w:lang w:val="en-US" w:eastAsia="zh-CN"/>
        </w:rPr>
        <w:t>100</w:t>
      </w:r>
      <w:r>
        <w:rPr>
          <w:rFonts w:hint="eastAsia" w:eastAsia="仿宋_GB2312"/>
          <w:sz w:val="32"/>
          <w:szCs w:val="32"/>
          <w:lang w:val="zh-CN"/>
        </w:rPr>
        <w:t>分，结果显示绩效管理情况为优秀，达到了年初设定的各项绩效目标。所有资金使用严格按审批程序办理、操作规范，会计核算结果真实、准确，各项支出严格按照各项制度执行。</w:t>
      </w:r>
    </w:p>
    <w:p w14:paraId="4EC8BBAC">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（二）存在问题。</w:t>
      </w:r>
    </w:p>
    <w:p w14:paraId="1E88D9D0">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1</w:t>
      </w:r>
      <w:r>
        <w:rPr>
          <w:rFonts w:hint="eastAsia" w:eastAsia="仿宋_GB2312"/>
          <w:sz w:val="32"/>
          <w:szCs w:val="32"/>
          <w:lang w:val="en-US" w:eastAsia="zh-CN"/>
        </w:rPr>
        <w:t>.</w:t>
      </w:r>
      <w:r>
        <w:rPr>
          <w:rFonts w:hint="eastAsia" w:eastAsia="仿宋_GB2312"/>
          <w:sz w:val="32"/>
          <w:szCs w:val="32"/>
          <w:lang w:val="zh-CN"/>
        </w:rPr>
        <w:t>预算编制工作有待细化，预算执行力度还需进一步加强。</w:t>
      </w:r>
    </w:p>
    <w:p w14:paraId="6F1E9D20">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2</w:t>
      </w:r>
      <w:r>
        <w:rPr>
          <w:rFonts w:hint="eastAsia" w:eastAsia="仿宋_GB2312"/>
          <w:sz w:val="32"/>
          <w:szCs w:val="32"/>
          <w:lang w:val="en-US" w:eastAsia="zh-CN"/>
        </w:rPr>
        <w:t>.</w:t>
      </w:r>
      <w:r>
        <w:rPr>
          <w:rFonts w:hint="eastAsia" w:eastAsia="仿宋_GB2312"/>
          <w:sz w:val="32"/>
          <w:szCs w:val="32"/>
          <w:lang w:val="zh-CN"/>
        </w:rPr>
        <w:t>财政预算资金到位较晚，各项目经费支付不能及时到位。</w:t>
      </w:r>
    </w:p>
    <w:p w14:paraId="3C723127">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（三）改进建议。</w:t>
      </w:r>
    </w:p>
    <w:p w14:paraId="17ABA9F6">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1.科学合理编制预算，严格执行预算。</w:t>
      </w:r>
    </w:p>
    <w:p w14:paraId="7457275C">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加强预算编制的前瞻性，按照《预算法》及其实施条例的相关规定，按政策规定及本部门的发展规划，结合上一年度预算执行情况和本年度预算收支变化因素，科学合理的编制年度预算草案，避免项目支出与基本支出划分不准或预算支出与实际执行出现较大偏差的情况，执行中确需调剂预算的，按规定程序报经财政部门批准。</w:t>
      </w:r>
    </w:p>
    <w:p w14:paraId="27D22AAC">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2.完善绩效评价体系，加强监督检查和考核工作。</w:t>
      </w:r>
    </w:p>
    <w:p w14:paraId="50B2536F">
      <w:pPr>
        <w:widowControl/>
        <w:adjustRightInd w:val="0"/>
        <w:snapToGrid w:val="0"/>
        <w:spacing w:line="560" w:lineRule="exact"/>
        <w:ind w:firstLine="640" w:firstLineChars="200"/>
        <w:contextualSpacing/>
        <w:jc w:val="left"/>
        <w:rPr>
          <w:rFonts w:hint="eastAsia" w:eastAsia="仿宋_GB2312"/>
          <w:sz w:val="32"/>
          <w:szCs w:val="32"/>
          <w:lang w:val="zh-CN"/>
        </w:rPr>
      </w:pPr>
      <w:r>
        <w:rPr>
          <w:rFonts w:hint="eastAsia" w:eastAsia="仿宋_GB2312"/>
          <w:sz w:val="32"/>
          <w:szCs w:val="32"/>
          <w:lang w:val="zh-CN"/>
        </w:rPr>
        <w:t>我院将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14:paraId="28959826">
      <w:pPr>
        <w:pStyle w:val="2"/>
        <w:rPr>
          <w:rFonts w:hint="eastAsia" w:eastAsia="仿宋_GB2312"/>
          <w:sz w:val="32"/>
          <w:szCs w:val="32"/>
          <w:lang w:val="zh-CN"/>
        </w:rPr>
      </w:pPr>
    </w:p>
    <w:p w14:paraId="13B203A8">
      <w:pPr>
        <w:pStyle w:val="3"/>
        <w:rPr>
          <w:rFonts w:hint="eastAsia"/>
          <w:lang w:val="zh-CN"/>
        </w:rPr>
      </w:pPr>
    </w:p>
    <w:p w14:paraId="71D840A9">
      <w:pPr>
        <w:pStyle w:val="2"/>
        <w:rPr>
          <w:rFonts w:hint="eastAsia" w:eastAsia="仿宋_GB2312"/>
          <w:sz w:val="32"/>
          <w:szCs w:val="32"/>
          <w:lang w:val="zh-CN"/>
        </w:rPr>
      </w:pPr>
    </w:p>
    <w:p w14:paraId="276F3568">
      <w:pPr>
        <w:pStyle w:val="3"/>
        <w:rPr>
          <w:rFonts w:hint="eastAsia" w:eastAsia="仿宋_GB2312"/>
          <w:sz w:val="32"/>
          <w:szCs w:val="32"/>
          <w:lang w:val="zh-CN"/>
        </w:rPr>
      </w:pPr>
    </w:p>
    <w:p w14:paraId="3FA1BDE1">
      <w:pPr>
        <w:pStyle w:val="3"/>
        <w:ind w:left="0" w:leftChars="0" w:firstLine="0" w:firstLineChars="0"/>
        <w:rPr>
          <w:rFonts w:hint="eastAsia" w:eastAsia="仿宋_GB2312"/>
          <w:sz w:val="32"/>
          <w:szCs w:val="32"/>
          <w:lang w:val="zh-CN"/>
        </w:rPr>
      </w:pPr>
    </w:p>
    <w:p w14:paraId="1E550B74">
      <w:pPr>
        <w:pStyle w:val="3"/>
        <w:ind w:left="0" w:leftChars="0" w:firstLine="0" w:firstLineChars="0"/>
        <w:rPr>
          <w:rFonts w:hint="eastAsia" w:eastAsia="仿宋_GB2312"/>
          <w:sz w:val="32"/>
          <w:szCs w:val="32"/>
          <w:lang w:val="zh-CN"/>
        </w:rPr>
      </w:pPr>
    </w:p>
    <w:p w14:paraId="7DE836D0">
      <w:pPr>
        <w:pStyle w:val="3"/>
        <w:ind w:left="0" w:leftChars="0" w:firstLine="0" w:firstLineChars="0"/>
        <w:rPr>
          <w:rFonts w:hint="eastAsia" w:eastAsia="仿宋_GB2312"/>
          <w:sz w:val="32"/>
          <w:szCs w:val="32"/>
          <w:lang w:val="zh-CN"/>
        </w:rPr>
      </w:pPr>
    </w:p>
    <w:p w14:paraId="0FA25889">
      <w:pPr>
        <w:pStyle w:val="3"/>
        <w:ind w:left="0" w:leftChars="0" w:firstLine="0" w:firstLineChars="0"/>
        <w:rPr>
          <w:rFonts w:hint="eastAsia" w:eastAsia="仿宋_GB2312"/>
          <w:sz w:val="32"/>
          <w:szCs w:val="32"/>
          <w:lang w:val="zh-CN"/>
        </w:rPr>
      </w:pPr>
    </w:p>
    <w:p w14:paraId="16632FF6">
      <w:pPr>
        <w:pStyle w:val="3"/>
        <w:ind w:left="0" w:leftChars="0" w:firstLine="0" w:firstLineChars="0"/>
        <w:rPr>
          <w:rFonts w:hint="eastAsia" w:eastAsia="仿宋_GB2312"/>
          <w:sz w:val="32"/>
          <w:szCs w:val="32"/>
          <w:lang w:val="zh-CN"/>
        </w:rPr>
      </w:pPr>
    </w:p>
    <w:p w14:paraId="1FE9694A">
      <w:pPr>
        <w:pStyle w:val="3"/>
        <w:ind w:left="0" w:leftChars="0" w:firstLine="0" w:firstLineChars="0"/>
        <w:rPr>
          <w:rFonts w:hint="eastAsia" w:eastAsia="仿宋_GB2312"/>
          <w:sz w:val="32"/>
          <w:szCs w:val="32"/>
          <w:lang w:val="zh-CN"/>
        </w:rPr>
      </w:pPr>
    </w:p>
    <w:p w14:paraId="24C45354">
      <w:pPr>
        <w:pStyle w:val="3"/>
        <w:ind w:left="0" w:leftChars="0" w:firstLine="0" w:firstLineChars="0"/>
        <w:rPr>
          <w:rFonts w:hint="eastAsia" w:eastAsia="仿宋_GB2312"/>
          <w:sz w:val="32"/>
          <w:szCs w:val="32"/>
          <w:lang w:val="zh-CN"/>
        </w:rPr>
      </w:pPr>
    </w:p>
    <w:p w14:paraId="2E19BAC7">
      <w:pPr>
        <w:pStyle w:val="8"/>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14:paraId="18FC79EC">
      <w:pPr>
        <w:pStyle w:val="34"/>
        <w:spacing w:line="578" w:lineRule="exact"/>
        <w:jc w:val="center"/>
        <w:rPr>
          <w:rFonts w:ascii="Times New Roman" w:hAnsi="Times New Roman" w:eastAsia="方正小标宋简体" w:cs="方正小标宋简体"/>
          <w:color w:val="auto"/>
          <w:kern w:val="2"/>
          <w:sz w:val="44"/>
          <w:szCs w:val="44"/>
          <w:lang w:val="en-US"/>
        </w:rPr>
      </w:pPr>
    </w:p>
    <w:p w14:paraId="2816E89F">
      <w:pPr>
        <w:pStyle w:val="34"/>
        <w:spacing w:line="578" w:lineRule="exact"/>
        <w:jc w:val="center"/>
        <w:rPr>
          <w:rFonts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05AFA88E">
      <w:pPr>
        <w:pStyle w:val="34"/>
        <w:spacing w:line="578" w:lineRule="exact"/>
        <w:ind w:firstLine="640"/>
        <w:jc w:val="center"/>
        <w:rPr>
          <w:rFonts w:ascii="Times New Roman" w:hAnsi="Times New Roman"/>
          <w:color w:val="auto"/>
          <w:kern w:val="2"/>
          <w:sz w:val="32"/>
          <w:szCs w:val="32"/>
        </w:rPr>
      </w:pPr>
    </w:p>
    <w:p w14:paraId="0C2E40F9">
      <w:pPr>
        <w:adjustRightInd w:val="0"/>
        <w:snapToGrid w:val="0"/>
        <w:spacing w:line="578" w:lineRule="exact"/>
        <w:ind w:firstLine="640" w:firstLineChars="20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14:paraId="5403B74A">
      <w:pPr>
        <w:widowControl/>
        <w:adjustRightInd w:val="0"/>
        <w:snapToGrid w:val="0"/>
        <w:spacing w:line="578" w:lineRule="exact"/>
        <w:ind w:firstLine="643" w:firstLineChars="200"/>
        <w:contextualSpacing/>
        <w:jc w:val="left"/>
        <w:rPr>
          <w:rFonts w:eastAsia="楷体_GB2312"/>
          <w:b/>
          <w:sz w:val="32"/>
          <w:szCs w:val="32"/>
          <w:lang w:val="zh-CN"/>
        </w:rPr>
      </w:pPr>
      <w:r>
        <w:rPr>
          <w:rFonts w:hint="eastAsia" w:eastAsia="楷体_GB2312"/>
          <w:b/>
          <w:sz w:val="32"/>
          <w:szCs w:val="32"/>
          <w:lang w:val="zh-CN"/>
        </w:rPr>
        <w:t>（一）设立背景及基本情况。</w:t>
      </w:r>
    </w:p>
    <w:p w14:paraId="24609F1A">
      <w:pPr>
        <w:adjustRightInd w:val="0"/>
        <w:snapToGrid w:val="0"/>
        <w:spacing w:line="600" w:lineRule="exact"/>
        <w:ind w:firstLine="720"/>
        <w:rPr>
          <w:rFonts w:eastAsia="方正仿宋_GBK"/>
          <w:sz w:val="33"/>
          <w:szCs w:val="33"/>
        </w:rPr>
      </w:pPr>
      <w:r>
        <w:rPr>
          <w:rFonts w:hint="eastAsia" w:ascii="仿宋_GB2312" w:hAnsi="宋体" w:eastAsia="仿宋_GB2312"/>
          <w:sz w:val="32"/>
          <w:szCs w:val="32"/>
          <w:lang w:val="zh-CN"/>
        </w:rPr>
        <w:t>项目主管单位提供文件依据，申报项目，待批复后组织实施项目，并做好项目监督工作，待项目完成后，对项目进行评价，总结工作中的不足并提出解决办法。</w:t>
      </w:r>
    </w:p>
    <w:p w14:paraId="098C11DB">
      <w:pPr>
        <w:adjustRightInd w:val="0"/>
        <w:snapToGrid w:val="0"/>
        <w:spacing w:line="578" w:lineRule="exact"/>
        <w:ind w:firstLine="643" w:firstLineChars="200"/>
        <w:rPr>
          <w:rFonts w:eastAsia="楷体_GB2312"/>
          <w:b/>
          <w:sz w:val="32"/>
          <w:szCs w:val="32"/>
        </w:rPr>
      </w:pPr>
      <w:r>
        <w:rPr>
          <w:rFonts w:hint="eastAsia" w:eastAsia="楷体_GB2312"/>
          <w:b/>
          <w:sz w:val="32"/>
          <w:szCs w:val="32"/>
          <w:lang w:val="zh-CN"/>
        </w:rPr>
        <w:t>（二）</w:t>
      </w:r>
      <w:r>
        <w:rPr>
          <w:rFonts w:eastAsia="楷体_GB2312"/>
          <w:b/>
          <w:sz w:val="32"/>
          <w:szCs w:val="32"/>
        </w:rPr>
        <w:t>实施目的及支持方向</w:t>
      </w:r>
      <w:r>
        <w:rPr>
          <w:rFonts w:hint="eastAsia" w:eastAsia="楷体_GB2312"/>
          <w:b/>
          <w:sz w:val="32"/>
          <w:szCs w:val="32"/>
        </w:rPr>
        <w:t>。</w:t>
      </w:r>
    </w:p>
    <w:p w14:paraId="0764A170">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严格按照相关规定立项，项目资金使用符合资金管理办法等相关规定。我院严格按相关要求对项目资金进行申报、待批复后再投入使用。</w:t>
      </w:r>
    </w:p>
    <w:p w14:paraId="55AE6FD8">
      <w:pPr>
        <w:autoSpaceDE w:val="0"/>
        <w:autoSpaceDN w:val="0"/>
        <w:adjustRightInd w:val="0"/>
        <w:ind w:firstLine="640" w:firstLineChars="200"/>
        <w:jc w:val="left"/>
        <w:rPr>
          <w:rFonts w:eastAsia="方正仿宋_GBK"/>
          <w:sz w:val="33"/>
          <w:szCs w:val="33"/>
        </w:rPr>
      </w:pPr>
      <w:r>
        <w:rPr>
          <w:rFonts w:hint="eastAsia" w:ascii="仿宋_GB2312" w:hAnsi="宋体" w:eastAsia="仿宋_GB2312"/>
          <w:sz w:val="32"/>
          <w:szCs w:val="32"/>
          <w:lang w:val="zh-CN"/>
        </w:rPr>
        <w:t>为规范本院国家司法救助工作，维护当事人合法权益，保障社会公平正义，促进社会和谐稳定，根据中央政法委、财政部、最高人民法院、最高人民检察院、公安部、司法部《关于建立完善国家司法救助制度的意见（试行）》、四川省委政法委、四川省财政厅、四川省高级人民法院、四川省人民检察院、四川省公安厅、四川省司法厅《四川省国家司法救助实施办法（试行）》等文件要求和相关法律法规，结合本院工作实际，申请财政经费4万元。</w:t>
      </w:r>
    </w:p>
    <w:p w14:paraId="13C47801">
      <w:pPr>
        <w:widowControl/>
        <w:adjustRightInd w:val="0"/>
        <w:snapToGrid w:val="0"/>
        <w:spacing w:line="578" w:lineRule="exact"/>
        <w:ind w:firstLine="643" w:firstLineChars="200"/>
        <w:contextualSpacing/>
        <w:jc w:val="left"/>
        <w:rPr>
          <w:rFonts w:eastAsia="楷体_GB2312"/>
          <w:b/>
          <w:sz w:val="32"/>
          <w:szCs w:val="32"/>
          <w:lang w:val="zh-CN"/>
        </w:rPr>
      </w:pPr>
      <w:r>
        <w:rPr>
          <w:rFonts w:hint="eastAsia" w:eastAsia="楷体_GB2312"/>
          <w:b/>
          <w:sz w:val="32"/>
          <w:szCs w:val="32"/>
          <w:lang w:val="zh-CN"/>
        </w:rPr>
        <w:t>（三）</w:t>
      </w:r>
      <w:r>
        <w:rPr>
          <w:rFonts w:eastAsia="楷体_GB2312"/>
          <w:b/>
          <w:sz w:val="32"/>
          <w:szCs w:val="32"/>
        </w:rPr>
        <w:t>预算安排及分配管理</w:t>
      </w:r>
      <w:r>
        <w:rPr>
          <w:rFonts w:hint="eastAsia" w:eastAsia="楷体_GB2312"/>
          <w:b/>
          <w:sz w:val="32"/>
          <w:szCs w:val="32"/>
          <w:lang w:val="zh-CN"/>
        </w:rPr>
        <w:t>。</w:t>
      </w:r>
    </w:p>
    <w:p w14:paraId="0FABD3E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制定了专项资金管理制度，明确专项资金严格按照其审批范围使用。</w:t>
      </w:r>
    </w:p>
    <w:p w14:paraId="212089B0">
      <w:pPr>
        <w:adjustRightInd w:val="0"/>
        <w:snapToGrid w:val="0"/>
        <w:spacing w:line="578" w:lineRule="exact"/>
        <w:ind w:firstLine="643" w:firstLineChars="200"/>
        <w:rPr>
          <w:rFonts w:eastAsia="楷体_GB2312"/>
          <w:b/>
          <w:sz w:val="32"/>
          <w:szCs w:val="32"/>
          <w:lang w:val="zh-CN"/>
        </w:rPr>
      </w:pPr>
      <w:r>
        <w:rPr>
          <w:rFonts w:hint="eastAsia" w:eastAsia="楷体_GB2312"/>
          <w:b/>
          <w:sz w:val="32"/>
          <w:szCs w:val="32"/>
          <w:lang w:val="zh-CN"/>
        </w:rPr>
        <w:t>（四）项目绩效目标设置。</w:t>
      </w:r>
    </w:p>
    <w:p w14:paraId="4F84E7A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资金严格按照项目预算分配，保证专款专用。</w:t>
      </w:r>
    </w:p>
    <w:p w14:paraId="1F55ABC3">
      <w:pPr>
        <w:adjustRightInd w:val="0"/>
        <w:snapToGrid w:val="0"/>
        <w:spacing w:line="578" w:lineRule="exact"/>
        <w:ind w:firstLine="640" w:firstLineChars="200"/>
        <w:rPr>
          <w:rFonts w:eastAsia="黑体"/>
          <w:sz w:val="32"/>
          <w:szCs w:val="32"/>
        </w:rPr>
      </w:pPr>
      <w:r>
        <w:rPr>
          <w:rFonts w:hint="eastAsia" w:eastAsia="黑体"/>
          <w:sz w:val="32"/>
          <w:szCs w:val="32"/>
        </w:rPr>
        <w:t>二、评价实施</w:t>
      </w:r>
    </w:p>
    <w:p w14:paraId="0A97B299">
      <w:pPr>
        <w:spacing w:line="578" w:lineRule="exact"/>
        <w:ind w:firstLine="640"/>
        <w:rPr>
          <w:rFonts w:eastAsia="楷体_GB2312"/>
          <w:b/>
          <w:sz w:val="32"/>
          <w:szCs w:val="32"/>
          <w:lang w:val="zh-CN"/>
        </w:rPr>
      </w:pPr>
      <w:r>
        <w:rPr>
          <w:rFonts w:hint="eastAsia" w:eastAsia="楷体_GB2312"/>
          <w:b/>
          <w:sz w:val="32"/>
          <w:szCs w:val="32"/>
          <w:lang w:val="zh-CN"/>
        </w:rPr>
        <w:t>（一）评价目的。</w:t>
      </w:r>
    </w:p>
    <w:p w14:paraId="32D42589">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进一步落实最高人民法院《关于加强和规范人民法院国家司法救助工作的意见》、最高人民法院关于深化执行改革健全解决执行难长效机制的意见——人民法院执行工作纲要(2019—2023)文件精神，推动健全执行救助制度、司法救助制度，使更多涉民生案件困难当事人得到救助，切实增强人民群众的获得感。</w:t>
      </w:r>
    </w:p>
    <w:p w14:paraId="68E1A0E9">
      <w:pPr>
        <w:adjustRightInd w:val="0"/>
        <w:snapToGrid w:val="0"/>
        <w:spacing w:line="578" w:lineRule="exact"/>
        <w:ind w:firstLine="643" w:firstLineChars="200"/>
        <w:rPr>
          <w:rFonts w:eastAsia="楷体_GB2312"/>
          <w:b/>
          <w:sz w:val="32"/>
          <w:szCs w:val="32"/>
          <w:lang w:val="zh-CN"/>
        </w:rPr>
      </w:pPr>
      <w:r>
        <w:rPr>
          <w:rFonts w:hint="eastAsia" w:eastAsia="楷体_GB2312"/>
          <w:b/>
          <w:sz w:val="32"/>
          <w:szCs w:val="32"/>
          <w:lang w:val="zh-CN"/>
        </w:rPr>
        <w:t>（二）预设问题及评价重点。</w:t>
      </w:r>
    </w:p>
    <w:p w14:paraId="57F7D917">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我院支出经费均为财政资金，年初按项目名称编制了每个项目的资金使用计划。在使用中合理安排各项用款，坚持坚持厉行节约，严控一般性支出，切实将党政机关过紧日子要求落到实处，把各项开支降到最低。</w:t>
      </w:r>
    </w:p>
    <w:p w14:paraId="0379ED7F">
      <w:pPr>
        <w:spacing w:line="578" w:lineRule="exact"/>
        <w:ind w:firstLine="640"/>
        <w:rPr>
          <w:rFonts w:eastAsia="楷体_GB2312"/>
          <w:b/>
          <w:sz w:val="32"/>
          <w:szCs w:val="32"/>
          <w:lang w:val="zh-CN"/>
        </w:rPr>
      </w:pPr>
      <w:r>
        <w:rPr>
          <w:rFonts w:hint="eastAsia" w:eastAsia="楷体_GB2312"/>
          <w:b/>
          <w:sz w:val="32"/>
          <w:szCs w:val="32"/>
          <w:lang w:val="zh-CN"/>
        </w:rPr>
        <w:t>（三）评价选点。</w:t>
      </w:r>
    </w:p>
    <w:p w14:paraId="545245A3">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项目目标评价，项目经济评价，项目决策分析与评价。</w:t>
      </w:r>
    </w:p>
    <w:p w14:paraId="58299000">
      <w:pPr>
        <w:spacing w:line="578" w:lineRule="exact"/>
        <w:ind w:firstLine="640"/>
        <w:rPr>
          <w:rFonts w:eastAsia="楷体_GB2312"/>
          <w:b/>
          <w:sz w:val="32"/>
          <w:szCs w:val="32"/>
          <w:lang w:val="zh-CN"/>
        </w:rPr>
      </w:pPr>
      <w:r>
        <w:rPr>
          <w:rFonts w:hint="eastAsia" w:eastAsia="楷体_GB2312"/>
          <w:b/>
          <w:sz w:val="32"/>
          <w:szCs w:val="32"/>
          <w:lang w:val="zh-CN"/>
        </w:rPr>
        <w:t>（四）评价方法。</w:t>
      </w:r>
    </w:p>
    <w:p w14:paraId="57D40683">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单位自评法。</w:t>
      </w:r>
    </w:p>
    <w:p w14:paraId="2B76894A">
      <w:pPr>
        <w:spacing w:line="578" w:lineRule="exact"/>
        <w:ind w:firstLine="640"/>
        <w:rPr>
          <w:rFonts w:eastAsia="楷体_GB2312"/>
          <w:b/>
          <w:sz w:val="32"/>
          <w:szCs w:val="32"/>
          <w:lang w:val="zh-CN"/>
        </w:rPr>
      </w:pPr>
      <w:r>
        <w:rPr>
          <w:rFonts w:hint="eastAsia" w:eastAsia="楷体_GB2312"/>
          <w:b/>
          <w:sz w:val="32"/>
          <w:szCs w:val="32"/>
          <w:lang w:val="zh-CN"/>
        </w:rPr>
        <w:t>（五）评价组织。</w:t>
      </w:r>
    </w:p>
    <w:p w14:paraId="52806262">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项目负责人及综合办公室财务负责人按照职责完成工作。</w:t>
      </w:r>
    </w:p>
    <w:p w14:paraId="147D32F7">
      <w:pPr>
        <w:adjustRightInd w:val="0"/>
        <w:snapToGrid w:val="0"/>
        <w:spacing w:line="578" w:lineRule="exact"/>
        <w:ind w:firstLine="640" w:firstLineChars="200"/>
        <w:rPr>
          <w:sz w:val="32"/>
          <w:szCs w:val="32"/>
          <w:lang w:val="zh-CN"/>
        </w:rPr>
      </w:pPr>
      <w:r>
        <w:rPr>
          <w:rFonts w:hint="eastAsia" w:eastAsia="黑体"/>
          <w:sz w:val="32"/>
          <w:szCs w:val="32"/>
        </w:rPr>
        <w:t>三、绩效分析</w:t>
      </w:r>
      <w:r>
        <w:rPr>
          <w:rFonts w:hint="eastAsia"/>
          <w:sz w:val="32"/>
          <w:szCs w:val="32"/>
          <w:lang w:val="zh-CN"/>
        </w:rPr>
        <w:tab/>
      </w:r>
    </w:p>
    <w:p w14:paraId="5221F4EA">
      <w:pPr>
        <w:spacing w:line="578" w:lineRule="exact"/>
        <w:ind w:firstLine="640"/>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14:paraId="14520465">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1.项目决策。</w:t>
      </w:r>
    </w:p>
    <w:p w14:paraId="38EDAFB5">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我院司法救助项目由负责司法救助的业务部门提出项目需求，报院党组同意后实施。</w:t>
      </w:r>
    </w:p>
    <w:p w14:paraId="20B67891">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2.项目管理。</w:t>
      </w:r>
    </w:p>
    <w:p w14:paraId="1D0C0624">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项目运行过程中定期由督察部门等对项目进行情况进行抽查监督。</w:t>
      </w:r>
    </w:p>
    <w:p w14:paraId="62C48492">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3.项目实施。</w:t>
      </w:r>
    </w:p>
    <w:p w14:paraId="19DB9363">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由具体的业务部门完成对项目的实施。</w:t>
      </w:r>
    </w:p>
    <w:p w14:paraId="6837B2D8">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项目结果。</w:t>
      </w:r>
    </w:p>
    <w:p w14:paraId="69A7B0DC">
      <w:pPr>
        <w:adjustRightInd w:val="0"/>
        <w:snapToGrid w:val="0"/>
        <w:spacing w:line="600" w:lineRule="exact"/>
        <w:ind w:firstLine="720"/>
        <w:rPr>
          <w:rFonts w:eastAsia="方正仿宋_GBK"/>
          <w:sz w:val="33"/>
          <w:szCs w:val="33"/>
        </w:rPr>
      </w:pPr>
      <w:r>
        <w:rPr>
          <w:rFonts w:hint="eastAsia" w:ascii="仿宋_GB2312" w:hAnsi="宋体" w:eastAsia="仿宋_GB2312"/>
          <w:sz w:val="32"/>
          <w:szCs w:val="32"/>
          <w:lang w:val="zh-CN"/>
        </w:rPr>
        <w:t>已按年初预算完成项目指标。</w:t>
      </w:r>
    </w:p>
    <w:p w14:paraId="3B509A15">
      <w:pPr>
        <w:spacing w:line="578" w:lineRule="exact"/>
        <w:ind w:firstLine="640"/>
        <w:rPr>
          <w:rFonts w:eastAsia="仿宋_GB2312" w:cs="仿宋_GB2312"/>
          <w:kern w:val="0"/>
          <w:sz w:val="32"/>
          <w:szCs w:val="32"/>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p>
    <w:p w14:paraId="1F4242F8">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1.产业发展。</w:t>
      </w:r>
    </w:p>
    <w:p w14:paraId="44BABFD5">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使更多涉民生案件困难当事人得到救助，切实增强人民群众的获得感，提升司法、执行工作公信力及人民群众满意度。</w:t>
      </w:r>
    </w:p>
    <w:p w14:paraId="5E98F619">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eastAsia="zh-CN"/>
        </w:rPr>
        <w:t>民生保障。</w:t>
      </w:r>
    </w:p>
    <w:p w14:paraId="2ABC49E1">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保障困难当事人的合法权益。</w:t>
      </w:r>
    </w:p>
    <w:p w14:paraId="458ABFF2">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3.基础设施。</w:t>
      </w:r>
    </w:p>
    <w:p w14:paraId="36807472">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无。</w:t>
      </w:r>
    </w:p>
    <w:p w14:paraId="228D51B9">
      <w:pPr>
        <w:adjustRightInd w:val="0"/>
        <w:snapToGrid w:val="0"/>
        <w:spacing w:line="60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eastAsia="zh-CN"/>
        </w:rPr>
        <w:t>行政运转。</w:t>
      </w:r>
    </w:p>
    <w:p w14:paraId="5811AB5D">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按照年初预算要求对资金进行管理，保障项目顺利开展。</w:t>
      </w:r>
    </w:p>
    <w:p w14:paraId="305990F8">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（三）</w:t>
      </w:r>
      <w:r>
        <w:rPr>
          <w:rFonts w:hint="eastAsia" w:eastAsia="楷体_GB2312"/>
          <w:b/>
          <w:sz w:val="32"/>
          <w:szCs w:val="32"/>
        </w:rPr>
        <w:t>个性指标</w:t>
      </w:r>
      <w:r>
        <w:rPr>
          <w:rFonts w:eastAsia="楷体_GB2312"/>
          <w:b/>
          <w:bCs/>
          <w:color w:val="000000"/>
          <w:kern w:val="0"/>
          <w:sz w:val="32"/>
          <w:szCs w:val="32"/>
          <w:shd w:val="clear" w:color="auto" w:fill="FFFFFF"/>
          <w:lang w:val="zh-CN"/>
        </w:rPr>
        <w:t>绩效分析。</w:t>
      </w:r>
    </w:p>
    <w:p w14:paraId="58107AF2">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被救助当事人满意度：98%。</w:t>
      </w:r>
    </w:p>
    <w:p w14:paraId="29719A07">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四、评价结论</w:t>
      </w:r>
    </w:p>
    <w:p w14:paraId="0BADC81F">
      <w:pPr>
        <w:spacing w:line="578" w:lineRule="exact"/>
        <w:ind w:firstLine="640"/>
        <w:rPr>
          <w:rFonts w:eastAsia="方正仿宋_GBK"/>
          <w:sz w:val="33"/>
          <w:szCs w:val="33"/>
        </w:rPr>
      </w:pPr>
      <w:r>
        <w:rPr>
          <w:rFonts w:hint="eastAsia" w:ascii="仿宋_GB2312" w:hAnsi="宋体" w:eastAsia="仿宋_GB2312"/>
          <w:sz w:val="32"/>
          <w:szCs w:val="32"/>
          <w:lang w:val="en-US" w:eastAsia="zh-CN"/>
        </w:rPr>
        <w:t>经过项目自评，我院司法救助项目总体运行情况良好，保障了生活困难当事人的各项经费开支。</w:t>
      </w:r>
    </w:p>
    <w:p w14:paraId="44D1C7CF">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五、存在主要问题</w:t>
      </w:r>
    </w:p>
    <w:p w14:paraId="23A46966">
      <w:pPr>
        <w:spacing w:line="578" w:lineRule="exact"/>
        <w:ind w:firstLine="640"/>
        <w:rPr>
          <w:rFonts w:eastAsia="仿宋_GB2312" w:cs="仿宋_GB2312"/>
          <w:kern w:val="0"/>
          <w:sz w:val="32"/>
          <w:szCs w:val="32"/>
        </w:rPr>
      </w:pPr>
      <w:r>
        <w:rPr>
          <w:rFonts w:hint="eastAsia" w:eastAsia="仿宋_GB2312" w:cs="仿宋_GB2312"/>
          <w:kern w:val="0"/>
          <w:sz w:val="32"/>
          <w:szCs w:val="32"/>
        </w:rPr>
        <w:t>无。</w:t>
      </w:r>
    </w:p>
    <w:p w14:paraId="64FD1DB0">
      <w:pPr>
        <w:spacing w:line="578" w:lineRule="exact"/>
        <w:ind w:firstLine="640"/>
        <w:rPr>
          <w:rFonts w:ascii="黑体" w:hAnsi="黑体" w:eastAsia="黑体" w:cs="黑体"/>
          <w:kern w:val="0"/>
          <w:sz w:val="32"/>
          <w:szCs w:val="32"/>
          <w:lang w:val="zh-CN"/>
        </w:rPr>
      </w:pPr>
      <w:r>
        <w:rPr>
          <w:rFonts w:hint="eastAsia" w:ascii="黑体" w:hAnsi="黑体" w:eastAsia="黑体" w:cs="黑体"/>
          <w:kern w:val="0"/>
          <w:sz w:val="32"/>
          <w:szCs w:val="32"/>
          <w:lang w:val="zh-CN"/>
        </w:rPr>
        <w:t>六、改进建议</w:t>
      </w:r>
    </w:p>
    <w:p w14:paraId="0C892FB5">
      <w:pPr>
        <w:spacing w:line="578"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加强绩效工作的相关培训学习，与业务工作相紧密结合，预算绩效与业务工作考核挂钩,建立预算绩效管理制度,提高绩效管理水平。</w:t>
      </w:r>
    </w:p>
    <w:p w14:paraId="37D93574">
      <w:pPr>
        <w:pStyle w:val="3"/>
        <w:ind w:left="0" w:leftChars="0" w:firstLine="0" w:firstLineChars="0"/>
        <w:rPr>
          <w:rFonts w:hint="eastAsia" w:eastAsia="仿宋_GB2312"/>
          <w:sz w:val="32"/>
          <w:szCs w:val="32"/>
          <w:lang w:val="zh-CN"/>
        </w:rPr>
      </w:pPr>
    </w:p>
    <w:p w14:paraId="0831450A">
      <w:pPr>
        <w:widowControl/>
        <w:jc w:val="center"/>
        <w:rPr>
          <w:rFonts w:eastAsia="仿宋_GB2312" w:cs="仿宋_GB2312"/>
          <w:kern w:val="0"/>
          <w:sz w:val="32"/>
          <w:szCs w:val="32"/>
        </w:rPr>
      </w:pPr>
    </w:p>
    <w:p w14:paraId="58A3E433">
      <w:pPr>
        <w:widowControl/>
        <w:jc w:val="center"/>
        <w:rPr>
          <w:rFonts w:eastAsia="黑体"/>
          <w:sz w:val="44"/>
          <w:szCs w:val="44"/>
        </w:rPr>
      </w:pPr>
    </w:p>
    <w:p w14:paraId="31D3FE6E">
      <w:pPr>
        <w:widowControl/>
        <w:jc w:val="center"/>
        <w:rPr>
          <w:rFonts w:eastAsia="黑体"/>
          <w:sz w:val="44"/>
          <w:szCs w:val="44"/>
        </w:rPr>
      </w:pPr>
    </w:p>
    <w:p w14:paraId="269D9256">
      <w:pPr>
        <w:widowControl/>
        <w:jc w:val="center"/>
        <w:rPr>
          <w:rFonts w:eastAsia="黑体"/>
          <w:sz w:val="44"/>
          <w:szCs w:val="44"/>
        </w:rPr>
      </w:pPr>
    </w:p>
    <w:p w14:paraId="41EB4056">
      <w:pPr>
        <w:widowControl/>
        <w:jc w:val="center"/>
        <w:rPr>
          <w:rFonts w:eastAsia="黑体"/>
          <w:sz w:val="44"/>
          <w:szCs w:val="44"/>
        </w:rPr>
      </w:pPr>
    </w:p>
    <w:p w14:paraId="06E1D135">
      <w:pPr>
        <w:widowControl/>
        <w:jc w:val="center"/>
        <w:rPr>
          <w:rFonts w:eastAsia="黑体"/>
          <w:sz w:val="44"/>
          <w:szCs w:val="44"/>
        </w:rPr>
      </w:pPr>
    </w:p>
    <w:p w14:paraId="6E99C21D">
      <w:pPr>
        <w:widowControl/>
        <w:jc w:val="center"/>
        <w:rPr>
          <w:rFonts w:eastAsia="黑体"/>
          <w:sz w:val="44"/>
          <w:szCs w:val="44"/>
        </w:rPr>
      </w:pPr>
    </w:p>
    <w:p w14:paraId="224753A4">
      <w:pPr>
        <w:widowControl/>
        <w:jc w:val="center"/>
        <w:rPr>
          <w:rFonts w:hint="eastAsia" w:eastAsia="黑体"/>
          <w:sz w:val="44"/>
          <w:szCs w:val="44"/>
        </w:rPr>
      </w:pPr>
    </w:p>
    <w:p w14:paraId="4ECBAA64">
      <w:pPr>
        <w:widowControl/>
        <w:jc w:val="both"/>
        <w:rPr>
          <w:rFonts w:hint="eastAsia" w:eastAsia="黑体"/>
          <w:sz w:val="44"/>
          <w:szCs w:val="44"/>
        </w:rPr>
      </w:pPr>
    </w:p>
    <w:p w14:paraId="42053B1F">
      <w:pPr>
        <w:pStyle w:val="2"/>
        <w:rPr>
          <w:rFonts w:hint="eastAsia" w:eastAsia="黑体"/>
          <w:sz w:val="44"/>
          <w:szCs w:val="44"/>
        </w:rPr>
      </w:pPr>
    </w:p>
    <w:p w14:paraId="1911DD04">
      <w:pPr>
        <w:pStyle w:val="3"/>
        <w:rPr>
          <w:rFonts w:hint="eastAsia" w:eastAsia="黑体"/>
          <w:sz w:val="44"/>
          <w:szCs w:val="44"/>
        </w:rPr>
      </w:pPr>
    </w:p>
    <w:p w14:paraId="14B47B83">
      <w:pPr>
        <w:pStyle w:val="3"/>
        <w:spacing w:line="560" w:lineRule="exact"/>
        <w:ind w:left="0" w:leftChars="0" w:firstLine="0" w:firstLineChars="0"/>
        <w:rPr>
          <w:rFonts w:hint="eastAsia" w:ascii="Times New Roman" w:eastAsia="仿宋_GB2312"/>
          <w:sz w:val="32"/>
          <w:lang w:val="zh-CN"/>
        </w:rPr>
      </w:pPr>
    </w:p>
    <w:p w14:paraId="43B00FE2">
      <w:pPr>
        <w:pStyle w:val="3"/>
        <w:spacing w:line="560" w:lineRule="exact"/>
        <w:ind w:left="0" w:leftChars="0" w:firstLine="0" w:firstLineChars="0"/>
        <w:rPr>
          <w:rFonts w:hint="default" w:eastAsia="仿宋_GB2312"/>
          <w:sz w:val="32"/>
          <w:szCs w:val="32"/>
          <w:lang w:val="en-US" w:eastAsia="zh-CN"/>
        </w:rPr>
      </w:pPr>
      <w:r>
        <w:rPr>
          <w:rFonts w:hint="eastAsia" w:ascii="Times New Roman" w:eastAsia="仿宋_GB2312"/>
          <w:sz w:val="32"/>
          <w:lang w:val="zh-CN"/>
        </w:rPr>
        <w:t>附表：</w:t>
      </w:r>
      <w:r>
        <w:rPr>
          <w:rFonts w:hint="eastAsia" w:ascii="Times New Roman" w:eastAsia="仿宋_GB2312"/>
          <w:sz w:val="32"/>
        </w:rPr>
        <w:t>部门预算项目支出绩效自评表（2024年度）</w:t>
      </w:r>
      <w:r>
        <w:rPr>
          <w:rFonts w:hint="eastAsia" w:ascii="Times New Roman" w:eastAsia="仿宋_GB2312"/>
          <w:sz w:val="32"/>
          <w:lang w:val="en-US" w:eastAsia="zh-CN"/>
        </w:rPr>
        <w:t>见附件3</w:t>
      </w:r>
    </w:p>
    <w:p w14:paraId="15EEA2B9">
      <w:pPr>
        <w:pStyle w:val="3"/>
        <w:rPr>
          <w:rFonts w:hint="eastAsia" w:eastAsia="黑体"/>
          <w:sz w:val="44"/>
          <w:szCs w:val="44"/>
        </w:rPr>
      </w:pPr>
    </w:p>
    <w:p w14:paraId="3367AE5E">
      <w:pPr>
        <w:pStyle w:val="3"/>
        <w:rPr>
          <w:rFonts w:hint="eastAsia" w:eastAsia="黑体"/>
          <w:sz w:val="44"/>
          <w:szCs w:val="44"/>
        </w:rPr>
      </w:pPr>
    </w:p>
    <w:p w14:paraId="7CCEAB7C">
      <w:pPr>
        <w:pStyle w:val="3"/>
        <w:rPr>
          <w:rFonts w:hint="eastAsia" w:eastAsia="黑体"/>
          <w:sz w:val="44"/>
          <w:szCs w:val="44"/>
        </w:rPr>
      </w:pPr>
    </w:p>
    <w:p w14:paraId="2B5E3385">
      <w:pPr>
        <w:pStyle w:val="3"/>
        <w:rPr>
          <w:rFonts w:hint="eastAsia" w:eastAsia="黑体"/>
          <w:sz w:val="44"/>
          <w:szCs w:val="44"/>
        </w:rPr>
      </w:pPr>
    </w:p>
    <w:p w14:paraId="248D8866">
      <w:pPr>
        <w:pStyle w:val="3"/>
        <w:rPr>
          <w:rFonts w:hint="eastAsia" w:eastAsia="黑体"/>
          <w:sz w:val="44"/>
          <w:szCs w:val="44"/>
        </w:rPr>
      </w:pPr>
    </w:p>
    <w:p w14:paraId="3219EC74">
      <w:pPr>
        <w:pStyle w:val="3"/>
        <w:rPr>
          <w:rFonts w:hint="eastAsia" w:eastAsia="黑体"/>
          <w:sz w:val="44"/>
          <w:szCs w:val="44"/>
        </w:rPr>
      </w:pPr>
    </w:p>
    <w:p w14:paraId="7BD4ED4B">
      <w:pPr>
        <w:widowControl/>
        <w:jc w:val="center"/>
        <w:rPr>
          <w:rFonts w:hint="eastAsia" w:eastAsia="黑体"/>
          <w:sz w:val="44"/>
          <w:szCs w:val="44"/>
        </w:rPr>
      </w:pPr>
    </w:p>
    <w:p w14:paraId="205526F0">
      <w:pPr>
        <w:widowControl/>
        <w:jc w:val="center"/>
        <w:rPr>
          <w:rFonts w:hint="eastAsia" w:eastAsia="黑体"/>
          <w:sz w:val="44"/>
          <w:szCs w:val="44"/>
        </w:rPr>
      </w:pPr>
    </w:p>
    <w:p w14:paraId="73256B94">
      <w:pPr>
        <w:widowControl/>
        <w:jc w:val="center"/>
        <w:rPr>
          <w:rFonts w:hint="eastAsia" w:eastAsia="黑体"/>
          <w:sz w:val="44"/>
          <w:szCs w:val="44"/>
        </w:rPr>
      </w:pPr>
    </w:p>
    <w:p w14:paraId="6399A240">
      <w:pPr>
        <w:widowControl/>
        <w:jc w:val="center"/>
        <w:rPr>
          <w:rFonts w:hint="eastAsia" w:eastAsia="黑体"/>
          <w:sz w:val="44"/>
          <w:szCs w:val="44"/>
        </w:rPr>
      </w:pPr>
    </w:p>
    <w:p w14:paraId="5F8C70F8">
      <w:pPr>
        <w:widowControl/>
        <w:jc w:val="center"/>
        <w:rPr>
          <w:rFonts w:hint="eastAsia" w:eastAsia="黑体"/>
          <w:sz w:val="44"/>
          <w:szCs w:val="44"/>
        </w:rPr>
      </w:pPr>
    </w:p>
    <w:p w14:paraId="7645B5CD">
      <w:pPr>
        <w:widowControl/>
        <w:jc w:val="center"/>
        <w:rPr>
          <w:rFonts w:hint="eastAsia" w:eastAsia="黑体"/>
          <w:sz w:val="44"/>
          <w:szCs w:val="44"/>
        </w:rPr>
      </w:pPr>
    </w:p>
    <w:p w14:paraId="15083CA5">
      <w:pPr>
        <w:widowControl/>
        <w:jc w:val="center"/>
        <w:rPr>
          <w:rFonts w:hint="eastAsia" w:eastAsia="黑体"/>
          <w:sz w:val="44"/>
          <w:szCs w:val="44"/>
        </w:rPr>
      </w:pPr>
    </w:p>
    <w:p w14:paraId="2F79CDB4">
      <w:pPr>
        <w:widowControl/>
        <w:jc w:val="center"/>
        <w:rPr>
          <w:rFonts w:hint="eastAsia" w:eastAsia="黑体"/>
          <w:sz w:val="44"/>
          <w:szCs w:val="44"/>
        </w:rPr>
      </w:pPr>
    </w:p>
    <w:p w14:paraId="2F661F70">
      <w:pPr>
        <w:widowControl/>
        <w:jc w:val="center"/>
        <w:rPr>
          <w:rFonts w:hint="eastAsia" w:eastAsia="黑体"/>
          <w:sz w:val="44"/>
          <w:szCs w:val="44"/>
        </w:rPr>
      </w:pPr>
    </w:p>
    <w:p w14:paraId="2AA9638A">
      <w:pPr>
        <w:widowControl/>
        <w:jc w:val="center"/>
        <w:rPr>
          <w:rFonts w:hint="eastAsia" w:eastAsia="黑体"/>
          <w:sz w:val="44"/>
          <w:szCs w:val="44"/>
        </w:rPr>
      </w:pPr>
    </w:p>
    <w:p w14:paraId="065D950E">
      <w:pPr>
        <w:widowControl/>
        <w:jc w:val="center"/>
        <w:rPr>
          <w:rFonts w:hint="eastAsia" w:eastAsia="黑体"/>
          <w:sz w:val="44"/>
          <w:szCs w:val="44"/>
        </w:rPr>
      </w:pPr>
    </w:p>
    <w:p w14:paraId="2927D88B">
      <w:pPr>
        <w:widowControl/>
        <w:jc w:val="center"/>
        <w:rPr>
          <w:rFonts w:hint="eastAsia" w:eastAsia="黑体"/>
          <w:sz w:val="44"/>
          <w:szCs w:val="44"/>
        </w:rPr>
      </w:pPr>
    </w:p>
    <w:p w14:paraId="7B18F336">
      <w:pPr>
        <w:widowControl/>
        <w:jc w:val="center"/>
        <w:rPr>
          <w:rFonts w:hint="eastAsia" w:eastAsia="黑体"/>
          <w:sz w:val="44"/>
          <w:szCs w:val="44"/>
        </w:rPr>
      </w:pPr>
    </w:p>
    <w:p w14:paraId="0897CEF3">
      <w:pPr>
        <w:widowControl/>
        <w:jc w:val="center"/>
        <w:rPr>
          <w:rFonts w:eastAsia="仿宋"/>
        </w:rPr>
      </w:pPr>
      <w:r>
        <w:rPr>
          <w:rFonts w:hint="eastAsia" w:eastAsia="黑体"/>
          <w:sz w:val="44"/>
          <w:szCs w:val="44"/>
        </w:rPr>
        <w:t>第</w:t>
      </w:r>
      <w:r>
        <w:rPr>
          <w:rStyle w:val="28"/>
          <w:rFonts w:hint="eastAsia" w:eastAsia="黑体"/>
          <w:b w:val="0"/>
        </w:rPr>
        <w:t>五部分 附表</w:t>
      </w:r>
      <w:bookmarkEnd w:id="49"/>
      <w:bookmarkEnd w:id="51"/>
      <w:bookmarkStart w:id="52" w:name="_Toc15396619"/>
    </w:p>
    <w:p w14:paraId="045C4A31">
      <w:pPr>
        <w:pStyle w:val="14"/>
        <w:adjustRightInd w:val="0"/>
        <w:snapToGrid w:val="0"/>
        <w:spacing w:line="560" w:lineRule="exact"/>
        <w:jc w:val="left"/>
        <w:rPr>
          <w:rFonts w:eastAsia="仿宋_GB2312" w:cs="仿宋_GB2312"/>
          <w:sz w:val="32"/>
          <w:szCs w:val="32"/>
        </w:rPr>
      </w:pPr>
    </w:p>
    <w:p w14:paraId="7323F03F">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2"/>
    </w:p>
    <w:p w14:paraId="3BEE17C2">
      <w:pPr>
        <w:pStyle w:val="14"/>
        <w:adjustRightInd w:val="0"/>
        <w:snapToGrid w:val="0"/>
        <w:spacing w:line="560" w:lineRule="exact"/>
        <w:jc w:val="left"/>
        <w:rPr>
          <w:rFonts w:eastAsia="仿宋_GB2312" w:cs="仿宋_GB2312"/>
          <w:sz w:val="32"/>
          <w:szCs w:val="32"/>
        </w:rPr>
      </w:pPr>
      <w:bookmarkStart w:id="53" w:name="_Toc15396620"/>
      <w:r>
        <w:rPr>
          <w:rFonts w:hint="eastAsia" w:eastAsia="仿宋_GB2312" w:cs="仿宋_GB2312"/>
          <w:sz w:val="32"/>
          <w:szCs w:val="32"/>
        </w:rPr>
        <w:t>二、收入决算表</w:t>
      </w:r>
      <w:bookmarkEnd w:id="53"/>
    </w:p>
    <w:p w14:paraId="12062609">
      <w:pPr>
        <w:pStyle w:val="14"/>
        <w:adjustRightInd w:val="0"/>
        <w:snapToGrid w:val="0"/>
        <w:spacing w:line="560" w:lineRule="exact"/>
        <w:jc w:val="left"/>
        <w:rPr>
          <w:rFonts w:eastAsia="仿宋_GB2312" w:cs="仿宋_GB2312"/>
          <w:sz w:val="32"/>
          <w:szCs w:val="32"/>
        </w:rPr>
      </w:pPr>
      <w:bookmarkStart w:id="54" w:name="_Toc15396621"/>
      <w:r>
        <w:rPr>
          <w:rFonts w:hint="eastAsia" w:eastAsia="仿宋_GB2312" w:cs="仿宋_GB2312"/>
          <w:sz w:val="32"/>
          <w:szCs w:val="32"/>
        </w:rPr>
        <w:t>三、支出决算表</w:t>
      </w:r>
      <w:bookmarkEnd w:id="54"/>
    </w:p>
    <w:p w14:paraId="5F712169">
      <w:pPr>
        <w:pStyle w:val="14"/>
        <w:adjustRightInd w:val="0"/>
        <w:snapToGrid w:val="0"/>
        <w:spacing w:line="560" w:lineRule="exact"/>
        <w:jc w:val="left"/>
        <w:rPr>
          <w:rFonts w:eastAsia="仿宋_GB2312" w:cs="仿宋_GB2312"/>
          <w:sz w:val="32"/>
          <w:szCs w:val="32"/>
        </w:rPr>
      </w:pPr>
      <w:bookmarkStart w:id="55" w:name="_Toc15396622"/>
      <w:r>
        <w:rPr>
          <w:rFonts w:hint="eastAsia" w:eastAsia="仿宋_GB2312" w:cs="仿宋_GB2312"/>
          <w:sz w:val="32"/>
          <w:szCs w:val="32"/>
        </w:rPr>
        <w:t>四、财政拨款收入支出决算总表</w:t>
      </w:r>
      <w:bookmarkEnd w:id="55"/>
    </w:p>
    <w:p w14:paraId="2A54668E">
      <w:pPr>
        <w:pStyle w:val="14"/>
        <w:adjustRightInd w:val="0"/>
        <w:snapToGrid w:val="0"/>
        <w:spacing w:line="560" w:lineRule="exact"/>
        <w:jc w:val="left"/>
        <w:rPr>
          <w:rFonts w:eastAsia="仿宋_GB2312" w:cs="仿宋_GB2312"/>
          <w:sz w:val="32"/>
          <w:szCs w:val="32"/>
        </w:rPr>
      </w:pPr>
      <w:bookmarkStart w:id="56" w:name="_Toc15396623"/>
      <w:r>
        <w:rPr>
          <w:rFonts w:hint="eastAsia" w:eastAsia="仿宋_GB2312" w:cs="仿宋_GB2312"/>
          <w:sz w:val="32"/>
          <w:szCs w:val="32"/>
        </w:rPr>
        <w:t>五、财政拨款支出决算明细表</w:t>
      </w:r>
      <w:bookmarkEnd w:id="56"/>
      <w:bookmarkStart w:id="57" w:name="_Toc15396624"/>
    </w:p>
    <w:p w14:paraId="3CCD438D">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7"/>
    </w:p>
    <w:p w14:paraId="546FC309">
      <w:pPr>
        <w:pStyle w:val="14"/>
        <w:adjustRightInd w:val="0"/>
        <w:snapToGrid w:val="0"/>
        <w:spacing w:line="560" w:lineRule="exact"/>
        <w:jc w:val="left"/>
        <w:rPr>
          <w:rFonts w:eastAsia="仿宋_GB2312" w:cs="仿宋_GB2312"/>
          <w:sz w:val="32"/>
          <w:szCs w:val="32"/>
        </w:rPr>
      </w:pPr>
      <w:bookmarkStart w:id="58" w:name="_Toc15396625"/>
      <w:r>
        <w:rPr>
          <w:rFonts w:hint="eastAsia" w:eastAsia="仿宋_GB2312" w:cs="仿宋_GB2312"/>
          <w:sz w:val="32"/>
          <w:szCs w:val="32"/>
        </w:rPr>
        <w:t>七、一般公共预算财政拨款支出决算明细表</w:t>
      </w:r>
      <w:bookmarkEnd w:id="58"/>
    </w:p>
    <w:p w14:paraId="00172E3E">
      <w:pPr>
        <w:pStyle w:val="14"/>
        <w:adjustRightInd w:val="0"/>
        <w:snapToGrid w:val="0"/>
        <w:spacing w:line="560" w:lineRule="exact"/>
        <w:jc w:val="left"/>
        <w:rPr>
          <w:rFonts w:eastAsia="仿宋_GB2312" w:cs="仿宋_GB2312"/>
          <w:sz w:val="32"/>
          <w:szCs w:val="32"/>
        </w:rPr>
      </w:pPr>
      <w:bookmarkStart w:id="59" w:name="_Toc15396626"/>
      <w:r>
        <w:rPr>
          <w:rFonts w:hint="eastAsia" w:eastAsia="仿宋_GB2312" w:cs="仿宋_GB2312"/>
          <w:sz w:val="32"/>
          <w:szCs w:val="32"/>
        </w:rPr>
        <w:t>八、一般公共预算财政拨款基本支出决算表</w:t>
      </w:r>
      <w:bookmarkEnd w:id="59"/>
    </w:p>
    <w:p w14:paraId="722B0873">
      <w:pPr>
        <w:pStyle w:val="14"/>
        <w:adjustRightInd w:val="0"/>
        <w:snapToGrid w:val="0"/>
        <w:spacing w:line="560" w:lineRule="exact"/>
        <w:jc w:val="left"/>
        <w:rPr>
          <w:rFonts w:eastAsia="仿宋_GB2312" w:cs="仿宋_GB2312"/>
          <w:sz w:val="32"/>
          <w:szCs w:val="32"/>
        </w:rPr>
      </w:pPr>
      <w:bookmarkStart w:id="60" w:name="_Toc15396627"/>
      <w:r>
        <w:rPr>
          <w:rFonts w:hint="eastAsia" w:eastAsia="仿宋_GB2312" w:cs="仿宋_GB2312"/>
          <w:sz w:val="32"/>
          <w:szCs w:val="32"/>
        </w:rPr>
        <w:t>九、一般公共预算财政拨款项目支出决算表</w:t>
      </w:r>
      <w:bookmarkEnd w:id="60"/>
    </w:p>
    <w:p w14:paraId="11322AD1">
      <w:pPr>
        <w:pStyle w:val="14"/>
        <w:adjustRightInd w:val="0"/>
        <w:snapToGrid w:val="0"/>
        <w:spacing w:line="560" w:lineRule="exact"/>
        <w:jc w:val="left"/>
        <w:rPr>
          <w:rFonts w:eastAsia="仿宋_GB2312" w:cs="仿宋_GB2312"/>
          <w:sz w:val="32"/>
          <w:szCs w:val="32"/>
        </w:rPr>
      </w:pPr>
      <w:bookmarkStart w:id="61" w:name="_Toc15396628"/>
      <w:r>
        <w:rPr>
          <w:rFonts w:hint="eastAsia" w:eastAsia="仿宋_GB2312" w:cs="仿宋_GB2312"/>
          <w:sz w:val="32"/>
          <w:szCs w:val="32"/>
        </w:rPr>
        <w:t>十、</w:t>
      </w:r>
      <w:bookmarkEnd w:id="61"/>
      <w:r>
        <w:rPr>
          <w:rFonts w:hint="eastAsia" w:eastAsia="仿宋_GB2312" w:cs="仿宋_GB2312"/>
          <w:sz w:val="32"/>
          <w:szCs w:val="32"/>
        </w:rPr>
        <w:t>政府性基金预算财政拨款收入支出决算表</w:t>
      </w:r>
    </w:p>
    <w:p w14:paraId="4F15B63D">
      <w:pPr>
        <w:pStyle w:val="14"/>
        <w:adjustRightInd w:val="0"/>
        <w:snapToGrid w:val="0"/>
        <w:spacing w:line="560" w:lineRule="exact"/>
        <w:jc w:val="left"/>
        <w:rPr>
          <w:rFonts w:eastAsia="仿宋_GB2312" w:cs="仿宋_GB2312"/>
          <w:sz w:val="32"/>
          <w:szCs w:val="32"/>
        </w:rPr>
      </w:pPr>
      <w:bookmarkStart w:id="62" w:name="_Toc15396629"/>
      <w:r>
        <w:rPr>
          <w:rFonts w:hint="eastAsia" w:eastAsia="仿宋_GB2312" w:cs="仿宋_GB2312"/>
          <w:sz w:val="32"/>
          <w:szCs w:val="32"/>
        </w:rPr>
        <w:t>十一、</w:t>
      </w:r>
      <w:bookmarkEnd w:id="62"/>
      <w:r>
        <w:rPr>
          <w:rFonts w:hint="eastAsia" w:eastAsia="仿宋_GB2312" w:cs="仿宋_GB2312"/>
          <w:sz w:val="32"/>
          <w:szCs w:val="32"/>
        </w:rPr>
        <w:t>国有资本经营预算财政拨款收入支出决算表</w:t>
      </w:r>
    </w:p>
    <w:p w14:paraId="74236E50">
      <w:pPr>
        <w:pStyle w:val="14"/>
        <w:adjustRightInd w:val="0"/>
        <w:snapToGrid w:val="0"/>
        <w:spacing w:line="560" w:lineRule="exact"/>
        <w:jc w:val="left"/>
        <w:rPr>
          <w:rFonts w:eastAsia="仿宋_GB2312" w:cs="仿宋_GB2312"/>
          <w:sz w:val="32"/>
          <w:szCs w:val="32"/>
        </w:rPr>
      </w:pPr>
      <w:bookmarkStart w:id="63" w:name="_Toc15396630"/>
      <w:r>
        <w:rPr>
          <w:rFonts w:hint="eastAsia" w:eastAsia="仿宋_GB2312" w:cs="仿宋_GB2312"/>
          <w:sz w:val="32"/>
          <w:szCs w:val="32"/>
        </w:rPr>
        <w:t>十二、</w:t>
      </w:r>
      <w:bookmarkEnd w:id="63"/>
      <w:r>
        <w:rPr>
          <w:rFonts w:hint="eastAsia" w:eastAsia="仿宋_GB2312" w:cs="仿宋_GB2312"/>
          <w:sz w:val="32"/>
          <w:szCs w:val="32"/>
        </w:rPr>
        <w:t>国有资本经营预算财政拨款支出决算表</w:t>
      </w:r>
    </w:p>
    <w:p w14:paraId="3840121B">
      <w:pPr>
        <w:pStyle w:val="14"/>
        <w:adjustRightInd w:val="0"/>
        <w:snapToGrid w:val="0"/>
        <w:spacing w:line="560" w:lineRule="exact"/>
        <w:jc w:val="left"/>
        <w:rPr>
          <w:rFonts w:eastAsia="仿宋_GB2312" w:cs="仿宋_GB2312"/>
          <w:sz w:val="32"/>
          <w:szCs w:val="32"/>
        </w:rPr>
      </w:pPr>
      <w:bookmarkStart w:id="64" w:name="_Toc15396631"/>
      <w:r>
        <w:rPr>
          <w:rFonts w:hint="eastAsia" w:eastAsia="仿宋_GB2312" w:cs="仿宋_GB2312"/>
          <w:sz w:val="32"/>
          <w:szCs w:val="32"/>
        </w:rPr>
        <w:t>十三、</w:t>
      </w:r>
      <w:bookmarkEnd w:id="64"/>
      <w:r>
        <w:rPr>
          <w:rFonts w:hint="eastAsia" w:eastAsia="仿宋_GB2312" w:cs="仿宋_GB2312"/>
          <w:sz w:val="32"/>
          <w:szCs w:val="32"/>
        </w:rPr>
        <w:t>财政拨款“三公”经费支出决算表</w:t>
      </w:r>
    </w:p>
    <w:p w14:paraId="3082209E"/>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C4A6">
    <w:pPr>
      <w:pStyle w:val="11"/>
      <w:jc w:val="right"/>
    </w:pPr>
  </w:p>
  <w:p w14:paraId="70B293A5">
    <w:pPr>
      <w:pStyle w:val="11"/>
      <w:tabs>
        <w:tab w:val="left" w:pos="75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1910"/>
      <w:docPartObj>
        <w:docPartGallery w:val="autotext"/>
      </w:docPartObj>
    </w:sdtPr>
    <w:sdtContent>
      <w:p w14:paraId="491F69F4">
        <w:pPr>
          <w:pStyle w:val="11"/>
          <w:jc w:val="right"/>
        </w:pPr>
        <w:r>
          <w:rPr>
            <w:lang w:val="zh-CN"/>
          </w:rPr>
          <w:fldChar w:fldCharType="begin"/>
        </w:r>
        <w:r>
          <w:rPr>
            <w:lang w:val="zh-CN"/>
          </w:rPr>
          <w:instrText xml:space="preserve"> PAGE   \* MERGEFORMAT </w:instrText>
        </w:r>
        <w:r>
          <w:rPr>
            <w:lang w:val="zh-CN"/>
          </w:rPr>
          <w:fldChar w:fldCharType="separate"/>
        </w:r>
        <w:r>
          <w:rPr>
            <w:lang w:val="zh-CN"/>
          </w:rPr>
          <w:t>-</w:t>
        </w:r>
        <w:r>
          <w:t xml:space="preserve"> 16 -</w:t>
        </w:r>
        <w:r>
          <w:fldChar w:fldCharType="end"/>
        </w:r>
      </w:p>
    </w:sdtContent>
  </w:sdt>
  <w:p w14:paraId="47A67CB7">
    <w:pPr>
      <w:pStyle w:val="11"/>
      <w:tabs>
        <w:tab w:val="left" w:pos="75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6ADC">
    <w:pPr>
      <w:pStyle w:val="11"/>
      <w:jc w:val="right"/>
    </w:pPr>
    <w:r>
      <w:rPr>
        <w:lang w:val="zh-CN"/>
      </w:rPr>
      <w:t>-</w:t>
    </w:r>
    <w:r>
      <w:t xml:space="preserve"> </w:t>
    </w:r>
    <w:r>
      <w:rPr>
        <w:rFonts w:hint="eastAsia"/>
      </w:rPr>
      <w:t>1</w: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EBFA1"/>
    <w:multiLevelType w:val="singleLevel"/>
    <w:tmpl w:val="36CEBFA1"/>
    <w:lvl w:ilvl="0" w:tentative="0">
      <w:start w:val="12"/>
      <w:numFmt w:val="decimal"/>
      <w:lvlText w:val="%1."/>
      <w:lvlJc w:val="left"/>
      <w:pPr>
        <w:tabs>
          <w:tab w:val="left" w:pos="312"/>
        </w:tabs>
      </w:pPr>
    </w:lvl>
  </w:abstractNum>
  <w:abstractNum w:abstractNumId="1">
    <w:nsid w:val="64AE4329"/>
    <w:multiLevelType w:val="multilevel"/>
    <w:tmpl w:val="64AE432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17F"/>
    <w:rsid w:val="000222C6"/>
    <w:rsid w:val="0002549F"/>
    <w:rsid w:val="00036C54"/>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D39"/>
    <w:rsid w:val="000E6613"/>
    <w:rsid w:val="000E7119"/>
    <w:rsid w:val="000F3A25"/>
    <w:rsid w:val="000F756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CB9"/>
    <w:rsid w:val="0021101A"/>
    <w:rsid w:val="00220536"/>
    <w:rsid w:val="00235629"/>
    <w:rsid w:val="002512C8"/>
    <w:rsid w:val="00260C38"/>
    <w:rsid w:val="002616C0"/>
    <w:rsid w:val="00265372"/>
    <w:rsid w:val="002662AA"/>
    <w:rsid w:val="00280496"/>
    <w:rsid w:val="00294DC9"/>
    <w:rsid w:val="00295495"/>
    <w:rsid w:val="002A31DE"/>
    <w:rsid w:val="002A343C"/>
    <w:rsid w:val="002B2613"/>
    <w:rsid w:val="002B2D53"/>
    <w:rsid w:val="002D6D05"/>
    <w:rsid w:val="002E2544"/>
    <w:rsid w:val="002F1818"/>
    <w:rsid w:val="002F567B"/>
    <w:rsid w:val="003178D3"/>
    <w:rsid w:val="003216A9"/>
    <w:rsid w:val="00335A74"/>
    <w:rsid w:val="00357E98"/>
    <w:rsid w:val="0036561B"/>
    <w:rsid w:val="0037013F"/>
    <w:rsid w:val="0037690C"/>
    <w:rsid w:val="00380C92"/>
    <w:rsid w:val="003A484F"/>
    <w:rsid w:val="003A4883"/>
    <w:rsid w:val="003B0BE0"/>
    <w:rsid w:val="003B0C1B"/>
    <w:rsid w:val="003B688C"/>
    <w:rsid w:val="003C0291"/>
    <w:rsid w:val="003C39AE"/>
    <w:rsid w:val="003C41CD"/>
    <w:rsid w:val="003C7B60"/>
    <w:rsid w:val="003D0C0F"/>
    <w:rsid w:val="003D1FB2"/>
    <w:rsid w:val="003D66DA"/>
    <w:rsid w:val="003E1310"/>
    <w:rsid w:val="003E6F55"/>
    <w:rsid w:val="00406254"/>
    <w:rsid w:val="004223DE"/>
    <w:rsid w:val="004250E8"/>
    <w:rsid w:val="0043341C"/>
    <w:rsid w:val="00434489"/>
    <w:rsid w:val="00437085"/>
    <w:rsid w:val="00443880"/>
    <w:rsid w:val="004464F4"/>
    <w:rsid w:val="00471401"/>
    <w:rsid w:val="00473F31"/>
    <w:rsid w:val="0048263A"/>
    <w:rsid w:val="00487E5D"/>
    <w:rsid w:val="004A711F"/>
    <w:rsid w:val="004B199D"/>
    <w:rsid w:val="004B4690"/>
    <w:rsid w:val="004E0A2D"/>
    <w:rsid w:val="004E206B"/>
    <w:rsid w:val="004E3FF6"/>
    <w:rsid w:val="004E6DF7"/>
    <w:rsid w:val="004F0FBD"/>
    <w:rsid w:val="00505A47"/>
    <w:rsid w:val="00512FDA"/>
    <w:rsid w:val="00520DA0"/>
    <w:rsid w:val="00563C5D"/>
    <w:rsid w:val="005664BB"/>
    <w:rsid w:val="00566FFA"/>
    <w:rsid w:val="0057481D"/>
    <w:rsid w:val="0058486E"/>
    <w:rsid w:val="00585B33"/>
    <w:rsid w:val="0059014D"/>
    <w:rsid w:val="005B0D0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B32"/>
    <w:rsid w:val="006F020C"/>
    <w:rsid w:val="007127B7"/>
    <w:rsid w:val="0071798E"/>
    <w:rsid w:val="00731E4F"/>
    <w:rsid w:val="00734D8F"/>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CED"/>
    <w:rsid w:val="00872FD8"/>
    <w:rsid w:val="00875E9B"/>
    <w:rsid w:val="00885AF4"/>
    <w:rsid w:val="00892470"/>
    <w:rsid w:val="008939CD"/>
    <w:rsid w:val="0089413B"/>
    <w:rsid w:val="008B768C"/>
    <w:rsid w:val="008C4DB1"/>
    <w:rsid w:val="008C4EAF"/>
    <w:rsid w:val="008C5176"/>
    <w:rsid w:val="008C7FD0"/>
    <w:rsid w:val="008D07B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AF4"/>
    <w:rsid w:val="00A56DF2"/>
    <w:rsid w:val="00A56E6E"/>
    <w:rsid w:val="00A66C03"/>
    <w:rsid w:val="00A67AB5"/>
    <w:rsid w:val="00A733B2"/>
    <w:rsid w:val="00A741C2"/>
    <w:rsid w:val="00A91760"/>
    <w:rsid w:val="00A93B00"/>
    <w:rsid w:val="00A93C21"/>
    <w:rsid w:val="00A94468"/>
    <w:rsid w:val="00AB64C9"/>
    <w:rsid w:val="00AC3C6A"/>
    <w:rsid w:val="00AC741F"/>
    <w:rsid w:val="00AD5620"/>
    <w:rsid w:val="00AD656B"/>
    <w:rsid w:val="00AD7C1B"/>
    <w:rsid w:val="00AE16BA"/>
    <w:rsid w:val="00AE1EBE"/>
    <w:rsid w:val="00B03C9D"/>
    <w:rsid w:val="00B060AE"/>
    <w:rsid w:val="00B10517"/>
    <w:rsid w:val="00B14E76"/>
    <w:rsid w:val="00B161B8"/>
    <w:rsid w:val="00B2048C"/>
    <w:rsid w:val="00B310B9"/>
    <w:rsid w:val="00B31933"/>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5C63"/>
    <w:rsid w:val="00C03E31"/>
    <w:rsid w:val="00C03FC9"/>
    <w:rsid w:val="00C32919"/>
    <w:rsid w:val="00C33E72"/>
    <w:rsid w:val="00C354B2"/>
    <w:rsid w:val="00C35554"/>
    <w:rsid w:val="00C42709"/>
    <w:rsid w:val="00C533CC"/>
    <w:rsid w:val="00C5751C"/>
    <w:rsid w:val="00C61BFC"/>
    <w:rsid w:val="00C62B85"/>
    <w:rsid w:val="00C634DF"/>
    <w:rsid w:val="00C63F72"/>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F06"/>
    <w:rsid w:val="00D34E7C"/>
    <w:rsid w:val="00D35489"/>
    <w:rsid w:val="00D36AFE"/>
    <w:rsid w:val="00D51276"/>
    <w:rsid w:val="00D7035F"/>
    <w:rsid w:val="00D84F47"/>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487E"/>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249"/>
    <w:rsid w:val="00F36D8F"/>
    <w:rsid w:val="00F417B1"/>
    <w:rsid w:val="00F45853"/>
    <w:rsid w:val="00F602DF"/>
    <w:rsid w:val="00F754A1"/>
    <w:rsid w:val="00F81FD9"/>
    <w:rsid w:val="00F841AA"/>
    <w:rsid w:val="00F84A94"/>
    <w:rsid w:val="00F87A59"/>
    <w:rsid w:val="00F87E96"/>
    <w:rsid w:val="00FA23E8"/>
    <w:rsid w:val="00FD048F"/>
    <w:rsid w:val="00FD3CC1"/>
    <w:rsid w:val="00FF1E02"/>
    <w:rsid w:val="00FF30B4"/>
    <w:rsid w:val="012A5EC2"/>
    <w:rsid w:val="015975B8"/>
    <w:rsid w:val="02FEBE30"/>
    <w:rsid w:val="03D8242F"/>
    <w:rsid w:val="04916F1E"/>
    <w:rsid w:val="05A039EF"/>
    <w:rsid w:val="061E35DE"/>
    <w:rsid w:val="066E0107"/>
    <w:rsid w:val="07996F6E"/>
    <w:rsid w:val="07DFD8BA"/>
    <w:rsid w:val="09867E8F"/>
    <w:rsid w:val="0A2032A3"/>
    <w:rsid w:val="0AE8272E"/>
    <w:rsid w:val="0C976645"/>
    <w:rsid w:val="0CA8290A"/>
    <w:rsid w:val="0D35B1ED"/>
    <w:rsid w:val="0DCF6A19"/>
    <w:rsid w:val="0E254B6B"/>
    <w:rsid w:val="0F98263C"/>
    <w:rsid w:val="101860EC"/>
    <w:rsid w:val="101F47CC"/>
    <w:rsid w:val="10C055FF"/>
    <w:rsid w:val="11694EBD"/>
    <w:rsid w:val="11772AA4"/>
    <w:rsid w:val="118107EC"/>
    <w:rsid w:val="12754619"/>
    <w:rsid w:val="12E24EE2"/>
    <w:rsid w:val="13D50BC4"/>
    <w:rsid w:val="14B17F78"/>
    <w:rsid w:val="165E0673"/>
    <w:rsid w:val="16B831D5"/>
    <w:rsid w:val="16BB723D"/>
    <w:rsid w:val="170409B5"/>
    <w:rsid w:val="17E50567"/>
    <w:rsid w:val="186504BB"/>
    <w:rsid w:val="19A445FC"/>
    <w:rsid w:val="1BE8440E"/>
    <w:rsid w:val="1D155CEE"/>
    <w:rsid w:val="1D1638FE"/>
    <w:rsid w:val="1D1A3FCB"/>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BF26A51"/>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844C0"/>
    <w:rsid w:val="5D695134"/>
    <w:rsid w:val="5DAE1B18"/>
    <w:rsid w:val="5DE7D9E5"/>
    <w:rsid w:val="5ECEC941"/>
    <w:rsid w:val="5FBF9FF3"/>
    <w:rsid w:val="5FCD4E2C"/>
    <w:rsid w:val="5FEF394A"/>
    <w:rsid w:val="5FF67715"/>
    <w:rsid w:val="608043F6"/>
    <w:rsid w:val="621D5074"/>
    <w:rsid w:val="62BF3928"/>
    <w:rsid w:val="63B3701E"/>
    <w:rsid w:val="6411405C"/>
    <w:rsid w:val="647F5392"/>
    <w:rsid w:val="65E66580"/>
    <w:rsid w:val="66374D06"/>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7E161B"/>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1</a:t>
            </a:r>
            <a:r>
              <a:rPr altLang="en-US"/>
              <a:t>：</a:t>
            </a:r>
            <a:r>
              <a:t>收支总计变动情况图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accent2"/>
              </a:solidFill>
            </a:ln>
            <a:effectLst/>
          </c:spPr>
          <c:invertIfNegative val="0"/>
          <c:dPt>
            <c:idx val="0"/>
            <c:invertIfNegative val="0"/>
            <c:bubble3D val="0"/>
            <c:spPr>
              <a:solidFill>
                <a:schemeClr val="accent4"/>
              </a:solidFill>
              <a:ln>
                <a:solidFill>
                  <a:schemeClr val="accent2"/>
                </a:solidFill>
              </a:ln>
              <a:effectLst/>
            </c:spPr>
          </c:dPt>
          <c:dPt>
            <c:idx val="1"/>
            <c:invertIfNegative val="0"/>
            <c:bubble3D val="0"/>
            <c:spPr>
              <a:solidFill>
                <a:schemeClr val="accent4"/>
              </a:solidFill>
              <a:ln>
                <a:solidFill>
                  <a:schemeClr val="accent2"/>
                </a:solidFill>
              </a:ln>
              <a:effectLst/>
            </c:spPr>
          </c:dPt>
          <c:dLbls>
            <c:delete val="1"/>
          </c:dLbls>
          <c:cat>
            <c:strRef>
              <c:f>[工作簿1]收支总计!$A$1:$A$2</c:f>
              <c:strCache>
                <c:ptCount val="2"/>
                <c:pt idx="0">
                  <c:v>2023年</c:v>
                </c:pt>
                <c:pt idx="1">
                  <c:v>2024年</c:v>
                </c:pt>
              </c:strCache>
            </c:strRef>
          </c:cat>
          <c:val>
            <c:numRef>
              <c:f>[工作簿1]收支总计!$B$1:$B$2</c:f>
              <c:numCache>
                <c:formatCode>General</c:formatCode>
                <c:ptCount val="2"/>
                <c:pt idx="0">
                  <c:v>1761.33</c:v>
                </c:pt>
                <c:pt idx="1">
                  <c:v>1685.94</c:v>
                </c:pt>
              </c:numCache>
            </c:numRef>
          </c:val>
        </c:ser>
        <c:dLbls>
          <c:showLegendKey val="0"/>
          <c:showVal val="0"/>
          <c:showCatName val="0"/>
          <c:showSerName val="0"/>
          <c:showPercent val="0"/>
          <c:showBubbleSize val="0"/>
        </c:dLbls>
        <c:gapWidth val="246"/>
        <c:overlap val="-28"/>
        <c:axId val="875938223"/>
        <c:axId val="780891406"/>
      </c:barChart>
      <c:catAx>
        <c:axId val="8759382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891406"/>
        <c:crosses val="autoZero"/>
        <c:auto val="1"/>
        <c:lblAlgn val="ctr"/>
        <c:lblOffset val="100"/>
        <c:noMultiLvlLbl val="0"/>
      </c:catAx>
      <c:valAx>
        <c:axId val="78089140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938223"/>
        <c:crosses val="autoZero"/>
        <c:crossBetween val="between"/>
      </c:valAx>
      <c:spPr>
        <a:noFill/>
        <a:ln>
          <a:noFill/>
        </a:ln>
        <a:effectLst/>
      </c:spPr>
    </c:plotArea>
    <c:plotVisOnly val="1"/>
    <c:dispBlanksAs val="gap"/>
    <c:showDLblsOverMax val="0"/>
    <c:extLst>
      <c:ext uri="{0b15fc19-7d7d-44ad-8c2d-2c3a37ce22c3}">
        <chartProps xmlns="https://web.wps.cn/et/2018/main" chartId="{2b9c765f-f143-45a1-8be7-745f885141e8}"/>
      </c:ext>
    </c:extLst>
  </c:chart>
  <c:spPr>
    <a:solidFill>
      <a:schemeClr val="bg1"/>
    </a:solidFill>
    <a:ln w="9525" cap="flat" cmpd="sng" algn="ctr">
      <a:solidFill>
        <a:schemeClr val="accent2"/>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图</a:t>
            </a:r>
            <a:r>
              <a:rPr lang="en-US" altLang="zh-CN"/>
              <a:t>2</a:t>
            </a:r>
            <a:r>
              <a:rPr altLang="en-US"/>
              <a:t>：收入决算结构图</a:t>
            </a:r>
            <a:endParaRPr lang="en-US" altLang="zh-CN"/>
          </a:p>
        </c:rich>
      </c:tx>
      <c:layout>
        <c:manualLayout>
          <c:xMode val="edge"/>
          <c:yMode val="edge"/>
          <c:x val="0.418421052631579"/>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[工作簿1]收入决算结构图!$A$1:$A$2</c:f>
              <c:strCache>
                <c:ptCount val="2"/>
                <c:pt idx="0">
                  <c:v>一般公共预算财政拨款收入</c:v>
                </c:pt>
                <c:pt idx="1">
                  <c:v>其他收入</c:v>
                </c:pt>
              </c:strCache>
            </c:strRef>
          </c:cat>
          <c:val>
            <c:numRef>
              <c:f>[工作簿1]收入决算结构图!$B$1:$B$2</c:f>
              <c:numCache>
                <c:formatCode>General</c:formatCode>
                <c:ptCount val="2"/>
                <c:pt idx="0">
                  <c:v>1278.51</c:v>
                </c:pt>
                <c:pt idx="1">
                  <c:v>407.43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bdf2c9-b9c9-4bfb-8769-ff5aec6b77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3</a:t>
            </a:r>
            <a:r>
              <a:rPr altLang="en-US"/>
              <a:t>：</a:t>
            </a: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[工作簿1]支出决算情况表!$A$1:$A$5</c:f>
              <c:strCache>
                <c:ptCount val="5"/>
                <c:pt idx="0">
                  <c:v>公共安全支出</c:v>
                </c:pt>
                <c:pt idx="1">
                  <c:v>社会保障和就业支出</c:v>
                </c:pt>
                <c:pt idx="2">
                  <c:v>卫生健康支出</c:v>
                </c:pt>
                <c:pt idx="3">
                  <c:v>住房保障支出</c:v>
                </c:pt>
                <c:pt idx="4">
                  <c:v>一般公共服务支出</c:v>
                </c:pt>
              </c:strCache>
            </c:strRef>
          </c:cat>
          <c:val>
            <c:numRef>
              <c:f>[工作簿1]支出决算情况表!$B$1:$B$5</c:f>
              <c:numCache>
                <c:formatCode>General</c:formatCode>
                <c:ptCount val="5"/>
                <c:pt idx="0">
                  <c:v>1390.78</c:v>
                </c:pt>
                <c:pt idx="1">
                  <c:v>131.45</c:v>
                </c:pt>
                <c:pt idx="2">
                  <c:v>75.99</c:v>
                </c:pt>
                <c:pt idx="3">
                  <c:v>86.72</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94b33a-ac36-47b0-8849-cc7b8f4a472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4</a:t>
            </a:r>
            <a:r>
              <a:rPr altLang="en-US"/>
              <a:t>：财政拨款收入支出总体情况表</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[工作簿1]财政拨款收入支出总体情况表!$A$1:$A$2</c:f>
              <c:strCache>
                <c:ptCount val="2"/>
                <c:pt idx="0">
                  <c:v>2023年</c:v>
                </c:pt>
                <c:pt idx="1">
                  <c:v>2024年</c:v>
                </c:pt>
              </c:strCache>
            </c:strRef>
          </c:cat>
          <c:val>
            <c:numRef>
              <c:f>[工作簿1]财政拨款收入支出总体情况表!$B$1:$B$2</c:f>
              <c:numCache>
                <c:formatCode>General</c:formatCode>
                <c:ptCount val="2"/>
                <c:pt idx="0">
                  <c:v>1407.68</c:v>
                </c:pt>
                <c:pt idx="1">
                  <c:v>1278.51</c:v>
                </c:pt>
              </c:numCache>
            </c:numRef>
          </c:val>
        </c:ser>
        <c:dLbls>
          <c:showLegendKey val="0"/>
          <c:showVal val="0"/>
          <c:showCatName val="0"/>
          <c:showSerName val="0"/>
          <c:showPercent val="0"/>
          <c:showBubbleSize val="0"/>
        </c:dLbls>
        <c:gapWidth val="246"/>
        <c:overlap val="-28"/>
        <c:axId val="276588708"/>
        <c:axId val="510260366"/>
      </c:barChart>
      <c:catAx>
        <c:axId val="276588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260366"/>
        <c:crosses val="autoZero"/>
        <c:auto val="1"/>
        <c:lblAlgn val="ctr"/>
        <c:lblOffset val="100"/>
        <c:noMultiLvlLbl val="0"/>
      </c:catAx>
      <c:valAx>
        <c:axId val="5102603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588708"/>
        <c:crosses val="autoZero"/>
        <c:crossBetween val="between"/>
      </c:valAx>
      <c:spPr>
        <a:noFill/>
        <a:ln>
          <a:noFill/>
        </a:ln>
        <a:effectLst/>
      </c:spPr>
    </c:plotArea>
    <c:plotVisOnly val="1"/>
    <c:dispBlanksAs val="gap"/>
    <c:showDLblsOverMax val="0"/>
    <c:extLst>
      <c:ext uri="{0b15fc19-7d7d-44ad-8c2d-2c3a37ce22c3}">
        <chartProps xmlns="https://web.wps.cn/et/2018/main" chartId="{ea8d6884-8e16-40cd-a0e7-619c57248a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5</a:t>
            </a:r>
            <a:r>
              <a:rPr altLang="en-US"/>
              <a:t>：</a:t>
            </a:r>
            <a:r>
              <a:t>一般公共预算财政拨款支出决算变动情况</a:t>
            </a:r>
          </a:p>
        </c:rich>
      </c:tx>
      <c:layout>
        <c:manualLayout>
          <c:xMode val="edge"/>
          <c:yMode val="edge"/>
          <c:x val="0.173684210526316"/>
          <c:y val="0.038194444444444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[工作簿1]一般公共预算财政拨款支出决算变动情况!$A$1:$A$2</c:f>
              <c:strCache>
                <c:ptCount val="2"/>
                <c:pt idx="0">
                  <c:v>2023年</c:v>
                </c:pt>
                <c:pt idx="1">
                  <c:v>2024年</c:v>
                </c:pt>
              </c:strCache>
            </c:strRef>
          </c:cat>
          <c:val>
            <c:numRef>
              <c:f>[工作簿1]一般公共预算财政拨款支出决算变动情况!$B$1:$B$2</c:f>
              <c:numCache>
                <c:formatCode>General</c:formatCode>
                <c:ptCount val="2"/>
                <c:pt idx="0">
                  <c:v>1761.33</c:v>
                </c:pt>
                <c:pt idx="1">
                  <c:v>1685.94</c:v>
                </c:pt>
              </c:numCache>
            </c:numRef>
          </c:val>
        </c:ser>
        <c:dLbls>
          <c:showLegendKey val="0"/>
          <c:showVal val="0"/>
          <c:showCatName val="0"/>
          <c:showSerName val="0"/>
          <c:showPercent val="0"/>
          <c:showBubbleSize val="0"/>
        </c:dLbls>
        <c:gapWidth val="246"/>
        <c:overlap val="-28"/>
        <c:axId val="388578070"/>
        <c:axId val="607900283"/>
      </c:barChart>
      <c:catAx>
        <c:axId val="3885780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900283"/>
        <c:crosses val="autoZero"/>
        <c:auto val="1"/>
        <c:lblAlgn val="ctr"/>
        <c:lblOffset val="100"/>
        <c:noMultiLvlLbl val="0"/>
      </c:catAx>
      <c:valAx>
        <c:axId val="6079002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578070"/>
        <c:crosses val="autoZero"/>
        <c:crossBetween val="between"/>
      </c:valAx>
      <c:spPr>
        <a:noFill/>
        <a:ln>
          <a:noFill/>
        </a:ln>
        <a:effectLst/>
      </c:spPr>
    </c:plotArea>
    <c:plotVisOnly val="1"/>
    <c:dispBlanksAs val="gap"/>
    <c:showDLblsOverMax val="0"/>
    <c:extLst>
      <c:ext uri="{0b15fc19-7d7d-44ad-8c2d-2c3a37ce22c3}">
        <chartProps xmlns="https://web.wps.cn/et/2018/main" chartId="{c45178b5-d780-400a-8b92-ec27811ac6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6</a:t>
            </a:r>
            <a:r>
              <a:rPr altLang="en-US"/>
              <a:t>：</a:t>
            </a: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[工作簿1]一般公共预算财政拨款支出!$A$1:$A$5</c:f>
              <c:strCache>
                <c:ptCount val="5"/>
                <c:pt idx="0">
                  <c:v>公共安全支出</c:v>
                </c:pt>
                <c:pt idx="1">
                  <c:v>社会保障和就业支出</c:v>
                </c:pt>
                <c:pt idx="2">
                  <c:v>卫生健康支出</c:v>
                </c:pt>
                <c:pt idx="3">
                  <c:v>住房保障支出</c:v>
                </c:pt>
                <c:pt idx="4">
                  <c:v>一般公共服务支出</c:v>
                </c:pt>
              </c:strCache>
            </c:strRef>
          </c:cat>
          <c:val>
            <c:numRef>
              <c:f>[工作簿1]一般公共预算财政拨款支出!$B$1:$B$5</c:f>
              <c:numCache>
                <c:formatCode>General</c:formatCode>
                <c:ptCount val="5"/>
                <c:pt idx="0">
                  <c:v>1390.78</c:v>
                </c:pt>
                <c:pt idx="1">
                  <c:v>131.45</c:v>
                </c:pt>
                <c:pt idx="2">
                  <c:v>75.99</c:v>
                </c:pt>
                <c:pt idx="3">
                  <c:v>86.72</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9ef356d-7c83-4dc1-8c7d-78d5713afc4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7</a:t>
            </a:r>
            <a:r>
              <a:rPr altLang="en-US"/>
              <a:t>：</a:t>
            </a:r>
            <a:r>
              <a:t>“三公”经费财政拨款支出结构图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[工作簿1]Sheet7!$A$1:$A$2</c:f>
              <c:strCache>
                <c:ptCount val="2"/>
                <c:pt idx="0">
                  <c:v>公务接待费支出</c:v>
                </c:pt>
                <c:pt idx="1">
                  <c:v>公务用车购置及运行维护费支出</c:v>
                </c:pt>
              </c:strCache>
            </c:strRef>
          </c:cat>
          <c:val>
            <c:numRef>
              <c:f>[工作簿1]Sheet7!$B$1:$B$2</c:f>
              <c:numCache>
                <c:formatCode>General</c:formatCode>
                <c:ptCount val="2"/>
                <c:pt idx="0">
                  <c:v>0.58</c:v>
                </c:pt>
                <c:pt idx="1">
                  <c:v>12.91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230bfb-9c40-42c9-9dfd-cc4e9784e3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853</Words>
  <Characters>4868</Characters>
  <Lines>40</Lines>
  <Paragraphs>11</Paragraphs>
  <TotalTime>5</TotalTime>
  <ScaleCrop>false</ScaleCrop>
  <LinksUpToDate>false</LinksUpToDate>
  <CharactersWithSpaces>5710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贾春燕</cp:lastModifiedBy>
  <cp:lastPrinted>2025-08-06T17:34:00Z</cp:lastPrinted>
  <dcterms:modified xsi:type="dcterms:W3CDTF">2025-09-16T03:40:03Z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50C56EF974EC4378A0D6E03E3BB73846_13</vt:lpwstr>
  </property>
</Properties>
</file>