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93"/>
        <w:rPr>
          <w:rFonts w:ascii="Times New Roman" w:eastAsia="方正小标宋简体"/>
          <w:kern w:val="2"/>
          <w:sz w:val="72"/>
          <w:szCs w:val="72"/>
        </w:rPr>
      </w:pPr>
      <w:bookmarkStart w:id="0" w:name="_Toc15378441"/>
      <w:bookmarkStart w:id="1" w:name="_Toc15377193"/>
      <w:bookmarkStart w:id="2" w:name="_Toc15396475"/>
      <w:bookmarkStart w:id="3" w:name="_Toc15396597"/>
      <w:bookmarkStart w:id="4" w:name="_Toc15377425"/>
      <w:bookmarkStart w:id="5" w:name="_Toc15306267"/>
    </w:p>
    <w:p>
      <w:pPr>
        <w:pStyle w:val="5"/>
        <w:spacing w:before="93"/>
        <w:rPr>
          <w:rFonts w:ascii="Times New Roman" w:eastAsia="方正小标宋简体"/>
          <w:kern w:val="2"/>
          <w:sz w:val="72"/>
          <w:szCs w:val="72"/>
        </w:rPr>
      </w:pPr>
    </w:p>
    <w:p>
      <w:pPr>
        <w:pStyle w:val="5"/>
        <w:spacing w:before="93"/>
        <w:rPr>
          <w:rFonts w:ascii="Times New Roman" w:eastAsia="方正小标宋简体"/>
          <w:kern w:val="2"/>
          <w:sz w:val="72"/>
          <w:szCs w:val="72"/>
        </w:rPr>
      </w:pPr>
    </w:p>
    <w:p>
      <w:pPr>
        <w:pStyle w:val="5"/>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rPr>
        <w:t>2024年度</w:t>
      </w:r>
      <w:r>
        <w:rPr>
          <w:rFonts w:hint="eastAsia" w:ascii="Times New Roman" w:eastAsia="方正小标宋简体"/>
          <w:kern w:val="2"/>
          <w:sz w:val="44"/>
          <w:szCs w:val="44"/>
          <w:lang w:eastAsia="zh-CN"/>
        </w:rPr>
        <w:t>四川省攀枝花市少年宫</w:t>
      </w:r>
    </w:p>
    <w:p>
      <w:pPr>
        <w:pStyle w:val="5"/>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lang w:eastAsia="zh-CN"/>
        </w:rPr>
        <w:t>部门</w:t>
      </w:r>
      <w:r>
        <w:rPr>
          <w:rFonts w:hint="eastAsia" w:ascii="Times New Roman" w:eastAsia="方正小标宋简体"/>
          <w:kern w:val="2"/>
          <w:sz w:val="44"/>
          <w:szCs w:val="44"/>
        </w:rPr>
        <w:t>决算公开</w:t>
      </w:r>
      <w:r>
        <w:rPr>
          <w:rFonts w:hint="eastAsia" w:ascii="Times New Roman" w:eastAsia="方正小标宋简体"/>
          <w:kern w:val="2"/>
          <w:sz w:val="44"/>
          <w:szCs w:val="44"/>
          <w:lang w:eastAsia="zh-CN"/>
        </w:rPr>
        <w:t>编制说明</w:t>
      </w:r>
    </w:p>
    <w:p>
      <w:pPr>
        <w:spacing w:line="600" w:lineRule="exact"/>
        <w:jc w:val="center"/>
        <w:outlineLvl w:val="0"/>
        <w:rPr>
          <w:rFonts w:eastAsia="方正小标宋简体"/>
          <w:sz w:val="72"/>
          <w:szCs w:val="72"/>
        </w:rPr>
      </w:pPr>
    </w:p>
    <w:p>
      <w:pPr>
        <w:pStyle w:val="20"/>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bookmarkEnd w:id="0"/>
    <w:bookmarkEnd w:id="1"/>
    <w:bookmarkEnd w:id="2"/>
    <w:bookmarkEnd w:id="3"/>
    <w:bookmarkEnd w:id="4"/>
    <w:bookmarkEnd w:id="5"/>
    <w:p>
      <w:pPr>
        <w:widowControl/>
        <w:jc w:val="center"/>
        <w:rPr>
          <w:rFonts w:eastAsia="黑体"/>
          <w:sz w:val="48"/>
          <w:szCs w:val="48"/>
        </w:rPr>
      </w:pP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6</w:t>
      </w:r>
      <w:bookmarkStart w:id="62" w:name="_GoBack"/>
      <w:bookmarkEnd w:id="62"/>
      <w:r>
        <w:rPr>
          <w:rFonts w:hint="eastAsia" w:ascii="Times New Roman" w:hAnsi="Times New Roman" w:eastAsia="仿宋_GB2312" w:cs="仿宋_GB2312"/>
          <w:sz w:val="32"/>
          <w:szCs w:val="32"/>
        </w:rPr>
        <w:t>日</w:t>
      </w:r>
    </w:p>
    <w:p/>
    <w:p>
      <w:pPr>
        <w:pStyle w:val="13"/>
        <w:adjustRightInd w:val="0"/>
        <w:snapToGrid w:val="0"/>
        <w:spacing w:before="0" w:line="44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第一部分 部门概况</w:t>
      </w:r>
      <w:r>
        <w:rPr>
          <w:rFonts w:cs="Times New Roman"/>
          <w:sz w:val="24"/>
          <w:szCs w:val="24"/>
        </w:rPr>
        <w:tab/>
      </w:r>
      <w:r>
        <w:rPr>
          <w:rFonts w:hint="eastAsia" w:cs="Times New Roman"/>
          <w:sz w:val="24"/>
          <w:szCs w:val="24"/>
          <w:lang w:val="en-US" w:eastAsia="zh-CN"/>
        </w:rPr>
        <w:t>4</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一、部门职责</w:t>
      </w:r>
      <w:r>
        <w:rPr>
          <w:rFonts w:cs="Times New Roman"/>
          <w:sz w:val="24"/>
          <w:szCs w:val="24"/>
        </w:rPr>
        <w:tab/>
      </w:r>
      <w:r>
        <w:rPr>
          <w:rFonts w:hint="eastAsia" w:cs="Times New Roman"/>
          <w:sz w:val="24"/>
          <w:szCs w:val="24"/>
          <w:lang w:val="en-US" w:eastAsia="zh-CN"/>
        </w:rPr>
        <w:t>4</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二、机构设置</w:t>
      </w:r>
      <w:r>
        <w:rPr>
          <w:rFonts w:cs="Times New Roman"/>
          <w:sz w:val="24"/>
          <w:szCs w:val="24"/>
        </w:rPr>
        <w:tab/>
      </w:r>
      <w:r>
        <w:rPr>
          <w:rFonts w:hint="eastAsia" w:cs="Times New Roman"/>
          <w:sz w:val="24"/>
          <w:szCs w:val="24"/>
          <w:lang w:val="en-US" w:eastAsia="zh-CN"/>
        </w:rPr>
        <w:t>4</w:t>
      </w:r>
    </w:p>
    <w:p>
      <w:pPr>
        <w:numPr>
          <w:ilvl w:val="0"/>
          <w:numId w:val="0"/>
        </w:numPr>
        <w:rPr>
          <w:rFonts w:hint="eastAsia" w:eastAsia="宋体"/>
          <w:lang w:val="en-US" w:eastAsia="zh-CN"/>
        </w:rPr>
      </w:pPr>
      <w:r>
        <w:rPr>
          <w:rFonts w:hint="eastAsia"/>
          <w:lang w:val="en-US" w:eastAsia="zh-CN"/>
        </w:rPr>
        <w:t xml:space="preserve"> </w:t>
      </w:r>
    </w:p>
    <w:p>
      <w:pPr>
        <w:pStyle w:val="13"/>
        <w:adjustRightInd w:val="0"/>
        <w:snapToGrid w:val="0"/>
        <w:spacing w:before="0" w:line="44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第二部分 2024年度部门决算情况说明</w:t>
      </w:r>
      <w:r>
        <w:rPr>
          <w:rFonts w:cs="Times New Roman"/>
          <w:sz w:val="24"/>
          <w:szCs w:val="24"/>
        </w:rPr>
        <w:tab/>
      </w:r>
      <w:r>
        <w:rPr>
          <w:rFonts w:hint="eastAsia" w:cs="Times New Roman"/>
          <w:sz w:val="24"/>
          <w:szCs w:val="24"/>
          <w:lang w:val="en-US" w:eastAsia="zh-CN"/>
        </w:rPr>
        <w:t>5</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一、收入支出决算总体情况说明</w:t>
      </w:r>
      <w:r>
        <w:rPr>
          <w:rFonts w:cs="Times New Roman"/>
          <w:sz w:val="24"/>
          <w:szCs w:val="24"/>
        </w:rPr>
        <w:tab/>
      </w:r>
      <w:r>
        <w:rPr>
          <w:rFonts w:hint="eastAsia" w:cs="Times New Roman"/>
          <w:sz w:val="24"/>
          <w:szCs w:val="24"/>
          <w:lang w:val="en-US" w:eastAsia="zh-CN"/>
        </w:rPr>
        <w:t>5</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二、收入决算情况说明</w:t>
      </w:r>
      <w:r>
        <w:rPr>
          <w:rFonts w:cs="Times New Roman"/>
          <w:sz w:val="24"/>
          <w:szCs w:val="24"/>
        </w:rPr>
        <w:tab/>
      </w:r>
      <w:r>
        <w:rPr>
          <w:rFonts w:hint="eastAsia" w:cs="Times New Roman"/>
          <w:sz w:val="24"/>
          <w:szCs w:val="24"/>
          <w:lang w:val="en-US" w:eastAsia="zh-CN"/>
        </w:rPr>
        <w:t>5</w:t>
      </w:r>
    </w:p>
    <w:p>
      <w:pPr>
        <w:pStyle w:val="13"/>
        <w:adjustRightInd w:val="0"/>
        <w:snapToGrid w:val="0"/>
        <w:spacing w:before="0" w:line="440" w:lineRule="exact"/>
        <w:ind w:firstLine="640" w:firstLineChars="200"/>
        <w:jc w:val="left"/>
        <w:rPr>
          <w:rFonts w:hint="eastAsia" w:eastAsia="仿宋" w:cs="仿宋_GB2312"/>
          <w:sz w:val="32"/>
          <w:szCs w:val="32"/>
          <w:lang w:val="en-US" w:eastAsia="zh-CN"/>
        </w:rPr>
      </w:pPr>
      <w:r>
        <w:rPr>
          <w:rFonts w:hint="eastAsia" w:eastAsia="仿宋_GB2312" w:cs="仿宋_GB2312"/>
          <w:sz w:val="32"/>
          <w:szCs w:val="32"/>
        </w:rPr>
        <w:t>三、支出决算情况说明</w:t>
      </w:r>
      <w:r>
        <w:rPr>
          <w:rFonts w:cs="Times New Roman"/>
          <w:sz w:val="24"/>
          <w:szCs w:val="24"/>
        </w:rPr>
        <w:tab/>
      </w:r>
      <w:r>
        <w:rPr>
          <w:rFonts w:hint="eastAsia" w:cs="Times New Roman"/>
          <w:sz w:val="24"/>
          <w:szCs w:val="24"/>
          <w:lang w:val="en-US" w:eastAsia="zh-CN"/>
        </w:rPr>
        <w:t>6</w:t>
      </w:r>
    </w:p>
    <w:p>
      <w:pPr>
        <w:pStyle w:val="13"/>
        <w:adjustRightInd w:val="0"/>
        <w:snapToGrid w:val="0"/>
        <w:spacing w:before="0" w:line="440" w:lineRule="exact"/>
        <w:ind w:firstLine="640" w:firstLineChars="200"/>
        <w:jc w:val="left"/>
        <w:rPr>
          <w:rFonts w:hint="eastAsia" w:ascii="Times New Roman" w:hAnsi="Times New Roman" w:eastAsia="仿宋" w:cs="黑体"/>
          <w:sz w:val="32"/>
          <w:szCs w:val="32"/>
          <w:lang w:val="en-US" w:eastAsia="zh-CN"/>
        </w:rPr>
      </w:pPr>
      <w:r>
        <w:rPr>
          <w:rFonts w:hint="eastAsia" w:eastAsia="仿宋_GB2312" w:cs="仿宋_GB2312"/>
          <w:sz w:val="32"/>
          <w:szCs w:val="32"/>
        </w:rPr>
        <w:t>四、财政拨款收入支出决算总体情况说明</w:t>
      </w:r>
      <w:r>
        <w:rPr>
          <w:rFonts w:cs="Times New Roman"/>
          <w:sz w:val="24"/>
          <w:szCs w:val="24"/>
        </w:rPr>
        <w:tab/>
      </w:r>
      <w:r>
        <w:rPr>
          <w:rFonts w:hint="eastAsia" w:cs="Times New Roman"/>
          <w:sz w:val="24"/>
          <w:szCs w:val="24"/>
          <w:lang w:val="en-US" w:eastAsia="zh-CN"/>
        </w:rPr>
        <w:t>7</w:t>
      </w:r>
    </w:p>
    <w:p>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cs="Times New Roman"/>
          <w:sz w:val="24"/>
          <w:szCs w:val="24"/>
        </w:rPr>
        <w:tab/>
      </w:r>
      <w:r>
        <w:rPr>
          <w:rFonts w:hint="eastAsia" w:cs="Times New Roman"/>
          <w:sz w:val="24"/>
          <w:szCs w:val="24"/>
          <w:lang w:val="en-US" w:eastAsia="zh-CN"/>
        </w:rPr>
        <w:t>7</w:t>
      </w:r>
    </w:p>
    <w:p>
      <w:pPr>
        <w:pStyle w:val="13"/>
        <w:adjustRightInd w:val="0"/>
        <w:snapToGrid w:val="0"/>
        <w:spacing w:before="0" w:line="440" w:lineRule="exact"/>
        <w:ind w:firstLine="640" w:firstLineChars="200"/>
        <w:jc w:val="left"/>
        <w:rPr>
          <w:rFonts w:hint="default" w:eastAsia="仿宋" w:cs="仿宋_GB2312"/>
          <w:sz w:val="32"/>
          <w:szCs w:val="32"/>
          <w:lang w:val="en-US" w:eastAsia="zh-CN"/>
        </w:rPr>
      </w:pPr>
      <w:r>
        <w:rPr>
          <w:rFonts w:hint="eastAsia" w:eastAsia="仿宋_GB2312" w:cs="仿宋_GB2312"/>
          <w:sz w:val="32"/>
          <w:szCs w:val="32"/>
        </w:rPr>
        <w:t>六、一般公共预算财政拨款基本支出决算情况说明</w:t>
      </w:r>
      <w:r>
        <w:rPr>
          <w:rFonts w:cs="Times New Roman"/>
          <w:sz w:val="24"/>
          <w:szCs w:val="24"/>
        </w:rPr>
        <w:tab/>
      </w:r>
      <w:r>
        <w:rPr>
          <w:rFonts w:hint="eastAsia" w:cs="Times New Roman"/>
          <w:sz w:val="24"/>
          <w:szCs w:val="24"/>
          <w:lang w:val="en-US" w:eastAsia="zh-CN"/>
        </w:rPr>
        <w:t>10</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七、财政拨款“三公”经费支出决算情况说明</w:t>
      </w:r>
      <w:r>
        <w:rPr>
          <w:rFonts w:cs="Times New Roman"/>
          <w:sz w:val="24"/>
          <w:szCs w:val="24"/>
        </w:rPr>
        <w:tab/>
      </w:r>
      <w:r>
        <w:rPr>
          <w:rFonts w:hint="eastAsia" w:cs="Times New Roman"/>
          <w:sz w:val="24"/>
          <w:szCs w:val="24"/>
          <w:lang w:val="en-US" w:eastAsia="zh-CN"/>
        </w:rPr>
        <w:t>10</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八、政府性基金预算支出决算情况说明</w:t>
      </w:r>
      <w:r>
        <w:rPr>
          <w:rFonts w:cs="Times New Roman"/>
          <w:sz w:val="24"/>
          <w:szCs w:val="24"/>
        </w:rPr>
        <w:tab/>
      </w:r>
      <w:r>
        <w:rPr>
          <w:rFonts w:hint="eastAsia" w:cs="Times New Roman"/>
          <w:sz w:val="24"/>
          <w:szCs w:val="24"/>
          <w:lang w:val="en-US" w:eastAsia="zh-CN"/>
        </w:rPr>
        <w:t>12</w:t>
      </w:r>
    </w:p>
    <w:p>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cs="Times New Roman"/>
          <w:sz w:val="24"/>
          <w:szCs w:val="24"/>
        </w:rPr>
        <w:tab/>
      </w:r>
      <w:r>
        <w:rPr>
          <w:rFonts w:hint="eastAsia" w:cs="Times New Roman"/>
          <w:sz w:val="24"/>
          <w:szCs w:val="24"/>
          <w:lang w:val="en-US" w:eastAsia="zh-CN"/>
        </w:rPr>
        <w:t>12</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十、其他重要事项的情况说明</w:t>
      </w:r>
      <w:r>
        <w:rPr>
          <w:rFonts w:cs="Times New Roman"/>
          <w:sz w:val="24"/>
          <w:szCs w:val="24"/>
        </w:rPr>
        <w:tab/>
      </w:r>
      <w:r>
        <w:rPr>
          <w:rFonts w:hint="eastAsia" w:cs="Times New Roman"/>
          <w:sz w:val="24"/>
          <w:szCs w:val="24"/>
          <w:lang w:val="en-US" w:eastAsia="zh-CN"/>
        </w:rPr>
        <w:t>12</w:t>
      </w:r>
    </w:p>
    <w:p>
      <w:pPr>
        <w:pStyle w:val="13"/>
        <w:adjustRightInd w:val="0"/>
        <w:snapToGrid w:val="0"/>
        <w:spacing w:before="0" w:line="440" w:lineRule="exact"/>
        <w:jc w:val="left"/>
        <w:rPr>
          <w:rFonts w:hint="default" w:ascii="Times New Roman" w:hAnsi="Times New Roman" w:eastAsia="黑体" w:cs="黑体"/>
          <w:sz w:val="32"/>
          <w:szCs w:val="32"/>
          <w:lang w:val="en-US"/>
        </w:rPr>
      </w:pPr>
      <w:r>
        <w:rPr>
          <w:rFonts w:hint="eastAsia" w:ascii="Times New Roman" w:hAnsi="Times New Roman" w:eastAsia="黑体" w:cs="黑体"/>
          <w:sz w:val="32"/>
          <w:szCs w:val="32"/>
        </w:rPr>
        <w:t>第三部分 名词解释</w:t>
      </w:r>
      <w:r>
        <w:rPr>
          <w:rFonts w:cs="Times New Roman"/>
          <w:sz w:val="24"/>
          <w:szCs w:val="24"/>
        </w:rPr>
        <w:tab/>
      </w:r>
      <w:r>
        <w:rPr>
          <w:rFonts w:hint="eastAsia" w:cs="Times New Roman"/>
          <w:sz w:val="24"/>
          <w:szCs w:val="24"/>
          <w:lang w:val="en-US" w:eastAsia="zh-CN"/>
        </w:rPr>
        <w:t>13</w:t>
      </w:r>
    </w:p>
    <w:p>
      <w:pPr>
        <w:pStyle w:val="13"/>
        <w:adjustRightInd w:val="0"/>
        <w:snapToGrid w:val="0"/>
        <w:spacing w:before="0" w:line="440" w:lineRule="exact"/>
        <w:jc w:val="left"/>
        <w:rPr>
          <w:rFonts w:hint="default" w:ascii="Times New Roman" w:hAnsi="Times New Roman" w:eastAsia="黑体" w:cs="黑体"/>
          <w:sz w:val="32"/>
          <w:szCs w:val="32"/>
          <w:lang w:val="en-US"/>
        </w:rPr>
      </w:pPr>
      <w:r>
        <w:rPr>
          <w:rFonts w:hint="eastAsia" w:ascii="Times New Roman" w:hAnsi="Times New Roman" w:eastAsia="黑体" w:cs="黑体"/>
          <w:sz w:val="32"/>
          <w:szCs w:val="32"/>
        </w:rPr>
        <w:t>第四部分 附件</w:t>
      </w:r>
      <w:r>
        <w:rPr>
          <w:rFonts w:cs="Times New Roman"/>
          <w:sz w:val="24"/>
          <w:szCs w:val="24"/>
        </w:rPr>
        <w:tab/>
      </w:r>
      <w:r>
        <w:rPr>
          <w:rFonts w:hint="eastAsia" w:cs="Times New Roman"/>
          <w:sz w:val="24"/>
          <w:szCs w:val="24"/>
          <w:lang w:val="en-US" w:eastAsia="zh-CN"/>
        </w:rPr>
        <w:t>16</w:t>
      </w:r>
    </w:p>
    <w:p>
      <w:pPr>
        <w:pStyle w:val="13"/>
        <w:adjustRightInd w:val="0"/>
        <w:snapToGrid w:val="0"/>
        <w:spacing w:before="0" w:line="440" w:lineRule="exact"/>
        <w:jc w:val="left"/>
        <w:rPr>
          <w:rFonts w:hint="default" w:ascii="Times New Roman" w:hAnsi="Times New Roman" w:eastAsia="黑体" w:cs="黑体"/>
          <w:sz w:val="32"/>
          <w:szCs w:val="32"/>
          <w:lang w:val="en-US"/>
        </w:rPr>
      </w:pPr>
      <w:r>
        <w:rPr>
          <w:rFonts w:hint="eastAsia" w:ascii="Times New Roman" w:hAnsi="Times New Roman" w:eastAsia="黑体" w:cs="黑体"/>
          <w:sz w:val="32"/>
          <w:szCs w:val="32"/>
        </w:rPr>
        <w:t>第五部分 附表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一、收入支出决算总表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二、收入决算表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三、支出决算表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四、财政拨款收入支出决算总表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五、财政拨款支出决算明细表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六、一般公共预算财政拨款支出决算表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七、一般公共预算财政拨款支出决算明细表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八、一般公共预算财政拨款基本支出决算明细表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 w:cs="仿宋_GB2312"/>
          <w:sz w:val="32"/>
          <w:szCs w:val="32"/>
          <w:lang w:val="en-US" w:eastAsia="zh-CN"/>
        </w:rPr>
      </w:pPr>
      <w:r>
        <w:rPr>
          <w:rFonts w:hint="eastAsia" w:eastAsia="仿宋_GB2312" w:cs="仿宋_GB2312"/>
          <w:sz w:val="32"/>
          <w:szCs w:val="32"/>
        </w:rPr>
        <w:t>九、一般公共预算财政拨款项目支出决算表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十、政府性基金预算财政拨款收入支出决算表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十一、国有资本经营预算财政拨款收入支出决算表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十二、国有资本经营预算财政拨款支出决算表</w:t>
      </w:r>
      <w:r>
        <w:rPr>
          <w:rFonts w:cs="Times New Roman"/>
          <w:sz w:val="24"/>
          <w:szCs w:val="24"/>
        </w:rPr>
        <w:tab/>
      </w:r>
      <w:r>
        <w:rPr>
          <w:rFonts w:hint="eastAsia" w:cs="Times New Roman"/>
          <w:sz w:val="24"/>
          <w:szCs w:val="24"/>
          <w:lang w:val="en-US" w:eastAsia="zh-CN"/>
        </w:rPr>
        <w:t>17</w:t>
      </w:r>
    </w:p>
    <w:p>
      <w:pPr>
        <w:pStyle w:val="13"/>
        <w:adjustRightInd w:val="0"/>
        <w:snapToGrid w:val="0"/>
        <w:spacing w:before="0" w:line="440" w:lineRule="exact"/>
        <w:ind w:firstLine="640" w:firstLineChars="200"/>
        <w:jc w:val="left"/>
        <w:rPr>
          <w:rFonts w:hint="default" w:ascii="Times New Roman" w:hAnsi="Times New Roman" w:eastAsia="黑体" w:cs="黑体"/>
          <w:sz w:val="32"/>
          <w:szCs w:val="32"/>
          <w:lang w:val="en-US"/>
        </w:rPr>
      </w:pPr>
      <w:r>
        <w:rPr>
          <w:rFonts w:hint="eastAsia" w:eastAsia="仿宋_GB2312" w:cs="仿宋_GB2312"/>
          <w:sz w:val="32"/>
          <w:szCs w:val="32"/>
        </w:rPr>
        <w:t>十三、财政拨款“三公”经费支出决算表</w:t>
      </w:r>
      <w:r>
        <w:rPr>
          <w:rFonts w:cs="Times New Roman"/>
          <w:sz w:val="24"/>
          <w:szCs w:val="24"/>
        </w:rPr>
        <w:tab/>
      </w:r>
      <w:r>
        <w:rPr>
          <w:rFonts w:hint="eastAsia" w:cs="Times New Roman"/>
          <w:sz w:val="24"/>
          <w:szCs w:val="24"/>
          <w:lang w:val="en-US" w:eastAsia="zh-CN"/>
        </w:rPr>
        <w:t>17</w:t>
      </w:r>
    </w:p>
    <w:p>
      <w:pPr>
        <w:pStyle w:val="15"/>
        <w:adjustRightInd w:val="0"/>
        <w:snapToGrid w:val="0"/>
        <w:spacing w:line="560" w:lineRule="exact"/>
        <w:ind w:left="0" w:leftChars="0" w:firstLine="640" w:firstLineChars="200"/>
        <w:jc w:val="left"/>
        <w:rPr>
          <w:rFonts w:eastAsia="仿宋_GB2312" w:cs="仿宋_GB2312"/>
          <w:sz w:val="32"/>
          <w:szCs w:val="32"/>
        </w:rPr>
      </w:pPr>
    </w:p>
    <w:p>
      <w:pPr>
        <w:widowControl/>
        <w:spacing w:line="560" w:lineRule="exact"/>
        <w:jc w:val="left"/>
        <w:rPr>
          <w:rFonts w:eastAsia="仿宋_GB2312" w:cs="仿宋_GB2312"/>
          <w:bCs/>
          <w:kern w:val="44"/>
          <w:sz w:val="32"/>
          <w:szCs w:val="32"/>
        </w:rPr>
      </w:pPr>
      <w:bookmarkStart w:id="6" w:name="_Toc15396599"/>
      <w:bookmarkStart w:id="7" w:name="_Toc15377196"/>
      <w:r>
        <w:rPr>
          <w:rFonts w:hint="eastAsia" w:eastAsia="仿宋_GB2312" w:cs="仿宋_GB2312"/>
          <w:b/>
          <w:sz w:val="32"/>
          <w:szCs w:val="32"/>
        </w:rPr>
        <w:br w:type="page"/>
      </w:r>
    </w:p>
    <w:p>
      <w:pPr>
        <w:pStyle w:val="2"/>
        <w:jc w:val="center"/>
        <w:rPr>
          <w:rStyle w:val="29"/>
          <w:rFonts w:eastAsia="方正小标宋简体" w:cs="方正小标宋简体"/>
          <w:b/>
          <w:bCs w:val="0"/>
        </w:rPr>
      </w:pPr>
      <w:r>
        <w:rPr>
          <w:rFonts w:hint="eastAsia" w:eastAsia="方正小标宋简体" w:cs="方正小标宋简体"/>
          <w:b w:val="0"/>
        </w:rPr>
        <w:t xml:space="preserve">第一部分  </w:t>
      </w:r>
      <w:r>
        <w:rPr>
          <w:rStyle w:val="29"/>
          <w:rFonts w:hint="eastAsia" w:eastAsia="方正小标宋简体" w:cs="方正小标宋简体"/>
          <w:b w:val="0"/>
          <w:bCs w:val="0"/>
        </w:rPr>
        <w:t>部门概况</w:t>
      </w:r>
      <w:bookmarkEnd w:id="6"/>
      <w:bookmarkEnd w:id="7"/>
    </w:p>
    <w:p>
      <w:pPr>
        <w:widowControl/>
        <w:jc w:val="left"/>
        <w:rPr>
          <w:rFonts w:eastAsia="黑体"/>
          <w:sz w:val="32"/>
          <w:szCs w:val="32"/>
        </w:rPr>
      </w:pPr>
    </w:p>
    <w:p>
      <w:pPr>
        <w:pStyle w:val="3"/>
        <w:numPr>
          <w:ilvl w:val="0"/>
          <w:numId w:val="1"/>
        </w:numPr>
        <w:rPr>
          <w:rFonts w:hint="eastAsia" w:ascii="Times New Roman" w:hAnsi="Times New Roman" w:eastAsia="黑体"/>
          <w:b w:val="0"/>
        </w:rPr>
      </w:pPr>
      <w:r>
        <w:rPr>
          <w:rFonts w:hint="eastAsia" w:ascii="Times New Roman" w:hAnsi="Times New Roman" w:eastAsia="黑体"/>
          <w:b w:val="0"/>
        </w:rPr>
        <w:t>部门职责</w:t>
      </w:r>
    </w:p>
    <w:p>
      <w:pPr>
        <w:pStyle w:val="3"/>
        <w:numPr>
          <w:ilvl w:val="0"/>
          <w:numId w:val="0"/>
        </w:numPr>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val="0"/>
          <w:bCs w:val="0"/>
          <w:sz w:val="32"/>
          <w:szCs w:val="32"/>
        </w:rPr>
        <w:t>攀枝花市少年宫是全额拨款事业单位，</w:t>
      </w:r>
      <w:r>
        <w:rPr>
          <w:rFonts w:hint="eastAsia" w:ascii="方正仿宋_GB2312" w:hAnsi="方正仿宋_GB2312" w:eastAsia="方正仿宋_GB2312" w:cs="方正仿宋_GB2312"/>
          <w:b w:val="0"/>
          <w:bCs w:val="0"/>
          <w:color w:val="000000"/>
          <w:sz w:val="32"/>
          <w:szCs w:val="32"/>
        </w:rPr>
        <w:t>秉承“公益办宫，服务青少年”的宗旨，</w:t>
      </w:r>
      <w:r>
        <w:rPr>
          <w:rFonts w:hint="eastAsia" w:ascii="方正仿宋_GB2312" w:hAnsi="方正仿宋_GB2312" w:eastAsia="方正仿宋_GB2312" w:cs="方正仿宋_GB2312"/>
          <w:b w:val="0"/>
          <w:bCs w:val="0"/>
          <w:color w:val="000000"/>
          <w:kern w:val="0"/>
          <w:sz w:val="32"/>
          <w:szCs w:val="32"/>
        </w:rPr>
        <w:t>牢牢把握青少年社会教育这一工作主线，</w:t>
      </w:r>
      <w:r>
        <w:rPr>
          <w:rFonts w:hint="eastAsia" w:ascii="方正仿宋_GB2312" w:hAnsi="方正仿宋_GB2312" w:eastAsia="方正仿宋_GB2312" w:cs="方正仿宋_GB2312"/>
          <w:b w:val="0"/>
          <w:bCs w:val="0"/>
          <w:sz w:val="32"/>
          <w:szCs w:val="32"/>
        </w:rPr>
        <w:t>推动校外教育阵地建设大发展，夯实培训和活动两个根本，突出公益性、服务性和体验性三大特点，立足本宫，</w:t>
      </w:r>
      <w:r>
        <w:rPr>
          <w:rFonts w:hint="eastAsia" w:ascii="方正仿宋_GB2312" w:hAnsi="方正仿宋_GB2312" w:eastAsia="方正仿宋_GB2312" w:cs="方正仿宋_GB2312"/>
          <w:b w:val="0"/>
          <w:bCs w:val="0"/>
          <w:color w:val="000000"/>
          <w:sz w:val="32"/>
          <w:szCs w:val="32"/>
        </w:rPr>
        <w:t>通过丰富多彩的主题教育兴趣培养等途径，</w:t>
      </w:r>
      <w:r>
        <w:rPr>
          <w:rFonts w:hint="eastAsia" w:ascii="方正仿宋_GB2312" w:hAnsi="方正仿宋_GB2312" w:eastAsia="方正仿宋_GB2312" w:cs="方正仿宋_GB2312"/>
          <w:b w:val="0"/>
          <w:bCs w:val="0"/>
          <w:color w:val="000000"/>
          <w:sz w:val="32"/>
          <w:szCs w:val="32"/>
          <w:lang w:eastAsia="zh-CN"/>
        </w:rPr>
        <w:t>常</w:t>
      </w:r>
      <w:r>
        <w:rPr>
          <w:rFonts w:hint="eastAsia" w:ascii="方正仿宋_GB2312" w:hAnsi="方正仿宋_GB2312" w:eastAsia="方正仿宋_GB2312" w:cs="方正仿宋_GB2312"/>
          <w:b w:val="0"/>
          <w:bCs w:val="0"/>
          <w:color w:val="000000"/>
          <w:sz w:val="32"/>
          <w:szCs w:val="32"/>
        </w:rPr>
        <w:t>年</w:t>
      </w:r>
      <w:r>
        <w:rPr>
          <w:rFonts w:hint="eastAsia" w:ascii="方正仿宋_GB2312" w:hAnsi="方正仿宋_GB2312" w:eastAsia="方正仿宋_GB2312" w:cs="方正仿宋_GB2312"/>
          <w:b w:val="0"/>
          <w:bCs w:val="0"/>
          <w:color w:val="000000"/>
          <w:kern w:val="0"/>
          <w:sz w:val="32"/>
          <w:szCs w:val="32"/>
        </w:rPr>
        <w:t>开展各类艺术培训活动。</w:t>
      </w:r>
    </w:p>
    <w:p>
      <w:pPr>
        <w:pStyle w:val="3"/>
        <w:rPr>
          <w:rStyle w:val="30"/>
          <w:rFonts w:ascii="Times New Roman" w:hAnsi="Times New Roman"/>
          <w:b w:val="0"/>
          <w:bCs w:val="0"/>
        </w:rPr>
      </w:pPr>
      <w:bookmarkStart w:id="8" w:name="_Toc15396601"/>
      <w:bookmarkStart w:id="9" w:name="_Toc15377200"/>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8"/>
      <w:bookmarkEnd w:id="9"/>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攀枝花市少年宫</w:t>
      </w:r>
      <w:r>
        <w:rPr>
          <w:rFonts w:hint="eastAsia" w:ascii="方正仿宋_GB2312" w:hAnsi="方正仿宋_GB2312" w:eastAsia="方正仿宋_GB2312" w:cs="方正仿宋_GB2312"/>
          <w:sz w:val="32"/>
          <w:szCs w:val="32"/>
          <w:lang w:eastAsia="zh-CN"/>
        </w:rPr>
        <w:t>是一级预算单位，无</w:t>
      </w:r>
      <w:r>
        <w:rPr>
          <w:rFonts w:hint="eastAsia" w:ascii="方正仿宋_GB2312" w:hAnsi="方正仿宋_GB2312" w:eastAsia="方正仿宋_GB2312" w:cs="方正仿宋_GB2312"/>
          <w:sz w:val="32"/>
          <w:szCs w:val="32"/>
        </w:rPr>
        <w:t>下属二级预算单位。</w:t>
      </w:r>
    </w:p>
    <w:p>
      <w:pPr>
        <w:widowControl/>
        <w:jc w:val="left"/>
        <w:rPr>
          <w:rFonts w:eastAsia="仿宋"/>
          <w:kern w:val="0"/>
          <w:sz w:val="32"/>
          <w:szCs w:val="32"/>
        </w:rPr>
      </w:pPr>
      <w:r>
        <w:rPr>
          <w:rFonts w:eastAsia="仿宋"/>
          <w:sz w:val="32"/>
          <w:szCs w:val="32"/>
        </w:rPr>
        <w:br w:type="page"/>
      </w:r>
    </w:p>
    <w:p>
      <w:pPr>
        <w:pStyle w:val="2"/>
        <w:jc w:val="center"/>
        <w:rPr>
          <w:rFonts w:eastAsia="方正小标宋简体" w:cs="方正小标宋简体"/>
          <w:b w:val="0"/>
        </w:rPr>
      </w:pPr>
      <w:bookmarkStart w:id="10" w:name="_Toc15396602"/>
      <w:bookmarkStart w:id="11" w:name="_Toc15377204"/>
      <w:r>
        <w:rPr>
          <w:rFonts w:hint="eastAsia" w:eastAsia="方正小标宋简体" w:cs="方正小标宋简体"/>
          <w:b w:val="0"/>
        </w:rPr>
        <w:t>第二部分  2024年度部门决算情况说明</w:t>
      </w:r>
      <w:bookmarkEnd w:id="10"/>
      <w:bookmarkEnd w:id="11"/>
    </w:p>
    <w:p/>
    <w:p>
      <w:pPr>
        <w:pStyle w:val="28"/>
        <w:spacing w:line="600" w:lineRule="exact"/>
        <w:ind w:firstLine="640"/>
        <w:outlineLvl w:val="1"/>
        <w:rPr>
          <w:rStyle w:val="30"/>
          <w:rFonts w:ascii="Times New Roman" w:hAnsi="Times New Roman" w:eastAsia="黑体"/>
          <w:b w:val="0"/>
        </w:rPr>
      </w:pPr>
      <w:bookmarkStart w:id="12" w:name="_Toc15377205"/>
      <w:bookmarkStart w:id="13" w:name="_Toc15396603"/>
      <w:r>
        <w:rPr>
          <w:rFonts w:hint="eastAsia" w:eastAsia="黑体"/>
          <w:sz w:val="32"/>
          <w:szCs w:val="32"/>
        </w:rPr>
        <w:t>一、收</w:t>
      </w:r>
      <w:r>
        <w:rPr>
          <w:rStyle w:val="30"/>
          <w:rFonts w:hint="eastAsia" w:ascii="Times New Roman" w:hAnsi="Times New Roman" w:eastAsia="黑体"/>
          <w:b w:val="0"/>
        </w:rPr>
        <w:t>入支出决算总体情况说明</w:t>
      </w:r>
      <w:bookmarkEnd w:id="12"/>
      <w:bookmarkEnd w:id="13"/>
    </w:p>
    <w:p>
      <w:pPr>
        <w:pStyle w:val="28"/>
        <w:spacing w:line="600" w:lineRule="exact"/>
        <w:ind w:firstLine="640"/>
        <w:outlineLvl w:val="1"/>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z w:val="32"/>
          <w:szCs w:val="32"/>
        </w:rPr>
        <w:t>2024年度收入、支出总计均为708.93万元。与2023年度相比，收入、支出总计各减少</w:t>
      </w:r>
      <w:r>
        <w:rPr>
          <w:rFonts w:hint="eastAsia" w:ascii="方正仿宋_GB2312" w:hAnsi="方正仿宋_GB2312" w:eastAsia="方正仿宋_GB2312" w:cs="方正仿宋_GB2312"/>
          <w:b w:val="0"/>
          <w:bCs w:val="0"/>
          <w:sz w:val="32"/>
          <w:szCs w:val="32"/>
          <w:lang w:val="en-US" w:eastAsia="zh-CN"/>
        </w:rPr>
        <w:t>11.2</w:t>
      </w:r>
      <w:r>
        <w:rPr>
          <w:rFonts w:hint="eastAsia" w:ascii="方正仿宋_GB2312" w:hAnsi="方正仿宋_GB2312" w:eastAsia="方正仿宋_GB2312" w:cs="方正仿宋_GB2312"/>
          <w:b w:val="0"/>
          <w:bCs w:val="0"/>
          <w:sz w:val="32"/>
          <w:szCs w:val="32"/>
        </w:rPr>
        <w:t>万元，下降</w:t>
      </w:r>
      <w:r>
        <w:rPr>
          <w:rFonts w:hint="eastAsia" w:ascii="方正仿宋_GB2312" w:hAnsi="方正仿宋_GB2312" w:eastAsia="方正仿宋_GB2312" w:cs="方正仿宋_GB2312"/>
          <w:b w:val="0"/>
          <w:bCs w:val="0"/>
          <w:sz w:val="32"/>
          <w:szCs w:val="32"/>
          <w:lang w:val="en-US" w:eastAsia="zh-CN"/>
        </w:rPr>
        <w:t>1.56</w:t>
      </w:r>
      <w:r>
        <w:rPr>
          <w:rFonts w:hint="eastAsia" w:ascii="方正仿宋_GB2312" w:hAnsi="方正仿宋_GB2312" w:eastAsia="方正仿宋_GB2312" w:cs="方正仿宋_GB2312"/>
          <w:b w:val="0"/>
          <w:bCs w:val="0"/>
          <w:sz w:val="32"/>
          <w:szCs w:val="32"/>
        </w:rPr>
        <w:t>%。主要变动原因是</w:t>
      </w:r>
      <w:r>
        <w:rPr>
          <w:rFonts w:hint="eastAsia" w:ascii="方正仿宋_GB2312" w:hAnsi="方正仿宋_GB2312" w:eastAsia="方正仿宋_GB2312" w:cs="方正仿宋_GB2312"/>
          <w:b w:val="0"/>
          <w:bCs w:val="0"/>
          <w:sz w:val="32"/>
          <w:szCs w:val="32"/>
          <w:lang w:eastAsia="zh-CN"/>
        </w:rPr>
        <w:t>按照全市预算安排，</w:t>
      </w:r>
      <w:r>
        <w:rPr>
          <w:rFonts w:hint="eastAsia" w:ascii="方正仿宋_GB2312" w:hAnsi="方正仿宋_GB2312" w:eastAsia="方正仿宋_GB2312" w:cs="方正仿宋_GB2312"/>
          <w:b w:val="0"/>
          <w:bCs w:val="0"/>
          <w:sz w:val="32"/>
          <w:szCs w:val="32"/>
          <w:lang w:val="en-US" w:eastAsia="zh-CN"/>
        </w:rPr>
        <w:t>2024年</w:t>
      </w:r>
      <w:r>
        <w:rPr>
          <w:rFonts w:hint="eastAsia" w:ascii="方正仿宋_GB2312" w:hAnsi="方正仿宋_GB2312" w:eastAsia="方正仿宋_GB2312" w:cs="方正仿宋_GB2312"/>
          <w:b w:val="0"/>
          <w:bCs w:val="0"/>
          <w:sz w:val="32"/>
          <w:szCs w:val="32"/>
          <w:lang w:eastAsia="zh-CN"/>
        </w:rPr>
        <w:t>缩减了用于保障日常培训活动开展的项目经费。</w:t>
      </w:r>
    </w:p>
    <w:p>
      <w:pPr>
        <w:ind w:firstLine="420" w:firstLineChars="200"/>
        <w:rPr>
          <w:rFonts w:hint="eastAsia" w:eastAsia="仿宋_GB2312" w:cs="仿宋_GB2312"/>
          <w:sz w:val="32"/>
          <w:szCs w:val="32"/>
        </w:rPr>
      </w:pPr>
      <w:r>
        <w:rPr>
          <w:rFonts w:hint="eastAsia" w:eastAsia="宋体"/>
          <w:lang w:eastAsia="zh-CN"/>
        </w:rPr>
        <w:object>
          <v:shape id="_x0000_i1025" o:spt="75" type="#_x0000_t75" style="height:187.75pt;width:380.7pt;" o:ole="t" filled="f" o:preferrelative="t" stroked="f" coordsize="21600,21600">
            <v:path/>
            <v:fill on="f" focussize="0,0"/>
            <v:stroke on="f"/>
            <v:imagedata r:id="rId9" o:title=""/>
            <o:lock v:ext="edit" aspectratio="t"/>
            <w10:wrap type="none"/>
            <w10:anchorlock/>
          </v:shape>
          <o:OLEObject Type="Embed" ProgID="Excel.Chart.8" ShapeID="_x0000_i1025" DrawAspect="Content" ObjectID="_1468075725" r:id="rId8">
            <o:LockedField>false</o:LockedField>
          </o:OLEObject>
        </w:object>
      </w:r>
    </w:p>
    <w:p>
      <w:pPr>
        <w:pStyle w:val="28"/>
        <w:spacing w:line="600" w:lineRule="exact"/>
        <w:ind w:firstLine="640"/>
        <w:outlineLvl w:val="1"/>
        <w:rPr>
          <w:rFonts w:eastAsia="黑体"/>
          <w:sz w:val="32"/>
          <w:szCs w:val="32"/>
        </w:rPr>
      </w:pPr>
      <w:bookmarkStart w:id="14" w:name="_Toc15377206"/>
      <w:bookmarkStart w:id="15" w:name="_Toc15396604"/>
      <w:r>
        <w:rPr>
          <w:rFonts w:hint="eastAsia" w:eastAsia="黑体"/>
          <w:sz w:val="32"/>
          <w:szCs w:val="32"/>
        </w:rPr>
        <w:t>二、收入决算情况说明</w:t>
      </w:r>
      <w:bookmarkEnd w:id="14"/>
      <w:bookmarkEnd w:id="15"/>
    </w:p>
    <w:p>
      <w:pPr>
        <w:pStyle w:val="28"/>
        <w:spacing w:line="600" w:lineRule="exact"/>
        <w:ind w:firstLine="640"/>
        <w:jc w:val="left"/>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708.93万元，其中：一般公共预算财政拨款收入708.93万元，占100%；政府性基金预算财政拨款收入0万元，占0%%；国有资本经营预算财政拨款收入0万元，占0%；上级补助收入0万元，占0%；事业收入0万元，占0%；经营收入0万元，占0%；附属单位上缴收入0万元，占0%；其他收入0万元，占0%。</w:t>
      </w:r>
    </w:p>
    <w:p>
      <w:pPr>
        <w:ind w:firstLine="800" w:firstLineChars="250"/>
        <w:rPr>
          <w:rFonts w:eastAsia="仿宋_GB2312" w:cs="仿宋_GB2312"/>
          <w:sz w:val="32"/>
          <w:szCs w:val="32"/>
        </w:rPr>
      </w:pPr>
      <w:r>
        <w:rPr>
          <w:rFonts w:hint="eastAsia" w:ascii="仿宋_GB2312" w:eastAsia="仿宋_GB2312"/>
          <w:sz w:val="32"/>
          <w:szCs w:val="32"/>
          <w:lang w:eastAsia="zh-CN"/>
        </w:rPr>
        <w:drawing>
          <wp:inline distT="0" distB="0" distL="114300" distR="114300">
            <wp:extent cx="4853940" cy="2224405"/>
            <wp:effectExtent l="4445" t="4445" r="18415" b="19050"/>
            <wp:docPr id="1" name="图表 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8"/>
        <w:spacing w:line="600" w:lineRule="exact"/>
        <w:ind w:firstLine="640"/>
        <w:outlineLvl w:val="1"/>
        <w:rPr>
          <w:rStyle w:val="30"/>
          <w:rFonts w:ascii="Times New Roman" w:hAnsi="Times New Roman" w:eastAsia="黑体"/>
          <w:b w:val="0"/>
        </w:rPr>
      </w:pPr>
      <w:bookmarkStart w:id="16" w:name="_Toc15396605"/>
      <w:bookmarkStart w:id="17" w:name="_Toc15377207"/>
      <w:r>
        <w:rPr>
          <w:rFonts w:hint="eastAsia" w:eastAsia="黑体"/>
          <w:sz w:val="32"/>
          <w:szCs w:val="32"/>
        </w:rPr>
        <w:t>三、支</w:t>
      </w:r>
      <w:r>
        <w:rPr>
          <w:rStyle w:val="30"/>
          <w:rFonts w:hint="eastAsia" w:ascii="Times New Roman" w:hAnsi="Times New Roman" w:eastAsia="黑体"/>
          <w:b w:val="0"/>
        </w:rPr>
        <w:t>出决算情况说明</w:t>
      </w:r>
      <w:bookmarkEnd w:id="16"/>
      <w:bookmarkEnd w:id="17"/>
    </w:p>
    <w:p>
      <w:pPr>
        <w:pStyle w:val="28"/>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2024年度本年支出合计708.93万元，其中：基本支出483.88万元，占68.2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%；项目支出225.05万元，占31.7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%；上缴上级支出0万元，占0%；经营支出0万元，占0%；对附属单位补助支出0万元，占0%%。</w:t>
      </w:r>
    </w:p>
    <w:p>
      <w:pPr>
        <w:ind w:firstLine="800" w:firstLineChars="250"/>
        <w:rPr>
          <w:rFonts w:eastAsia="仿宋_GB2312" w:cs="仿宋_GB2312"/>
          <w:sz w:val="32"/>
          <w:szCs w:val="32"/>
        </w:rPr>
      </w:pPr>
      <w:r>
        <w:rPr>
          <w:rFonts w:hint="eastAsia" w:ascii="仿宋" w:hAnsi="仿宋" w:eastAsia="仿宋"/>
          <w:color w:val="auto"/>
          <w:sz w:val="32"/>
          <w:szCs w:val="32"/>
          <w:highlight w:val="none"/>
          <w:shd w:val="pct10" w:color="auto" w:fill="FFFFFF"/>
          <w:lang w:eastAsia="zh-CN"/>
        </w:rPr>
        <w:object>
          <v:shape id="_x0000_i1026" o:spt="75" type="#_x0000_t75" style="height:192.05pt;width:382.65pt;" o:ole="t" filled="f" o:preferrelative="t" stroked="f" coordsize="21600,21600">
            <v:path/>
            <v:fill on="f" focussize="0,0"/>
            <v:stroke on="f"/>
            <v:imagedata r:id="rId12" o:title=""/>
            <o:lock v:ext="edit" aspectratio="t"/>
            <w10:wrap type="none"/>
            <w10:anchorlock/>
          </v:shape>
          <o:OLEObject Type="Embed" ProgID="Excel.Chart.8" ShapeID="_x0000_i1026" DrawAspect="Content" ObjectID="_1468075726" r:id="rId11">
            <o:LockedField>false</o:LockedField>
          </o:OLEObject>
        </w:object>
      </w: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spacing w:line="600" w:lineRule="exact"/>
        <w:ind w:firstLine="640" w:firstLineChars="200"/>
        <w:outlineLvl w:val="1"/>
        <w:rPr>
          <w:rStyle w:val="30"/>
          <w:rFonts w:ascii="Times New Roman" w:hAnsi="Times New Roman" w:eastAsia="黑体"/>
          <w:b w:val="0"/>
        </w:rPr>
      </w:pPr>
      <w:bookmarkStart w:id="18" w:name="_Toc15377208"/>
      <w:bookmarkStart w:id="19" w:name="_Toc15396606"/>
      <w:r>
        <w:rPr>
          <w:rFonts w:hint="eastAsia" w:eastAsia="黑体"/>
          <w:sz w:val="32"/>
          <w:szCs w:val="32"/>
        </w:rPr>
        <w:t>四、财</w:t>
      </w:r>
      <w:r>
        <w:rPr>
          <w:rStyle w:val="30"/>
          <w:rFonts w:hint="eastAsia" w:ascii="Times New Roman" w:hAnsi="Times New Roman" w:eastAsia="黑体"/>
          <w:b w:val="0"/>
        </w:rPr>
        <w:t>政拨款收入支出决算总体情况说明</w:t>
      </w:r>
      <w:bookmarkEnd w:id="18"/>
      <w:bookmarkEnd w:id="19"/>
    </w:p>
    <w:p>
      <w:pPr>
        <w:pStyle w:val="28"/>
        <w:spacing w:line="600" w:lineRule="exact"/>
        <w:ind w:firstLine="640"/>
        <w:outlineLvl w:val="1"/>
        <w:rPr>
          <w:rFonts w:hint="default" w:eastAsia="仿宋_GB2312" w:cs="仿宋_GB2312"/>
          <w:sz w:val="32"/>
          <w:szCs w:val="32"/>
          <w:lang w:val="en-US"/>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708.93</w:t>
      </w:r>
      <w:r>
        <w:rPr>
          <w:rFonts w:hint="eastAsia" w:eastAsia="仿宋_GB2312" w:cs="仿宋_GB2312"/>
          <w:sz w:val="32"/>
          <w:szCs w:val="32"/>
        </w:rPr>
        <w:t>万元。与2023年度相比，财政拨款收入总计、支出总计各减少</w:t>
      </w:r>
      <w:r>
        <w:rPr>
          <w:rFonts w:hint="eastAsia" w:eastAsia="仿宋_GB2312" w:cs="仿宋_GB2312"/>
          <w:sz w:val="32"/>
          <w:szCs w:val="32"/>
          <w:lang w:val="en-US" w:eastAsia="zh-CN"/>
        </w:rPr>
        <w:t>11.2</w:t>
      </w:r>
      <w:r>
        <w:rPr>
          <w:rFonts w:hint="eastAsia" w:eastAsia="仿宋_GB2312" w:cs="仿宋_GB2312"/>
          <w:sz w:val="32"/>
          <w:szCs w:val="32"/>
        </w:rPr>
        <w:t>万元，下降</w:t>
      </w:r>
      <w:r>
        <w:rPr>
          <w:rFonts w:hint="eastAsia" w:eastAsia="仿宋_GB2312" w:cs="仿宋_GB2312"/>
          <w:sz w:val="32"/>
          <w:szCs w:val="32"/>
          <w:lang w:val="en-US" w:eastAsia="zh-CN"/>
        </w:rPr>
        <w:t>1.56</w:t>
      </w:r>
      <w:r>
        <w:rPr>
          <w:rFonts w:hint="eastAsia" w:eastAsia="仿宋_GB2312" w:cs="仿宋_GB2312"/>
          <w:sz w:val="32"/>
          <w:szCs w:val="32"/>
        </w:rPr>
        <w:t>%。主要变动原因是</w:t>
      </w:r>
      <w:r>
        <w:rPr>
          <w:rFonts w:hint="eastAsia" w:ascii="仿宋" w:hAnsi="仿宋" w:eastAsia="仿宋"/>
          <w:sz w:val="32"/>
          <w:szCs w:val="32"/>
          <w:lang w:val="en-US" w:eastAsia="zh-CN"/>
        </w:rPr>
        <w:t>2024年</w:t>
      </w:r>
      <w:r>
        <w:rPr>
          <w:rFonts w:hint="eastAsia" w:ascii="仿宋_GB2312" w:hAnsi="仿宋" w:eastAsia="仿宋_GB2312"/>
          <w:sz w:val="32"/>
          <w:szCs w:val="32"/>
          <w:lang w:eastAsia="zh-CN"/>
        </w:rPr>
        <w:t>缩减了用于保障日常培训活动开展的项目经费。</w:t>
      </w:r>
    </w:p>
    <w:p>
      <w:pPr>
        <w:spacing w:line="600" w:lineRule="exact"/>
        <w:ind w:firstLine="640"/>
        <w:rPr>
          <w:rStyle w:val="30"/>
          <w:rFonts w:ascii="Times New Roman" w:hAnsi="Times New Roman" w:eastAsia="黑体"/>
          <w:b w:val="0"/>
        </w:rPr>
      </w:pPr>
      <w:r>
        <w:rPr>
          <w:rFonts w:hint="eastAsia"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157480</wp:posOffset>
            </wp:positionH>
            <wp:positionV relativeFrom="paragraph">
              <wp:posOffset>276860</wp:posOffset>
            </wp:positionV>
            <wp:extent cx="5001895" cy="2544445"/>
            <wp:effectExtent l="4445" t="4445" r="22860" b="2286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20" w:name="_Toc15377209"/>
      <w:bookmarkStart w:id="21" w:name="_Toc15396607"/>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20"/>
      <w:bookmarkEnd w:id="21"/>
    </w:p>
    <w:p>
      <w:pPr>
        <w:spacing w:line="600" w:lineRule="exact"/>
        <w:ind w:firstLine="642" w:firstLineChars="200"/>
        <w:outlineLvl w:val="2"/>
        <w:rPr>
          <w:rFonts w:eastAsia="楷体_GB2312" w:cs="楷体_GB2312"/>
          <w:b/>
          <w:sz w:val="32"/>
          <w:szCs w:val="32"/>
        </w:rPr>
      </w:pPr>
      <w:bookmarkStart w:id="22" w:name="_Toc15377210"/>
      <w:r>
        <w:rPr>
          <w:rFonts w:hint="eastAsia" w:eastAsia="楷体_GB2312" w:cs="楷体_GB2312"/>
          <w:b/>
          <w:sz w:val="32"/>
          <w:szCs w:val="32"/>
        </w:rPr>
        <w:t>（一）一般公共预算财政拨款支出决算总体情况</w:t>
      </w:r>
      <w:bookmarkEnd w:id="22"/>
    </w:p>
    <w:p>
      <w:pPr>
        <w:pStyle w:val="28"/>
        <w:spacing w:line="600" w:lineRule="exact"/>
        <w:ind w:firstLine="640"/>
        <w:outlineLvl w:val="1"/>
        <w:rPr>
          <w:rFonts w:hint="default" w:eastAsia="仿宋_GB2312" w:cs="仿宋_GB2312"/>
          <w:sz w:val="32"/>
          <w:szCs w:val="32"/>
          <w:lang w:val="en-US"/>
        </w:rPr>
      </w:pPr>
      <w:r>
        <w:rPr>
          <w:rFonts w:hint="eastAsia" w:ascii="仿宋_GB2312" w:hAnsi="仿宋_GB2312" w:eastAsia="仿宋_GB2312" w:cs="仿宋_GB2312"/>
          <w:sz w:val="32"/>
          <w:szCs w:val="32"/>
        </w:rPr>
        <w:t>2024年度一般公共预算财政拨款支出708.93万元，占本年支出合计的100%。与2023年度相比，一般公共预算财政拨款支出减少</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%。主要变动原因是</w:t>
      </w:r>
      <w:r>
        <w:rPr>
          <w:rFonts w:hint="eastAsia" w:ascii="仿宋" w:hAnsi="仿宋" w:eastAsia="仿宋"/>
          <w:sz w:val="32"/>
          <w:szCs w:val="32"/>
          <w:lang w:val="en-US" w:eastAsia="zh-CN"/>
        </w:rPr>
        <w:t>2024年</w:t>
      </w:r>
      <w:r>
        <w:rPr>
          <w:rFonts w:hint="eastAsia" w:ascii="仿宋_GB2312" w:hAnsi="仿宋" w:eastAsia="仿宋_GB2312"/>
          <w:sz w:val="32"/>
          <w:szCs w:val="32"/>
          <w:lang w:eastAsia="zh-CN"/>
        </w:rPr>
        <w:t>缩减了用于保障日常培训活动开展的项目经费。</w:t>
      </w: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仿宋_GB2312" w:cs="仿宋_GB2312"/>
          <w:sz w:val="32"/>
          <w:szCs w:val="32"/>
        </w:rPr>
      </w:pPr>
    </w:p>
    <w:p>
      <w:pPr>
        <w:spacing w:line="600" w:lineRule="exact"/>
        <w:ind w:firstLine="640"/>
        <w:rPr>
          <w:rFonts w:eastAsia="楷体_GB2312" w:cs="楷体_GB2312"/>
          <w:b/>
          <w:sz w:val="32"/>
          <w:szCs w:val="32"/>
        </w:rPr>
      </w:pPr>
      <w:r>
        <w:rPr>
          <w:rFonts w:hint="eastAsia"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207645</wp:posOffset>
            </wp:positionV>
            <wp:extent cx="4570095" cy="2531745"/>
            <wp:effectExtent l="4445" t="4445" r="16510" b="1651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23" w:name="_Toc15377211"/>
      <w:r>
        <w:rPr>
          <w:rFonts w:hint="eastAsia" w:eastAsia="楷体_GB2312" w:cs="楷体_GB2312"/>
          <w:b/>
          <w:sz w:val="32"/>
          <w:szCs w:val="32"/>
        </w:rPr>
        <w:t>（二）一般公共预算财政拨款支出决算结构情况</w:t>
      </w:r>
      <w:bookmarkEnd w:id="23"/>
    </w:p>
    <w:p>
      <w:pPr>
        <w:spacing w:line="600" w:lineRule="exact"/>
        <w:ind w:firstLine="640"/>
        <w:rPr>
          <w:rFonts w:hint="eastAsia" w:eastAsia="仿宋_GB2312" w:cs="仿宋_GB2312"/>
          <w:b/>
          <w:bCs/>
          <w:sz w:val="32"/>
          <w:szCs w:val="32"/>
          <w:lang w:eastAsia="zh-CN"/>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708.93万元</w:t>
      </w:r>
      <w:r>
        <w:rPr>
          <w:rFonts w:hint="eastAsia" w:eastAsia="仿宋_GB2312" w:cs="仿宋_GB2312"/>
          <w:sz w:val="32"/>
          <w:szCs w:val="32"/>
        </w:rPr>
        <w:t>，主要用于以下方面：一般公共服务支出</w:t>
      </w:r>
      <w:r>
        <w:rPr>
          <w:rFonts w:hint="eastAsia" w:eastAsia="仿宋_GB2312" w:cs="仿宋_GB2312"/>
          <w:sz w:val="32"/>
          <w:szCs w:val="32"/>
          <w:lang w:val="en-US" w:eastAsia="zh-CN"/>
        </w:rPr>
        <w:t>553.95</w:t>
      </w:r>
      <w:r>
        <w:rPr>
          <w:rFonts w:hint="eastAsia" w:eastAsia="仿宋_GB2312" w:cs="仿宋_GB2312"/>
          <w:sz w:val="32"/>
          <w:szCs w:val="32"/>
        </w:rPr>
        <w:t>万元，占</w:t>
      </w:r>
      <w:r>
        <w:rPr>
          <w:rFonts w:hint="eastAsia" w:eastAsia="仿宋_GB2312" w:cs="仿宋_GB2312"/>
          <w:sz w:val="32"/>
          <w:szCs w:val="32"/>
          <w:lang w:val="en-US" w:eastAsia="zh-CN"/>
        </w:rPr>
        <w:t>78.14</w:t>
      </w:r>
      <w:r>
        <w:rPr>
          <w:rFonts w:hint="eastAsia" w:eastAsia="仿宋_GB2312" w:cs="仿宋_GB2312"/>
          <w:sz w:val="32"/>
          <w:szCs w:val="32"/>
        </w:rPr>
        <w:t>%；社会保障和就业支出</w:t>
      </w:r>
      <w:r>
        <w:rPr>
          <w:rFonts w:hint="eastAsia" w:eastAsia="仿宋_GB2312" w:cs="仿宋_GB2312"/>
          <w:sz w:val="32"/>
          <w:szCs w:val="32"/>
          <w:lang w:val="en-US" w:eastAsia="zh-CN"/>
        </w:rPr>
        <w:t>94.81</w:t>
      </w:r>
      <w:r>
        <w:rPr>
          <w:rFonts w:hint="eastAsia" w:eastAsia="仿宋_GB2312" w:cs="仿宋_GB2312"/>
          <w:sz w:val="32"/>
          <w:szCs w:val="32"/>
        </w:rPr>
        <w:t>万元，占</w:t>
      </w:r>
      <w:r>
        <w:rPr>
          <w:rFonts w:hint="eastAsia" w:eastAsia="仿宋_GB2312" w:cs="仿宋_GB2312"/>
          <w:sz w:val="32"/>
          <w:szCs w:val="32"/>
          <w:lang w:val="en-US" w:eastAsia="zh-CN"/>
        </w:rPr>
        <w:t>13.37</w:t>
      </w:r>
      <w:r>
        <w:rPr>
          <w:rFonts w:hint="eastAsia" w:eastAsia="仿宋_GB2312" w:cs="仿宋_GB2312"/>
          <w:sz w:val="32"/>
          <w:szCs w:val="32"/>
        </w:rPr>
        <w:t>%；卫生健康支出</w:t>
      </w:r>
      <w:r>
        <w:rPr>
          <w:rFonts w:hint="eastAsia" w:eastAsia="仿宋_GB2312" w:cs="仿宋_GB2312"/>
          <w:sz w:val="32"/>
          <w:szCs w:val="32"/>
          <w:lang w:val="en-US" w:eastAsia="zh-CN"/>
        </w:rPr>
        <w:t>26.89</w:t>
      </w:r>
      <w:r>
        <w:rPr>
          <w:rFonts w:hint="eastAsia" w:eastAsia="仿宋_GB2312" w:cs="仿宋_GB2312"/>
          <w:sz w:val="32"/>
          <w:szCs w:val="32"/>
        </w:rPr>
        <w:t>万元，占</w:t>
      </w:r>
      <w:r>
        <w:rPr>
          <w:rFonts w:hint="eastAsia" w:eastAsia="仿宋_GB2312" w:cs="仿宋_GB2312"/>
          <w:sz w:val="32"/>
          <w:szCs w:val="32"/>
          <w:lang w:val="en-US" w:eastAsia="zh-CN"/>
        </w:rPr>
        <w:t>3.79</w:t>
      </w:r>
      <w:r>
        <w:rPr>
          <w:rFonts w:hint="eastAsia" w:eastAsia="仿宋_GB2312" w:cs="仿宋_GB2312"/>
          <w:sz w:val="32"/>
          <w:szCs w:val="32"/>
        </w:rPr>
        <w:t>%；住房保障支出</w:t>
      </w:r>
      <w:r>
        <w:rPr>
          <w:rFonts w:hint="eastAsia" w:eastAsia="仿宋_GB2312" w:cs="仿宋_GB2312"/>
          <w:sz w:val="32"/>
          <w:szCs w:val="32"/>
          <w:lang w:val="en-US" w:eastAsia="zh-CN"/>
        </w:rPr>
        <w:t>33.28</w:t>
      </w:r>
      <w:r>
        <w:rPr>
          <w:rFonts w:hint="eastAsia" w:eastAsia="仿宋_GB2312" w:cs="仿宋_GB2312"/>
          <w:sz w:val="32"/>
          <w:szCs w:val="32"/>
        </w:rPr>
        <w:t>万元，占</w:t>
      </w:r>
      <w:r>
        <w:rPr>
          <w:rFonts w:hint="eastAsia" w:eastAsia="仿宋_GB2312" w:cs="仿宋_GB2312"/>
          <w:sz w:val="32"/>
          <w:szCs w:val="32"/>
          <w:lang w:val="en-US" w:eastAsia="zh-CN"/>
        </w:rPr>
        <w:t>4.70</w:t>
      </w:r>
      <w:r>
        <w:rPr>
          <w:rFonts w:hint="eastAsia" w:eastAsia="仿宋_GB2312" w:cs="仿宋_GB2312"/>
          <w:sz w:val="32"/>
          <w:szCs w:val="32"/>
        </w:rPr>
        <w:t>%</w:t>
      </w:r>
      <w:r>
        <w:rPr>
          <w:rFonts w:hint="eastAsia" w:eastAsia="仿宋_GB2312" w:cs="仿宋_GB2312"/>
          <w:sz w:val="32"/>
          <w:szCs w:val="32"/>
          <w:lang w:eastAsia="zh-CN"/>
        </w:rPr>
        <w:t>。</w:t>
      </w:r>
    </w:p>
    <w:p>
      <w:pPr>
        <w:spacing w:line="600" w:lineRule="exact"/>
        <w:ind w:firstLine="640"/>
        <w:rPr>
          <w:rFonts w:eastAsia="楷体_GB2312" w:cs="楷体_GB2312"/>
          <w:b/>
          <w:sz w:val="32"/>
          <w:szCs w:val="32"/>
        </w:rPr>
      </w:pPr>
      <w:r>
        <w:rPr>
          <w:rFonts w:hint="eastAsia"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139700</wp:posOffset>
            </wp:positionH>
            <wp:positionV relativeFrom="paragraph">
              <wp:posOffset>91440</wp:posOffset>
            </wp:positionV>
            <wp:extent cx="4685030" cy="2265045"/>
            <wp:effectExtent l="4445" t="4445" r="15875" b="1651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24" w:name="_Toc15377212"/>
      <w:r>
        <w:rPr>
          <w:rFonts w:hint="eastAsia" w:eastAsia="楷体_GB2312" w:cs="楷体_GB2312"/>
          <w:b/>
          <w:sz w:val="32"/>
          <w:szCs w:val="32"/>
        </w:rPr>
        <w:t>（三）一般公共预算财政拨款支出决算具体情况</w:t>
      </w:r>
      <w:bookmarkEnd w:id="24"/>
    </w:p>
    <w:p>
      <w:pPr>
        <w:spacing w:line="600" w:lineRule="exact"/>
        <w:ind w:firstLine="640"/>
        <w:rPr>
          <w:rFonts w:eastAsia="仿宋_GB2312" w:cs="仿宋_GB2312"/>
          <w:sz w:val="32"/>
          <w:szCs w:val="32"/>
        </w:rPr>
      </w:pPr>
      <w:bookmarkStart w:id="25" w:name="_Toc15378460"/>
      <w:bookmarkStart w:id="26" w:name="_Toc15377444"/>
      <w:bookmarkStart w:id="27" w:name="_Toc15377213"/>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708.93，</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hint="eastAsia" w:eastAsia="仿宋_GB2312" w:cs="仿宋_GB2312"/>
          <w:sz w:val="32"/>
          <w:szCs w:val="32"/>
        </w:rPr>
        <w:t>%。其中：</w:t>
      </w:r>
      <w:bookmarkEnd w:id="25"/>
      <w:bookmarkEnd w:id="26"/>
      <w:bookmarkEnd w:id="27"/>
    </w:p>
    <w:p>
      <w:pPr>
        <w:spacing w:line="600" w:lineRule="exact"/>
        <w:ind w:firstLine="640"/>
        <w:rPr>
          <w:rFonts w:eastAsia="仿宋_GB2312" w:cs="仿宋_GB2312"/>
          <w:sz w:val="32"/>
          <w:szCs w:val="32"/>
        </w:rPr>
      </w:pPr>
    </w:p>
    <w:p>
      <w:pPr>
        <w:spacing w:line="600" w:lineRule="exact"/>
        <w:ind w:firstLine="642" w:firstLineChars="200"/>
        <w:rPr>
          <w:rFonts w:ascii="仿宋" w:hAnsi="仿宋" w:eastAsia="仿宋"/>
          <w:b/>
          <w:color w:val="auto"/>
          <w:sz w:val="32"/>
          <w:szCs w:val="32"/>
          <w:highlight w:val="none"/>
        </w:rPr>
      </w:pPr>
      <w:r>
        <w:rPr>
          <w:rStyle w:val="18"/>
          <w:rFonts w:ascii="仿宋" w:hAnsi="仿宋" w:eastAsia="仿宋"/>
          <w:bCs/>
          <w:sz w:val="32"/>
          <w:szCs w:val="32"/>
        </w:rPr>
        <w:t>1.</w:t>
      </w:r>
      <w:r>
        <w:rPr>
          <w:rStyle w:val="18"/>
          <w:rFonts w:hint="eastAsia" w:ascii="仿宋" w:hAnsi="仿宋" w:eastAsia="仿宋"/>
          <w:bCs/>
          <w:sz w:val="32"/>
          <w:szCs w:val="32"/>
        </w:rPr>
        <w:t>一般公共服务（类）</w:t>
      </w:r>
      <w:r>
        <w:rPr>
          <w:rStyle w:val="18"/>
          <w:rFonts w:hint="eastAsia" w:ascii="仿宋" w:hAnsi="仿宋" w:eastAsia="仿宋"/>
          <w:bCs/>
          <w:sz w:val="32"/>
          <w:szCs w:val="32"/>
          <w:lang w:eastAsia="zh-CN"/>
        </w:rPr>
        <w:t>群众团体事务</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事业运行</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328.90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Fonts w:ascii="仿宋" w:hAnsi="仿宋" w:eastAsia="仿宋"/>
          <w:b/>
          <w:color w:val="auto"/>
          <w:sz w:val="32"/>
          <w:szCs w:val="32"/>
          <w:highlight w:val="none"/>
        </w:rPr>
      </w:pPr>
      <w:r>
        <w:rPr>
          <w:rStyle w:val="18"/>
          <w:rFonts w:ascii="仿宋" w:hAnsi="仿宋" w:eastAsia="仿宋"/>
          <w:bCs/>
          <w:sz w:val="32"/>
          <w:szCs w:val="32"/>
        </w:rPr>
        <w:t>2.</w:t>
      </w:r>
      <w:r>
        <w:rPr>
          <w:rStyle w:val="18"/>
          <w:rFonts w:hint="eastAsia" w:ascii="仿宋" w:hAnsi="仿宋" w:eastAsia="仿宋"/>
          <w:bCs/>
          <w:sz w:val="32"/>
          <w:szCs w:val="32"/>
        </w:rPr>
        <w:t>一般公共服务（类）</w:t>
      </w:r>
      <w:r>
        <w:rPr>
          <w:rStyle w:val="18"/>
          <w:rFonts w:hint="eastAsia" w:ascii="仿宋" w:hAnsi="仿宋" w:eastAsia="仿宋"/>
          <w:bCs/>
          <w:sz w:val="32"/>
          <w:szCs w:val="32"/>
          <w:lang w:eastAsia="zh-CN"/>
        </w:rPr>
        <w:t>群众团体事务</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其他群众团体事务支出</w:t>
      </w:r>
      <w:r>
        <w:rPr>
          <w:rStyle w:val="18"/>
          <w:rFonts w:hint="eastAsia" w:ascii="仿宋" w:hAnsi="仿宋" w:eastAsia="仿宋"/>
          <w:bCs/>
          <w:sz w:val="32"/>
          <w:szCs w:val="32"/>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223.30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Style w:val="18"/>
          <w:rFonts w:hint="eastAsia" w:ascii="仿宋" w:hAnsi="仿宋" w:eastAsia="仿宋"/>
          <w:bCs/>
          <w:sz w:val="32"/>
          <w:szCs w:val="32"/>
        </w:rPr>
        <w:t>一般公共服务（类）</w:t>
      </w:r>
      <w:r>
        <w:rPr>
          <w:rStyle w:val="18"/>
          <w:rFonts w:hint="eastAsia" w:ascii="仿宋" w:hAnsi="仿宋" w:eastAsia="仿宋"/>
          <w:bCs/>
          <w:sz w:val="32"/>
          <w:szCs w:val="32"/>
          <w:lang w:eastAsia="zh-CN"/>
        </w:rPr>
        <w:t>群众团体事务</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其他组织事务支出</w:t>
      </w:r>
      <w:r>
        <w:rPr>
          <w:rStyle w:val="18"/>
          <w:rFonts w:hint="eastAsia" w:ascii="仿宋" w:hAnsi="仿宋" w:eastAsia="仿宋"/>
          <w:bCs/>
          <w:sz w:val="32"/>
          <w:szCs w:val="32"/>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1.75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sz w:val="32"/>
          <w:szCs w:val="32"/>
          <w:lang w:val="en-US" w:eastAsia="zh-CN"/>
        </w:rPr>
        <w:t>4</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eastAsia="zh-CN"/>
        </w:rPr>
        <w:t>行政事业单位养老支出</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事业单位离退休</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50.44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sz w:val="32"/>
          <w:szCs w:val="32"/>
          <w:lang w:val="en-US" w:eastAsia="zh-CN"/>
        </w:rPr>
        <w:t>5</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eastAsia="zh-CN"/>
        </w:rPr>
        <w:t>行政事业单位养老支出</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机关事业单位基本养老保险缴费支出</w:t>
      </w:r>
      <w:r>
        <w:rPr>
          <w:rStyle w:val="18"/>
          <w:rFonts w:hint="eastAsia" w:ascii="仿宋" w:hAnsi="仿宋" w:eastAsia="仿宋"/>
          <w:bCs/>
          <w:sz w:val="32"/>
          <w:szCs w:val="32"/>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44.37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6</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卫生健康支出</w:t>
      </w:r>
      <w:r>
        <w:rPr>
          <w:rStyle w:val="18"/>
          <w:rFonts w:hint="eastAsia" w:ascii="仿宋" w:hAnsi="仿宋" w:eastAsia="仿宋"/>
          <w:bCs/>
          <w:color w:val="auto"/>
          <w:sz w:val="32"/>
          <w:szCs w:val="32"/>
          <w:highlight w:val="none"/>
        </w:rPr>
        <w:t>（类）行政事业单位医疗（款）事业单位医疗（项）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21.36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7</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卫生健康支出</w:t>
      </w:r>
      <w:r>
        <w:rPr>
          <w:rStyle w:val="18"/>
          <w:rFonts w:hint="eastAsia" w:ascii="仿宋" w:hAnsi="仿宋" w:eastAsia="仿宋"/>
          <w:bCs/>
          <w:color w:val="auto"/>
          <w:sz w:val="32"/>
          <w:szCs w:val="32"/>
          <w:highlight w:val="none"/>
        </w:rPr>
        <w:t>（类）行政事业单位医疗（款）公务员医疗补助（项）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Style w:val="18"/>
          <w:rFonts w:hint="eastAsia" w:ascii="仿宋" w:hAnsi="仿宋" w:eastAsia="仿宋"/>
          <w:b w:val="0"/>
          <w:bCs/>
          <w:color w:val="auto"/>
          <w:sz w:val="32"/>
          <w:szCs w:val="32"/>
          <w:highlight w:val="none"/>
          <w:lang w:eastAsia="zh-CN"/>
        </w:rPr>
      </w:pPr>
      <w:r>
        <w:rPr>
          <w:rStyle w:val="18"/>
          <w:rFonts w:hint="eastAsia" w:ascii="仿宋" w:hAnsi="仿宋" w:eastAsia="仿宋"/>
          <w:bCs/>
          <w:color w:val="auto"/>
          <w:sz w:val="32"/>
          <w:szCs w:val="32"/>
          <w:highlight w:val="none"/>
          <w:lang w:val="en-US" w:eastAsia="zh-CN"/>
        </w:rPr>
        <w:t>8</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卫生健康支出</w:t>
      </w:r>
      <w:r>
        <w:rPr>
          <w:rStyle w:val="18"/>
          <w:rFonts w:hint="eastAsia" w:ascii="仿宋" w:hAnsi="仿宋" w:eastAsia="仿宋"/>
          <w:bCs/>
          <w:color w:val="auto"/>
          <w:sz w:val="32"/>
          <w:szCs w:val="32"/>
          <w:highlight w:val="none"/>
        </w:rPr>
        <w:t>（类）行政事业单位医疗（款）其他行政事业单位医疗支出（项）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2.77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spacing w:line="600" w:lineRule="exact"/>
        <w:ind w:firstLine="642" w:firstLineChars="200"/>
        <w:rPr>
          <w:rFonts w:eastAsia="仿宋_GB2312" w:cs="仿宋_GB2312"/>
          <w:sz w:val="32"/>
          <w:szCs w:val="32"/>
        </w:rPr>
      </w:pPr>
      <w:r>
        <w:rPr>
          <w:rStyle w:val="18"/>
          <w:rFonts w:hint="eastAsia" w:ascii="仿宋" w:hAnsi="仿宋" w:eastAsia="仿宋"/>
          <w:bCs/>
          <w:color w:val="auto"/>
          <w:sz w:val="32"/>
          <w:szCs w:val="32"/>
          <w:lang w:val="en-US" w:eastAsia="zh-CN"/>
        </w:rPr>
        <w:t>9</w:t>
      </w:r>
      <w:r>
        <w:rPr>
          <w:rStyle w:val="18"/>
          <w:rFonts w:ascii="仿宋" w:hAnsi="仿宋" w:eastAsia="仿宋"/>
          <w:bCs/>
          <w:color w:val="auto"/>
          <w:sz w:val="32"/>
          <w:szCs w:val="32"/>
        </w:rPr>
        <w:t>.</w:t>
      </w:r>
      <w:r>
        <w:rPr>
          <w:rFonts w:hint="eastAsia" w:ascii="仿宋" w:hAnsi="仿宋" w:eastAsia="仿宋"/>
          <w:b/>
          <w:bCs/>
          <w:color w:val="auto"/>
          <w:sz w:val="32"/>
          <w:szCs w:val="32"/>
          <w:lang w:eastAsia="zh-CN"/>
        </w:rPr>
        <w:t>住房保障支出</w:t>
      </w:r>
      <w:r>
        <w:rPr>
          <w:rStyle w:val="18"/>
          <w:rFonts w:hint="eastAsia" w:ascii="仿宋" w:hAnsi="仿宋" w:eastAsia="仿宋"/>
          <w:bCs/>
          <w:color w:val="auto"/>
          <w:sz w:val="32"/>
          <w:szCs w:val="32"/>
        </w:rPr>
        <w:t>（类）住房改革支出（款）住房公积金（项）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33.28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持平。</w:t>
      </w:r>
    </w:p>
    <w:p>
      <w:pPr>
        <w:tabs>
          <w:tab w:val="right" w:pos="8306"/>
        </w:tabs>
        <w:spacing w:line="600" w:lineRule="exact"/>
        <w:ind w:firstLine="640"/>
        <w:outlineLvl w:val="1"/>
        <w:rPr>
          <w:rStyle w:val="30"/>
          <w:rFonts w:ascii="Times New Roman" w:hAnsi="Times New Roman"/>
        </w:rPr>
      </w:pPr>
      <w:bookmarkStart w:id="28" w:name="_Toc15377214"/>
      <w:bookmarkStart w:id="29" w:name="_Toc15396608"/>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28"/>
      <w:bookmarkEnd w:id="29"/>
      <w:r>
        <w:rPr>
          <w:rStyle w:val="30"/>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483.88万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439.7万</w:t>
      </w:r>
      <w:r>
        <w:rPr>
          <w:rFonts w:hint="eastAsia" w:eastAsia="仿宋_GB2312" w:cs="仿宋_GB2312"/>
          <w:sz w:val="32"/>
          <w:szCs w:val="32"/>
        </w:rPr>
        <w:t>元，主要包括：基本工资、津贴补贴、奖金、伙食补助费、绩效工资、机关事业单位基本养老保险缴费、职业年金缴费、其他社会保障缴费、其他工资福利支出、离休费、退休费、医疗费补助、奖励金、住房公积金、其他对个人和家庭的补助支出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44.18万</w:t>
      </w:r>
      <w:r>
        <w:rPr>
          <w:rFonts w:hint="eastAsia" w:eastAsia="仿宋_GB2312" w:cs="仿宋_GB2312"/>
          <w:sz w:val="32"/>
          <w:szCs w:val="32"/>
        </w:rPr>
        <w:t>元，主要包括：办公费、水费、电费、邮电费、差旅费、维修（护）费、工会经费、福利费、公务用车运行维护费、其他商品和服务支出等。</w:t>
      </w:r>
    </w:p>
    <w:p>
      <w:pPr>
        <w:spacing w:line="600" w:lineRule="exact"/>
        <w:ind w:firstLine="640"/>
        <w:outlineLvl w:val="1"/>
        <w:rPr>
          <w:rStyle w:val="30"/>
          <w:rFonts w:ascii="Times New Roman" w:hAnsi="Times New Roman" w:eastAsia="黑体"/>
          <w:b w:val="0"/>
        </w:rPr>
      </w:pPr>
      <w:bookmarkStart w:id="30" w:name="_Toc15377215"/>
      <w:bookmarkStart w:id="31" w:name="_Toc15396609"/>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30"/>
      <w:bookmarkEnd w:id="31"/>
    </w:p>
    <w:p>
      <w:pPr>
        <w:spacing w:line="600" w:lineRule="exact"/>
        <w:ind w:firstLine="642" w:firstLineChars="200"/>
        <w:outlineLvl w:val="2"/>
        <w:rPr>
          <w:rFonts w:eastAsia="楷体_GB2312" w:cs="楷体_GB2312"/>
          <w:b/>
          <w:sz w:val="32"/>
          <w:szCs w:val="32"/>
        </w:rPr>
      </w:pPr>
      <w:bookmarkStart w:id="32" w:name="_Toc15377216"/>
      <w:r>
        <w:rPr>
          <w:rFonts w:hint="eastAsia" w:eastAsia="楷体_GB2312" w:cs="楷体_GB2312"/>
          <w:b/>
          <w:sz w:val="32"/>
          <w:szCs w:val="32"/>
        </w:rPr>
        <w:t>（一）“三公”经费财政拨款支出决算总体情况说明</w:t>
      </w:r>
      <w:bookmarkEnd w:id="32"/>
    </w:p>
    <w:p>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0.28万元，完成预算100%，</w:t>
      </w:r>
      <w:r>
        <w:rPr>
          <w:rFonts w:hint="eastAsia" w:eastAsia="仿宋_GB2312" w:cs="仿宋_GB2312"/>
          <w:sz w:val="32"/>
          <w:szCs w:val="32"/>
        </w:rPr>
        <w:t>较上年度减少</w:t>
      </w:r>
      <w:r>
        <w:rPr>
          <w:rFonts w:hint="eastAsia" w:eastAsia="仿宋_GB2312" w:cs="仿宋_GB2312"/>
          <w:sz w:val="32"/>
          <w:szCs w:val="32"/>
          <w:lang w:val="en-US" w:eastAsia="zh-CN"/>
        </w:rPr>
        <w:t>0.89</w:t>
      </w:r>
      <w:r>
        <w:rPr>
          <w:rFonts w:hint="eastAsia" w:eastAsia="仿宋_GB2312" w:cs="仿宋_GB2312"/>
          <w:sz w:val="32"/>
          <w:szCs w:val="32"/>
        </w:rPr>
        <w:t>万元，下降</w:t>
      </w:r>
      <w:r>
        <w:rPr>
          <w:rFonts w:hint="eastAsia" w:eastAsia="仿宋_GB2312" w:cs="仿宋_GB2312"/>
          <w:sz w:val="32"/>
          <w:szCs w:val="32"/>
          <w:lang w:val="en-US" w:eastAsia="zh-CN"/>
        </w:rPr>
        <w:t>76.07</w:t>
      </w:r>
      <w:r>
        <w:rPr>
          <w:rFonts w:hint="eastAsia" w:eastAsia="仿宋_GB2312" w:cs="仿宋_GB2312"/>
          <w:sz w:val="32"/>
          <w:szCs w:val="32"/>
        </w:rPr>
        <w:t>%。决算数与预算数持平</w:t>
      </w:r>
      <w:r>
        <w:rPr>
          <w:rFonts w:hint="eastAsia" w:eastAsia="仿宋_GB2312" w:cs="仿宋_GB2312"/>
          <w:sz w:val="32"/>
          <w:szCs w:val="32"/>
          <w:lang w:eastAsia="zh-CN"/>
        </w:rPr>
        <w:t>，</w:t>
      </w:r>
      <w:r>
        <w:rPr>
          <w:rFonts w:hint="eastAsia" w:ascii="仿宋" w:hAnsi="仿宋" w:eastAsia="仿宋"/>
          <w:color w:val="auto"/>
          <w:sz w:val="32"/>
          <w:szCs w:val="32"/>
          <w:highlight w:val="none"/>
        </w:rPr>
        <w:t>主要原因是</w:t>
      </w:r>
      <w:r>
        <w:rPr>
          <w:rStyle w:val="18"/>
          <w:rFonts w:hint="eastAsia" w:ascii="仿宋" w:hAnsi="仿宋" w:eastAsia="仿宋"/>
          <w:b w:val="0"/>
          <w:bCs/>
          <w:color w:val="auto"/>
          <w:sz w:val="32"/>
          <w:szCs w:val="32"/>
          <w:highlight w:val="none"/>
          <w:lang w:eastAsia="zh-CN"/>
        </w:rPr>
        <w:t>预算安排合理</w:t>
      </w:r>
      <w:r>
        <w:rPr>
          <w:rFonts w:hint="eastAsia" w:eastAsia="仿宋_GB2312" w:cs="仿宋_GB2312"/>
          <w:sz w:val="32"/>
          <w:szCs w:val="32"/>
          <w:lang w:eastAsia="zh-CN"/>
        </w:rPr>
        <w:t>。</w:t>
      </w:r>
    </w:p>
    <w:p>
      <w:pPr>
        <w:spacing w:line="600" w:lineRule="exact"/>
        <w:ind w:firstLine="642" w:firstLineChars="200"/>
        <w:outlineLvl w:val="2"/>
        <w:rPr>
          <w:rFonts w:eastAsia="楷体_GB2312" w:cs="楷体_GB2312"/>
          <w:b/>
          <w:sz w:val="32"/>
          <w:szCs w:val="32"/>
        </w:rPr>
      </w:pPr>
      <w:bookmarkStart w:id="33" w:name="_Toc15377217"/>
      <w:r>
        <w:rPr>
          <w:rFonts w:hint="eastAsia" w:eastAsia="楷体_GB2312" w:cs="楷体_GB2312"/>
          <w:b/>
          <w:sz w:val="32"/>
          <w:szCs w:val="32"/>
        </w:rPr>
        <w:t>（二）“三公”经费财政拨款支出决算具体情况说明</w:t>
      </w:r>
      <w:bookmarkEnd w:id="33"/>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2024年度“三公”经费财政拨款支出决算中，因公出国（境）费支出决算0万元；公务用车购置及运行维护费支出决算0.28万元，占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%；公务接待费支出决算0万元。具体情况如下：</w:t>
      </w:r>
    </w:p>
    <w:p>
      <w:pPr>
        <w:numPr>
          <w:ilvl w:val="0"/>
          <w:numId w:val="2"/>
        </w:numPr>
        <w:spacing w:line="600" w:lineRule="exact"/>
        <w:ind w:firstLine="640"/>
        <w:rPr>
          <w:rFonts w:hint="eastAsia" w:eastAsia="仿宋_GB2312" w:cs="仿宋_GB2312"/>
          <w:sz w:val="32"/>
          <w:szCs w:val="32"/>
          <w:lang w:eastAsia="zh-CN"/>
        </w:rPr>
      </w:pPr>
      <w:r>
        <w:rPr>
          <w:rFonts w:hint="eastAsia" w:eastAsia="仿宋_GB2312" w:cs="仿宋_GB2312"/>
          <w:sz w:val="32"/>
          <w:szCs w:val="32"/>
          <w:lang w:eastAsia="zh-CN"/>
        </w:rPr>
        <w:drawing>
          <wp:anchor distT="0" distB="0" distL="114300" distR="114300" simplePos="0" relativeHeight="251662336" behindDoc="0" locked="0" layoutInCell="1" allowOverlap="1">
            <wp:simplePos x="0" y="0"/>
            <wp:positionH relativeFrom="column">
              <wp:posOffset>321945</wp:posOffset>
            </wp:positionH>
            <wp:positionV relativeFrom="paragraph">
              <wp:posOffset>181610</wp:posOffset>
            </wp:positionV>
            <wp:extent cx="4774565" cy="2303145"/>
            <wp:effectExtent l="4445" t="4445" r="21590" b="1651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eastAsia="仿宋_GB2312" w:cs="仿宋_GB2312"/>
          <w:b/>
          <w:bCs/>
          <w:sz w:val="32"/>
          <w:szCs w:val="32"/>
        </w:rPr>
        <w:t>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。因公出国（境）支出决算比2023年</w:t>
      </w:r>
      <w:r>
        <w:rPr>
          <w:rFonts w:hint="eastAsia" w:eastAsia="仿宋_GB2312" w:cs="仿宋_GB2312"/>
          <w:sz w:val="32"/>
          <w:szCs w:val="32"/>
          <w:lang w:eastAsia="zh-CN"/>
        </w:rPr>
        <w:t>持平。</w:t>
      </w:r>
    </w:p>
    <w:p>
      <w:pPr>
        <w:numPr>
          <w:ilvl w:val="0"/>
          <w:numId w:val="0"/>
        </w:numPr>
        <w:spacing w:line="600" w:lineRule="exact"/>
        <w:ind w:firstLine="642" w:firstLineChars="20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0.28万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公务用车购置及运行维护费支出决算比2023年度减少</w:t>
      </w:r>
      <w:r>
        <w:rPr>
          <w:rFonts w:hint="eastAsia" w:eastAsia="仿宋_GB2312" w:cs="仿宋_GB2312"/>
          <w:sz w:val="32"/>
          <w:szCs w:val="32"/>
          <w:lang w:val="en-US" w:eastAsia="zh-CN"/>
        </w:rPr>
        <w:t>0.89</w:t>
      </w:r>
      <w:r>
        <w:rPr>
          <w:rFonts w:hint="eastAsia" w:eastAsia="仿宋_GB2312" w:cs="仿宋_GB2312"/>
          <w:sz w:val="32"/>
          <w:szCs w:val="32"/>
        </w:rPr>
        <w:t>万元，下降</w:t>
      </w:r>
      <w:r>
        <w:rPr>
          <w:rFonts w:hint="eastAsia" w:eastAsia="仿宋_GB2312" w:cs="仿宋_GB2312"/>
          <w:sz w:val="32"/>
          <w:szCs w:val="32"/>
          <w:lang w:val="en-US" w:eastAsia="zh-CN"/>
        </w:rPr>
        <w:t>76.07</w:t>
      </w:r>
      <w:r>
        <w:rPr>
          <w:rFonts w:hint="eastAsia" w:eastAsia="仿宋_GB2312" w:cs="仿宋_GB2312"/>
          <w:sz w:val="32"/>
          <w:szCs w:val="32"/>
        </w:rPr>
        <w:t>%。主要原因是</w:t>
      </w:r>
      <w:r>
        <w:rPr>
          <w:rFonts w:hint="eastAsia" w:ascii="仿宋_GB2312" w:eastAsia="仿宋_GB2312"/>
          <w:color w:val="auto"/>
          <w:sz w:val="32"/>
          <w:szCs w:val="32"/>
          <w:highlight w:val="none"/>
          <w:lang w:eastAsia="zh-CN"/>
        </w:rPr>
        <w:t>公务车使用年限已超</w:t>
      </w:r>
      <w:r>
        <w:rPr>
          <w:rFonts w:hint="eastAsia" w:ascii="仿宋_GB2312" w:eastAsia="仿宋_GB2312"/>
          <w:color w:val="auto"/>
          <w:sz w:val="32"/>
          <w:szCs w:val="32"/>
          <w:highlight w:val="none"/>
          <w:lang w:val="en-US" w:eastAsia="zh-CN"/>
        </w:rPr>
        <w:t>15年，维修费用非常高，现已基本停止使用。</w:t>
      </w:r>
    </w:p>
    <w:p>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w:t>
      </w:r>
      <w:r>
        <w:rPr>
          <w:rFonts w:hint="eastAsia" w:eastAsia="仿宋_GB2312" w:cs="仿宋_GB2312"/>
          <w:sz w:val="32"/>
          <w:szCs w:val="32"/>
          <w:lang w:val="en-US" w:eastAsia="zh-CN"/>
        </w:rPr>
        <w:t>0</w:t>
      </w:r>
      <w:r>
        <w:rPr>
          <w:rFonts w:hint="eastAsia" w:eastAsia="仿宋_GB2312" w:cs="仿宋_GB2312"/>
          <w:sz w:val="32"/>
          <w:szCs w:val="32"/>
        </w:rPr>
        <w:t>辆，其中：轿车</w:t>
      </w:r>
      <w:r>
        <w:rPr>
          <w:rFonts w:hint="eastAsia" w:eastAsia="仿宋_GB2312" w:cs="仿宋_GB2312"/>
          <w:sz w:val="32"/>
          <w:szCs w:val="32"/>
          <w:lang w:val="en-US" w:eastAsia="zh-CN"/>
        </w:rPr>
        <w:t>0</w:t>
      </w:r>
      <w:r>
        <w:rPr>
          <w:rFonts w:hint="eastAsia" w:eastAsia="仿宋_GB2312" w:cs="仿宋_GB2312"/>
          <w:sz w:val="32"/>
          <w:szCs w:val="32"/>
        </w:rPr>
        <w:t>辆、金额</w:t>
      </w:r>
      <w:r>
        <w:rPr>
          <w:rFonts w:hint="eastAsia" w:eastAsia="仿宋_GB2312" w:cs="仿宋_GB2312"/>
          <w:sz w:val="32"/>
          <w:szCs w:val="32"/>
          <w:lang w:val="en-US" w:eastAsia="zh-CN"/>
        </w:rPr>
        <w:t>0</w:t>
      </w:r>
      <w:r>
        <w:rPr>
          <w:rFonts w:hint="eastAsia" w:eastAsia="仿宋_GB2312" w:cs="仿宋_GB2312"/>
          <w:sz w:val="32"/>
          <w:szCs w:val="32"/>
        </w:rPr>
        <w:t>万元，越野车</w:t>
      </w:r>
      <w:r>
        <w:rPr>
          <w:rFonts w:hint="eastAsia" w:eastAsia="仿宋_GB2312" w:cs="仿宋_GB2312"/>
          <w:sz w:val="32"/>
          <w:szCs w:val="32"/>
          <w:lang w:val="en-US" w:eastAsia="zh-CN"/>
        </w:rPr>
        <w:t>0</w:t>
      </w:r>
      <w:r>
        <w:rPr>
          <w:rFonts w:hint="eastAsia" w:eastAsia="仿宋_GB2312" w:cs="仿宋_GB2312"/>
          <w:sz w:val="32"/>
          <w:szCs w:val="32"/>
        </w:rPr>
        <w:t>辆、金额</w:t>
      </w:r>
      <w:r>
        <w:rPr>
          <w:rFonts w:hint="eastAsia" w:eastAsia="仿宋_GB2312" w:cs="仿宋_GB2312"/>
          <w:sz w:val="32"/>
          <w:szCs w:val="32"/>
          <w:lang w:val="en-US" w:eastAsia="zh-CN"/>
        </w:rPr>
        <w:t>0</w:t>
      </w:r>
      <w:r>
        <w:rPr>
          <w:rFonts w:hint="eastAsia" w:eastAsia="仿宋_GB2312" w:cs="仿宋_GB2312"/>
          <w:sz w:val="32"/>
          <w:szCs w:val="32"/>
        </w:rPr>
        <w:t>万元，载客汽车</w:t>
      </w:r>
      <w:r>
        <w:rPr>
          <w:rFonts w:hint="eastAsia" w:eastAsia="仿宋_GB2312" w:cs="仿宋_GB2312"/>
          <w:sz w:val="32"/>
          <w:szCs w:val="32"/>
          <w:lang w:val="en-US" w:eastAsia="zh-CN"/>
        </w:rPr>
        <w:t>0</w:t>
      </w:r>
      <w:r>
        <w:rPr>
          <w:rFonts w:hint="eastAsia" w:eastAsia="仿宋_GB2312" w:cs="仿宋_GB2312"/>
          <w:sz w:val="32"/>
          <w:szCs w:val="32"/>
        </w:rPr>
        <w:t>辆、金额</w:t>
      </w:r>
      <w:r>
        <w:rPr>
          <w:rFonts w:hint="eastAsia" w:eastAsia="仿宋_GB2312" w:cs="仿宋_GB2312"/>
          <w:sz w:val="32"/>
          <w:szCs w:val="32"/>
          <w:lang w:val="en-US" w:eastAsia="zh-CN"/>
        </w:rPr>
        <w:t>0</w:t>
      </w:r>
      <w:r>
        <w:rPr>
          <w:rFonts w:hint="eastAsia" w:eastAsia="仿宋_GB2312" w:cs="仿宋_GB2312"/>
          <w:sz w:val="32"/>
          <w:szCs w:val="32"/>
        </w:rPr>
        <w:t>万元。截至2024年12月31日，单位共有公务用车</w:t>
      </w:r>
      <w:r>
        <w:rPr>
          <w:rFonts w:hint="eastAsia" w:eastAsia="仿宋_GB2312" w:cs="仿宋_GB2312"/>
          <w:sz w:val="32"/>
          <w:szCs w:val="32"/>
          <w:lang w:val="en-US" w:eastAsia="zh-CN"/>
        </w:rPr>
        <w:t>1</w:t>
      </w:r>
      <w:r>
        <w:rPr>
          <w:rFonts w:hint="eastAsia" w:eastAsia="仿宋_GB2312" w:cs="仿宋_GB2312"/>
          <w:sz w:val="32"/>
          <w:szCs w:val="32"/>
        </w:rPr>
        <w:t>辆，其中：轿车</w:t>
      </w:r>
      <w:r>
        <w:rPr>
          <w:rFonts w:hint="eastAsia" w:eastAsia="仿宋_GB2312" w:cs="仿宋_GB2312"/>
          <w:sz w:val="32"/>
          <w:szCs w:val="32"/>
          <w:lang w:val="en-US" w:eastAsia="zh-CN"/>
        </w:rPr>
        <w:t>1</w:t>
      </w:r>
      <w:r>
        <w:rPr>
          <w:rFonts w:hint="eastAsia" w:eastAsia="仿宋_GB2312" w:cs="仿宋_GB2312"/>
          <w:sz w:val="32"/>
          <w:szCs w:val="32"/>
        </w:rPr>
        <w:t>辆、越野车</w:t>
      </w:r>
      <w:r>
        <w:rPr>
          <w:rFonts w:hint="eastAsia" w:eastAsia="仿宋_GB2312" w:cs="仿宋_GB2312"/>
          <w:sz w:val="32"/>
          <w:szCs w:val="32"/>
          <w:lang w:val="en-US" w:eastAsia="zh-CN"/>
        </w:rPr>
        <w:t>0</w:t>
      </w:r>
      <w:r>
        <w:rPr>
          <w:rFonts w:hint="eastAsia" w:eastAsia="仿宋_GB2312" w:cs="仿宋_GB2312"/>
          <w:sz w:val="32"/>
          <w:szCs w:val="32"/>
        </w:rPr>
        <w:t>辆、载客汽车</w:t>
      </w:r>
      <w:r>
        <w:rPr>
          <w:rFonts w:hint="eastAsia" w:eastAsia="仿宋_GB2312" w:cs="仿宋_GB2312"/>
          <w:sz w:val="32"/>
          <w:szCs w:val="32"/>
          <w:lang w:val="en-US" w:eastAsia="zh-CN"/>
        </w:rPr>
        <w:t>0</w:t>
      </w:r>
      <w:r>
        <w:rPr>
          <w:rFonts w:hint="eastAsia" w:eastAsia="仿宋_GB2312" w:cs="仿宋_GB2312"/>
          <w:sz w:val="32"/>
          <w:szCs w:val="32"/>
        </w:rPr>
        <w:t>辆。</w:t>
      </w:r>
    </w:p>
    <w:p>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出0.28</w:t>
      </w:r>
      <w:r>
        <w:rPr>
          <w:rFonts w:hint="eastAsia" w:eastAsia="仿宋_GB2312" w:cs="仿宋_GB2312"/>
          <w:sz w:val="32"/>
          <w:szCs w:val="32"/>
        </w:rPr>
        <w:t>万元。主要用于公务用车</w:t>
      </w:r>
      <w:r>
        <w:rPr>
          <w:rFonts w:hint="eastAsia" w:eastAsia="仿宋_GB2312" w:cs="仿宋_GB2312"/>
          <w:sz w:val="32"/>
          <w:szCs w:val="32"/>
          <w:lang w:eastAsia="zh-CN"/>
        </w:rPr>
        <w:t>基本</w:t>
      </w:r>
      <w:r>
        <w:rPr>
          <w:rFonts w:hint="eastAsia" w:eastAsia="仿宋_GB2312" w:cs="仿宋_GB2312"/>
          <w:sz w:val="32"/>
          <w:szCs w:val="32"/>
        </w:rPr>
        <w:t>保险费支出。</w:t>
      </w:r>
    </w:p>
    <w:p>
      <w:pPr>
        <w:spacing w:line="600" w:lineRule="exact"/>
        <w:ind w:firstLine="640"/>
        <w:rPr>
          <w:rFonts w:hint="eastAsia" w:eastAsia="仿宋_GB2312" w:cs="仿宋_GB2312"/>
          <w:sz w:val="32"/>
          <w:szCs w:val="32"/>
          <w:lang w:eastAsia="zh-CN"/>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w:t>
      </w:r>
      <w:r>
        <w:rPr>
          <w:rFonts w:hint="eastAsia" w:eastAsia="仿宋_GB2312" w:cs="仿宋_GB2312"/>
          <w:sz w:val="32"/>
          <w:szCs w:val="32"/>
        </w:rPr>
        <w:t>公务接待费支出决算比2023年度</w:t>
      </w:r>
      <w:r>
        <w:rPr>
          <w:rFonts w:hint="eastAsia" w:eastAsia="仿宋_GB2312" w:cs="仿宋_GB2312"/>
          <w:sz w:val="32"/>
          <w:szCs w:val="32"/>
          <w:lang w:eastAsia="zh-CN"/>
        </w:rPr>
        <w:t>持平。其中：</w:t>
      </w:r>
    </w:p>
    <w:p>
      <w:pPr>
        <w:spacing w:line="600" w:lineRule="exact"/>
        <w:ind w:firstLine="640"/>
        <w:rPr>
          <w:rFonts w:eastAsia="仿宋_GB2312" w:cs="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出0万</w:t>
      </w:r>
      <w:r>
        <w:rPr>
          <w:rFonts w:hint="eastAsia" w:eastAsia="仿宋_GB2312" w:cs="仿宋_GB2312"/>
          <w:sz w:val="32"/>
          <w:szCs w:val="32"/>
        </w:rPr>
        <w:t>元。</w:t>
      </w:r>
    </w:p>
    <w:p>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w:t>
      </w:r>
      <w:r>
        <w:rPr>
          <w:rFonts w:hint="eastAsia" w:eastAsia="仿宋_GB2312" w:cs="仿宋_GB2312"/>
          <w:sz w:val="32"/>
          <w:szCs w:val="32"/>
        </w:rPr>
        <w:t>。</w:t>
      </w:r>
      <w:bookmarkStart w:id="34" w:name="_Toc15377218"/>
      <w:bookmarkStart w:id="35" w:name="_Toc15396610"/>
    </w:p>
    <w:p>
      <w:pPr>
        <w:spacing w:line="600" w:lineRule="exact"/>
        <w:ind w:firstLine="640"/>
        <w:outlineLvl w:val="1"/>
        <w:rPr>
          <w:rStyle w:val="30"/>
          <w:rFonts w:ascii="Times New Roman" w:hAnsi="Times New Roman" w:eastAsia="黑体"/>
        </w:rPr>
      </w:pPr>
      <w:r>
        <w:rPr>
          <w:rFonts w:hint="eastAsia" w:eastAsia="黑体"/>
          <w:sz w:val="32"/>
          <w:szCs w:val="32"/>
        </w:rPr>
        <w:t>八、</w:t>
      </w:r>
      <w:r>
        <w:rPr>
          <w:rStyle w:val="30"/>
          <w:rFonts w:hint="eastAsia" w:ascii="Times New Roman" w:hAnsi="Times New Roman" w:eastAsia="黑体"/>
          <w:b w:val="0"/>
        </w:rPr>
        <w:t>政府性基金预算支出决算情况说明</w:t>
      </w:r>
      <w:bookmarkEnd w:id="34"/>
      <w:bookmarkEnd w:id="35"/>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2024年度政府性基金预算财政拨款支出0万元</w:t>
      </w:r>
      <w:r>
        <w:rPr>
          <w:rFonts w:hint="eastAsia" w:ascii="仿宋_GB2312" w:hAnsi="仿宋_GB2312" w:eastAsia="仿宋_GB2312" w:cs="仿宋_GB2312"/>
          <w:sz w:val="32"/>
          <w:szCs w:val="32"/>
          <w:lang w:val="en-US" w:eastAsia="zh-CN"/>
        </w:rPr>
        <w:t>,</w:t>
      </w:r>
      <w:r>
        <w:rPr>
          <w:rFonts w:hint="eastAsia" w:eastAsia="仿宋_GB2312" w:cs="仿宋_GB2312"/>
          <w:sz w:val="32"/>
          <w:szCs w:val="32"/>
        </w:rPr>
        <w:t>与2023年度</w:t>
      </w:r>
      <w:r>
        <w:rPr>
          <w:rFonts w:hint="eastAsia" w:eastAsia="仿宋_GB2312" w:cs="仿宋_GB2312"/>
          <w:sz w:val="32"/>
          <w:szCs w:val="32"/>
          <w:lang w:val="en-US" w:eastAsia="zh-CN"/>
        </w:rPr>
        <w:t>持平。</w:t>
      </w:r>
    </w:p>
    <w:p>
      <w:pPr>
        <w:spacing w:line="600" w:lineRule="exact"/>
        <w:ind w:left="630"/>
        <w:outlineLvl w:val="1"/>
        <w:rPr>
          <w:rStyle w:val="30"/>
          <w:rFonts w:ascii="Times New Roman" w:hAnsi="Times New Roman" w:eastAsia="黑体"/>
          <w:b w:val="0"/>
        </w:rPr>
      </w:pPr>
      <w:bookmarkStart w:id="36" w:name="_Toc15396611"/>
      <w:bookmarkStart w:id="37" w:name="_Toc15377219"/>
      <w:r>
        <w:rPr>
          <w:rStyle w:val="30"/>
          <w:rFonts w:hint="eastAsia" w:ascii="Times New Roman" w:hAnsi="Times New Roman" w:eastAsia="黑体"/>
          <w:b w:val="0"/>
        </w:rPr>
        <w:t>九、国有资本经营预算支出决算情况说明</w:t>
      </w:r>
      <w:bookmarkEnd w:id="36"/>
      <w:bookmarkEnd w:id="37"/>
    </w:p>
    <w:p>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r>
        <w:rPr>
          <w:rFonts w:hint="eastAsia" w:eastAsia="仿宋_GB2312" w:cs="仿宋_GB2312"/>
          <w:sz w:val="32"/>
          <w:szCs w:val="32"/>
        </w:rPr>
        <w:t>与2023年度</w:t>
      </w:r>
      <w:r>
        <w:rPr>
          <w:rFonts w:hint="eastAsia" w:eastAsia="仿宋_GB2312" w:cs="仿宋_GB2312"/>
          <w:sz w:val="32"/>
          <w:szCs w:val="32"/>
          <w:lang w:eastAsia="zh-CN"/>
        </w:rPr>
        <w:t>持平。</w:t>
      </w:r>
    </w:p>
    <w:p>
      <w:pPr>
        <w:spacing w:line="600" w:lineRule="exact"/>
        <w:ind w:left="630"/>
        <w:outlineLvl w:val="1"/>
        <w:rPr>
          <w:rStyle w:val="30"/>
          <w:rFonts w:ascii="Times New Roman" w:hAnsi="Times New Roman" w:eastAsia="黑体"/>
          <w:b w:val="0"/>
        </w:rPr>
      </w:pPr>
      <w:bookmarkStart w:id="38" w:name="_Toc15396612"/>
      <w:bookmarkStart w:id="39" w:name="_Toc15377221"/>
      <w:r>
        <w:rPr>
          <w:rStyle w:val="30"/>
          <w:rFonts w:hint="eastAsia" w:ascii="Times New Roman" w:hAnsi="Times New Roman" w:eastAsia="黑体"/>
          <w:b w:val="0"/>
        </w:rPr>
        <w:t>十、其他重要事项的情况说明</w:t>
      </w:r>
      <w:bookmarkEnd w:id="38"/>
      <w:bookmarkEnd w:id="39"/>
    </w:p>
    <w:p>
      <w:pPr>
        <w:spacing w:line="600" w:lineRule="exact"/>
        <w:ind w:firstLine="642" w:firstLineChars="200"/>
        <w:outlineLvl w:val="2"/>
        <w:rPr>
          <w:rFonts w:eastAsia="楷体_GB2312" w:cs="楷体_GB2312"/>
          <w:b/>
          <w:sz w:val="32"/>
          <w:szCs w:val="32"/>
        </w:rPr>
      </w:pPr>
      <w:bookmarkStart w:id="40" w:name="_Toc15377222"/>
      <w:r>
        <w:rPr>
          <w:rFonts w:hint="eastAsia" w:eastAsia="楷体_GB2312" w:cs="楷体_GB2312"/>
          <w:b/>
          <w:sz w:val="32"/>
          <w:szCs w:val="32"/>
        </w:rPr>
        <w:t>（一）机关运行经费支出情况</w:t>
      </w:r>
      <w:bookmarkEnd w:id="40"/>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，四川省攀枝花市少年宫机关运行经费支出0万</w:t>
      </w:r>
      <w:r>
        <w:rPr>
          <w:rFonts w:hint="eastAsia" w:eastAsia="仿宋_GB2312" w:cs="仿宋_GB2312"/>
          <w:sz w:val="32"/>
          <w:szCs w:val="32"/>
        </w:rPr>
        <w:t>元，与2023年度决算数持平。</w:t>
      </w:r>
    </w:p>
    <w:p>
      <w:pPr>
        <w:spacing w:line="600" w:lineRule="exact"/>
        <w:ind w:firstLine="642" w:firstLineChars="200"/>
        <w:outlineLvl w:val="2"/>
        <w:rPr>
          <w:rFonts w:eastAsia="楷体_GB2312" w:cs="楷体_GB2312"/>
          <w:b/>
          <w:sz w:val="32"/>
          <w:szCs w:val="32"/>
        </w:rPr>
      </w:pPr>
      <w:bookmarkStart w:id="41" w:name="_Toc15377223"/>
      <w:r>
        <w:rPr>
          <w:rFonts w:hint="eastAsia" w:eastAsia="楷体_GB2312" w:cs="楷体_GB2312"/>
          <w:b/>
          <w:sz w:val="32"/>
          <w:szCs w:val="32"/>
        </w:rPr>
        <w:t>（二）政府采购支出情况</w:t>
      </w:r>
      <w:bookmarkEnd w:id="41"/>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2024年度，四川省攀枝花市少年宫政府采购支出总额0.16万元，其中：政府采购服务支出0.16万元。主要用于</w:t>
      </w:r>
      <w:r>
        <w:rPr>
          <w:rFonts w:hint="eastAsia" w:ascii="仿宋_GB2312" w:hAnsi="仿宋_GB2312" w:eastAsia="仿宋_GB2312" w:cs="仿宋_GB2312"/>
          <w:sz w:val="32"/>
          <w:szCs w:val="32"/>
          <w:lang w:eastAsia="zh-CN"/>
        </w:rPr>
        <w:t>公务车辆保险缴费</w:t>
      </w:r>
      <w:r>
        <w:rPr>
          <w:rFonts w:hint="eastAsia" w:ascii="仿宋_GB2312" w:hAnsi="仿宋_GB2312" w:eastAsia="仿宋_GB2312" w:cs="仿宋_GB2312"/>
          <w:sz w:val="32"/>
          <w:szCs w:val="32"/>
        </w:rPr>
        <w:t>。授予中小企业合同金额0万元，占政府采购支出总额的0%，其中：授予小微企业合同金额0万元，占政府采购支出总额的0%。</w:t>
      </w:r>
    </w:p>
    <w:p>
      <w:pPr>
        <w:spacing w:line="600" w:lineRule="exact"/>
        <w:ind w:firstLine="642" w:firstLineChars="200"/>
        <w:outlineLvl w:val="2"/>
        <w:rPr>
          <w:rFonts w:eastAsia="楷体_GB2312" w:cs="楷体_GB2312"/>
          <w:b/>
          <w:sz w:val="32"/>
          <w:szCs w:val="32"/>
        </w:rPr>
      </w:pPr>
      <w:bookmarkStart w:id="42" w:name="_Toc15377224"/>
      <w:r>
        <w:rPr>
          <w:rFonts w:hint="eastAsia" w:eastAsia="楷体_GB2312" w:cs="楷体_GB2312"/>
          <w:b/>
          <w:sz w:val="32"/>
          <w:szCs w:val="32"/>
        </w:rPr>
        <w:t>（三）国有资产占有使用情况</w:t>
      </w:r>
      <w:bookmarkEnd w:id="42"/>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截至2024年12月31日，四川省攀枝花市少年宫共有车辆1辆，其中：主要负责人用车0辆、机要通信用车0辆、应急保障用车0辆、其他用车1辆，其他用车主要是用于</w:t>
      </w:r>
      <w:r>
        <w:rPr>
          <w:rFonts w:hint="eastAsia" w:ascii="仿宋_GB2312" w:eastAsia="仿宋_GB2312"/>
          <w:sz w:val="32"/>
          <w:szCs w:val="32"/>
        </w:rPr>
        <w:t>用于</w:t>
      </w:r>
      <w:r>
        <w:rPr>
          <w:rFonts w:hint="eastAsia" w:ascii="仿宋_GB2312" w:eastAsia="仿宋_GB2312"/>
          <w:sz w:val="32"/>
          <w:szCs w:val="32"/>
          <w:lang w:eastAsia="zh-CN"/>
        </w:rPr>
        <w:t>保障日常培训活动</w:t>
      </w:r>
      <w:r>
        <w:rPr>
          <w:rFonts w:hint="eastAsia" w:ascii="仿宋_GB2312" w:hAnsi="仿宋_GB2312" w:eastAsia="仿宋_GB2312" w:cs="仿宋_GB2312"/>
          <w:sz w:val="32"/>
          <w:szCs w:val="32"/>
        </w:rPr>
        <w:t>。单价100万元（含）以上设备（不含车辆）0台（套）</w:t>
      </w:r>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hint="eastAsia" w:eastAsia="仿宋_GB2312" w:cs="仿宋_GB2312"/>
          <w:sz w:val="32"/>
          <w:szCs w:val="32"/>
        </w:rPr>
      </w:pPr>
      <w:r>
        <w:rPr>
          <w:rFonts w:hint="eastAsia" w:eastAsia="仿宋_GB2312" w:cs="仿宋_GB2312"/>
          <w:sz w:val="32"/>
          <w:szCs w:val="32"/>
        </w:rPr>
        <w:t>根据预算绩效管理要求，</w:t>
      </w:r>
      <w:r>
        <w:rPr>
          <w:rFonts w:hint="eastAsia" w:eastAsia="仿宋_GB2312" w:cs="仿宋_GB2312"/>
          <w:sz w:val="32"/>
          <w:szCs w:val="32"/>
          <w:lang w:val="en-US" w:eastAsia="zh-CN"/>
        </w:rPr>
        <w:t>市少年宫</w:t>
      </w:r>
      <w:r>
        <w:rPr>
          <w:rFonts w:hint="eastAsia" w:eastAsia="仿宋_GB2312" w:cs="仿宋_GB2312"/>
          <w:sz w:val="32"/>
          <w:szCs w:val="32"/>
        </w:rPr>
        <w:t>在2024年度预算编制阶段，组织对</w:t>
      </w:r>
      <w:r>
        <w:rPr>
          <w:rFonts w:hint="eastAsia" w:ascii="仿宋_GB2312" w:eastAsia="仿宋_GB2312" w:cs="Times New Roman"/>
          <w:color w:val="auto"/>
          <w:sz w:val="32"/>
          <w:szCs w:val="32"/>
          <w:highlight w:val="none"/>
          <w:lang w:val="en-US" w:eastAsia="zh-CN"/>
        </w:rPr>
        <w:t>市少年宫办学经费</w:t>
      </w:r>
      <w:r>
        <w:rPr>
          <w:rFonts w:hint="eastAsia" w:ascii="仿宋_GB2312" w:eastAsia="仿宋_GB2312" w:cs="Times New Roman"/>
          <w:color w:val="auto"/>
          <w:sz w:val="32"/>
          <w:szCs w:val="32"/>
          <w:highlight w:val="none"/>
          <w:lang w:eastAsia="zh-CN"/>
        </w:rPr>
        <w:t>项目</w:t>
      </w:r>
      <w:r>
        <w:rPr>
          <w:rFonts w:hint="eastAsia" w:eastAsia="仿宋_GB2312" w:cs="仿宋_GB2312"/>
          <w:sz w:val="32"/>
          <w:szCs w:val="32"/>
        </w:rPr>
        <w:t>等</w:t>
      </w:r>
      <w:r>
        <w:rPr>
          <w:rFonts w:hint="eastAsia" w:eastAsia="仿宋_GB2312" w:cs="仿宋_GB2312"/>
          <w:sz w:val="32"/>
          <w:szCs w:val="32"/>
          <w:lang w:val="en-US" w:eastAsia="zh-CN"/>
        </w:rPr>
        <w:t>3</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3</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3</w:t>
      </w:r>
      <w:r>
        <w:rPr>
          <w:rFonts w:hint="eastAsia" w:eastAsia="仿宋_GB2312" w:cs="仿宋_GB2312"/>
          <w:sz w:val="32"/>
          <w:szCs w:val="32"/>
        </w:rPr>
        <w:t>个项目开展绩效监控。</w:t>
      </w:r>
    </w:p>
    <w:p>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组织对2024年度一般公共预算全面开展绩效自评，形成</w:t>
      </w:r>
      <w:r>
        <w:rPr>
          <w:rFonts w:hint="eastAsia" w:ascii="仿宋_GB2312" w:eastAsia="仿宋_GB2312" w:cs="Times New Roman"/>
          <w:color w:val="auto"/>
          <w:sz w:val="32"/>
          <w:szCs w:val="32"/>
          <w:highlight w:val="none"/>
          <w:lang w:val="en-US" w:eastAsia="zh-CN"/>
        </w:rPr>
        <w:t>市少年宫专项预算绩效自评报告。其中：办学经费专项预算绩效自评</w:t>
      </w:r>
      <w:r>
        <w:rPr>
          <w:rFonts w:hint="eastAsia" w:eastAsia="仿宋_GB2312" w:cs="仿宋_GB2312"/>
          <w:sz w:val="32"/>
          <w:szCs w:val="32"/>
        </w:rPr>
        <w:t>得分为</w:t>
      </w:r>
      <w:r>
        <w:rPr>
          <w:rFonts w:hint="eastAsia" w:eastAsia="仿宋_GB2312" w:cs="仿宋_GB2312"/>
          <w:sz w:val="32"/>
          <w:szCs w:val="32"/>
          <w:lang w:val="en-US" w:eastAsia="zh-CN"/>
        </w:rPr>
        <w:t>96</w:t>
      </w:r>
      <w:r>
        <w:rPr>
          <w:rFonts w:hint="eastAsia" w:eastAsia="仿宋_GB2312" w:cs="仿宋_GB2312"/>
          <w:sz w:val="32"/>
          <w:szCs w:val="32"/>
        </w:rPr>
        <w:t>分，</w:t>
      </w:r>
      <w:r>
        <w:rPr>
          <w:rFonts w:hint="eastAsia" w:ascii="仿宋_GB2312" w:eastAsia="仿宋_GB2312" w:cs="Times New Roman"/>
          <w:color w:val="auto"/>
          <w:sz w:val="32"/>
          <w:szCs w:val="32"/>
          <w:highlight w:val="none"/>
          <w:lang w:val="en-US" w:eastAsia="zh-CN"/>
        </w:rPr>
        <w:t>挂职干部补助专项预算绩效自评</w:t>
      </w:r>
      <w:r>
        <w:rPr>
          <w:rFonts w:hint="eastAsia" w:eastAsia="仿宋_GB2312" w:cs="仿宋_GB2312"/>
          <w:sz w:val="32"/>
          <w:szCs w:val="32"/>
        </w:rPr>
        <w:t>得分为</w:t>
      </w:r>
      <w:r>
        <w:rPr>
          <w:rFonts w:hint="eastAsia" w:eastAsia="仿宋_GB2312" w:cs="仿宋_GB2312"/>
          <w:sz w:val="32"/>
          <w:szCs w:val="32"/>
          <w:lang w:val="en-US" w:eastAsia="zh-CN"/>
        </w:rPr>
        <w:t>100</w:t>
      </w:r>
      <w:r>
        <w:rPr>
          <w:rFonts w:hint="eastAsia" w:eastAsia="仿宋_GB2312" w:cs="仿宋_GB2312"/>
          <w:sz w:val="32"/>
          <w:szCs w:val="32"/>
        </w:rPr>
        <w:t>分</w:t>
      </w:r>
      <w:r>
        <w:rPr>
          <w:rFonts w:hint="eastAsia" w:eastAsia="仿宋_GB2312" w:cs="仿宋_GB2312"/>
          <w:sz w:val="32"/>
          <w:szCs w:val="32"/>
          <w:lang w:eastAsia="zh-CN"/>
        </w:rPr>
        <w:t>，</w:t>
      </w:r>
      <w:r>
        <w:rPr>
          <w:rFonts w:hint="eastAsia" w:ascii="仿宋_GB2312" w:eastAsia="仿宋_GB2312" w:cs="Times New Roman"/>
          <w:color w:val="auto"/>
          <w:sz w:val="32"/>
          <w:szCs w:val="32"/>
          <w:highlight w:val="none"/>
          <w:lang w:val="en-US" w:eastAsia="zh-CN"/>
        </w:rPr>
        <w:t>消防安全隐患整治专项预算绩效自评</w:t>
      </w:r>
      <w:r>
        <w:rPr>
          <w:rFonts w:hint="eastAsia" w:eastAsia="仿宋_GB2312" w:cs="仿宋_GB2312"/>
          <w:sz w:val="32"/>
          <w:szCs w:val="32"/>
        </w:rPr>
        <w:t>得分为</w:t>
      </w:r>
      <w:r>
        <w:rPr>
          <w:rFonts w:hint="eastAsia" w:eastAsia="仿宋_GB2312" w:cs="仿宋_GB2312"/>
          <w:sz w:val="32"/>
          <w:szCs w:val="32"/>
          <w:lang w:val="en-US" w:eastAsia="zh-CN"/>
        </w:rPr>
        <w:t>95</w:t>
      </w:r>
      <w:r>
        <w:rPr>
          <w:rFonts w:hint="eastAsia" w:eastAsia="仿宋_GB2312" w:cs="仿宋_GB2312"/>
          <w:sz w:val="32"/>
          <w:szCs w:val="32"/>
        </w:rPr>
        <w:t>分</w:t>
      </w:r>
      <w:r>
        <w:rPr>
          <w:rFonts w:hint="eastAsia" w:eastAsia="仿宋_GB2312" w:cs="仿宋_GB2312"/>
          <w:sz w:val="32"/>
          <w:szCs w:val="32"/>
          <w:lang w:eastAsia="zh-CN"/>
        </w:rPr>
        <w:t>。</w:t>
      </w:r>
    </w:p>
    <w:p>
      <w:pPr>
        <w:spacing w:line="600" w:lineRule="exact"/>
        <w:ind w:firstLine="640"/>
        <w:rPr>
          <w:rFonts w:hint="eastAsia" w:eastAsia="仿宋_GB2312" w:cs="仿宋_GB2312"/>
          <w:sz w:val="32"/>
          <w:szCs w:val="32"/>
          <w:lang w:eastAsia="zh-CN"/>
        </w:rPr>
      </w:pPr>
    </w:p>
    <w:p>
      <w:pPr>
        <w:spacing w:line="600" w:lineRule="exact"/>
        <w:jc w:val="center"/>
        <w:outlineLvl w:val="0"/>
        <w:rPr>
          <w:rFonts w:eastAsia="黑体"/>
          <w:sz w:val="44"/>
          <w:szCs w:val="44"/>
        </w:rPr>
      </w:pPr>
      <w:bookmarkStart w:id="43" w:name="_Toc15396613"/>
      <w:bookmarkStart w:id="44" w:name="_Toc15377225"/>
      <w:r>
        <w:rPr>
          <w:rFonts w:hint="eastAsia" w:eastAsia="黑体"/>
          <w:sz w:val="44"/>
          <w:szCs w:val="44"/>
        </w:rPr>
        <w:t>第三部分  名词解释</w:t>
      </w:r>
      <w:bookmarkEnd w:id="43"/>
      <w:bookmarkEnd w:id="44"/>
    </w:p>
    <w:p>
      <w:pPr>
        <w:spacing w:line="600" w:lineRule="exact"/>
        <w:jc w:val="left"/>
        <w:rPr>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333333"/>
          <w:sz w:val="32"/>
          <w:szCs w:val="32"/>
          <w:shd w:val="clear" w:color="auto" w:fill="FFFFFF"/>
        </w:rPr>
      </w:pPr>
      <w:r>
        <w:rPr>
          <w:rFonts w:ascii="仿宋_GB2312" w:eastAsia="仿宋_GB2312"/>
          <w:b w:val="0"/>
          <w:bCs w:val="0"/>
          <w:color w:val="auto"/>
          <w:sz w:val="32"/>
          <w:szCs w:val="32"/>
        </w:rPr>
        <w:t>2.</w:t>
      </w:r>
      <w:bookmarkStart w:id="45" w:name="_Hlk113266409"/>
      <w:r>
        <w:rPr>
          <w:rFonts w:hint="eastAsia" w:ascii="仿宋_GB2312" w:eastAsia="仿宋_GB2312"/>
          <w:sz w:val="32"/>
          <w:szCs w:val="32"/>
        </w:rPr>
        <w:t>一般公共服务（类）</w:t>
      </w:r>
      <w:r>
        <w:rPr>
          <w:rStyle w:val="18"/>
          <w:rFonts w:hint="eastAsia" w:ascii="仿宋_GB2312" w:hAnsi="仿宋" w:eastAsia="仿宋_GB2312"/>
          <w:b w:val="0"/>
          <w:bCs/>
          <w:sz w:val="32"/>
          <w:szCs w:val="32"/>
        </w:rPr>
        <w:t>群众团体事务（款）事业运行（项）：指</w:t>
      </w:r>
      <w:r>
        <w:rPr>
          <w:rFonts w:hint="eastAsia" w:ascii="仿宋_GB2312" w:eastAsia="仿宋_GB2312"/>
          <w:color w:val="333333"/>
          <w:sz w:val="32"/>
          <w:szCs w:val="32"/>
          <w:shd w:val="clear" w:color="auto" w:fill="FFFFFF"/>
        </w:rPr>
        <w:t>事业单位的基本支出</w:t>
      </w:r>
      <w:bookmarkEnd w:id="45"/>
      <w:r>
        <w:rPr>
          <w:rFonts w:hint="eastAsia" w:ascii="仿宋_GB2312" w:eastAsia="仿宋_GB2312"/>
          <w:color w:val="333333"/>
          <w:sz w:val="32"/>
          <w:szCs w:val="32"/>
          <w:shd w:val="clear" w:color="auto" w:fill="FFFFFF"/>
        </w:rPr>
        <w:t>，不包括行政单位（包括实行公务员管理的事业单位）后勤服务中心，医务室等附属事业单位。</w:t>
      </w:r>
    </w:p>
    <w:p>
      <w:pPr>
        <w:pStyle w:val="27"/>
        <w:spacing w:line="560" w:lineRule="exact"/>
        <w:ind w:firstLine="640" w:firstLineChars="200"/>
        <w:rPr>
          <w:rFonts w:ascii="仿宋_GB2312" w:eastAsia="仿宋_GB2312"/>
          <w:sz w:val="32"/>
          <w:szCs w:val="32"/>
        </w:rPr>
      </w:pPr>
      <w:r>
        <w:rPr>
          <w:rFonts w:ascii="仿宋_GB2312" w:eastAsia="仿宋_GB2312"/>
          <w:color w:val="auto"/>
          <w:sz w:val="32"/>
          <w:szCs w:val="32"/>
        </w:rPr>
        <w:t>3.</w:t>
      </w:r>
      <w:r>
        <w:rPr>
          <w:rFonts w:hint="eastAsia" w:ascii="仿宋_GB2312" w:eastAsia="仿宋_GB2312"/>
          <w:sz w:val="32"/>
          <w:szCs w:val="32"/>
        </w:rPr>
        <w:t>一般公共服务（类）</w:t>
      </w:r>
      <w:r>
        <w:rPr>
          <w:rStyle w:val="18"/>
          <w:rFonts w:hint="eastAsia" w:ascii="仿宋_GB2312" w:hAnsi="仿宋" w:eastAsia="仿宋_GB2312"/>
          <w:b w:val="0"/>
          <w:bCs/>
          <w:sz w:val="32"/>
          <w:szCs w:val="32"/>
        </w:rPr>
        <w:t>群众团体事务（款）其他群众团体事务支出（项）：指除上述项目以外其他用于群众团体事务方面的支出。</w:t>
      </w:r>
    </w:p>
    <w:p>
      <w:pPr>
        <w:pStyle w:val="27"/>
        <w:spacing w:line="560" w:lineRule="exact"/>
        <w:ind w:firstLine="640" w:firstLineChars="200"/>
        <w:rPr>
          <w:rFonts w:ascii="仿宋_GB2312" w:eastAsia="仿宋_GB2312"/>
          <w:b w:val="0"/>
          <w:bCs w:val="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住房保障（类）</w:t>
      </w:r>
      <w:r>
        <w:rPr>
          <w:rFonts w:hint="eastAsia" w:ascii="仿宋_GB2312" w:hAnsi="仿宋" w:eastAsia="仿宋_GB2312"/>
          <w:color w:val="000000"/>
          <w:sz w:val="32"/>
          <w:szCs w:val="32"/>
          <w:shd w:val="clear" w:color="auto" w:fill="FFFFFF"/>
        </w:rPr>
        <w:t>住房改革支出（款）住房公积金（项）：</w:t>
      </w:r>
      <w:r>
        <w:rPr>
          <w:rFonts w:hint="eastAsia" w:ascii="仿宋_GB2312" w:eastAsia="仿宋_GB2312"/>
          <w:color w:val="333333"/>
          <w:sz w:val="32"/>
          <w:szCs w:val="32"/>
          <w:shd w:val="clear" w:color="auto" w:fill="FFFFFF"/>
        </w:rPr>
        <w:t>指主要用于机关及下属事业单位按照规定标准为职工缴纳住房公积金等支出。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社会保障和就业支出（类）行政事业单位养老支出（款）事业单位离退休（项）：指</w:t>
      </w:r>
      <w:r>
        <w:rPr>
          <w:rFonts w:hint="eastAsia" w:ascii="仿宋_GB2312" w:eastAsia="仿宋_GB2312"/>
          <w:sz w:val="32"/>
          <w:szCs w:val="32"/>
          <w:lang w:eastAsia="zh-CN"/>
        </w:rPr>
        <w:t>反映事业单位开支的离退休经费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社会保障和就业支出（类）行政事业单位养老支出（款）机关事业单位基本养老保险缴费支出（项）：指</w:t>
      </w:r>
      <w:r>
        <w:rPr>
          <w:rFonts w:hint="eastAsia" w:ascii="仿宋_GB2312" w:eastAsia="仿宋_GB2312"/>
          <w:sz w:val="32"/>
          <w:szCs w:val="32"/>
          <w:lang w:eastAsia="zh-CN"/>
        </w:rPr>
        <w:t>反映机关事业单位实施养老保险制度由单位缴纳的基本养老保险费支出。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住房保障支出（类）住房改革支出（款）住房公积金（项）：指</w:t>
      </w:r>
      <w:r>
        <w:rPr>
          <w:rFonts w:hint="eastAsia" w:ascii="仿宋_GB2312" w:eastAsia="仿宋_GB2312"/>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 w:hAnsi="仿宋" w:eastAsia="仿宋"/>
          <w:b/>
          <w:sz w:val="32"/>
          <w:szCs w:val="32"/>
        </w:rPr>
      </w:pPr>
      <w:r>
        <w:rPr>
          <w:rFonts w:hint="eastAsia" w:ascii="仿宋_GB2312" w:eastAsia="仿宋_GB2312"/>
          <w:color w:val="auto"/>
          <w:sz w:val="32"/>
          <w:szCs w:val="32"/>
          <w:lang w:val="en-US" w:eastAsia="zh-CN"/>
        </w:rPr>
        <w:t>10</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rPr>
          <w:rStyle w:val="29"/>
          <w:rFonts w:eastAsia="黑体"/>
          <w:b w:val="0"/>
        </w:rPr>
      </w:pPr>
      <w:bookmarkStart w:id="46" w:name="_Toc15377226"/>
      <w:r>
        <w:rPr>
          <w:rFonts w:hint="eastAsia" w:eastAsia="仿宋_GB2312" w:cs="仿宋_GB2312"/>
          <w:sz w:val="32"/>
          <w:szCs w:val="32"/>
        </w:rPr>
        <w:br w:type="page"/>
      </w:r>
      <w:bookmarkStart w:id="47" w:name="_Toc15396614"/>
      <w:r>
        <w:rPr>
          <w:rFonts w:hint="eastAsia" w:eastAsia="黑体"/>
          <w:sz w:val="44"/>
          <w:szCs w:val="44"/>
        </w:rPr>
        <w:t>第四部分  附件</w:t>
      </w:r>
      <w:bookmarkEnd w:id="47"/>
    </w:p>
    <w:p>
      <w:pPr>
        <w:spacing w:line="572" w:lineRule="exact"/>
        <w:jc w:val="left"/>
        <w:outlineLvl w:val="0"/>
        <w:rPr>
          <w:rFonts w:eastAsia="黑体" w:cs="黑体"/>
          <w:color w:val="FF0000"/>
          <w:sz w:val="32"/>
          <w:szCs w:val="32"/>
        </w:rPr>
      </w:pP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部门预算项目支出绩效自评表（2024年度）见附件3</w:t>
      </w:r>
    </w:p>
    <w:p>
      <w:pPr>
        <w:widowControl/>
        <w:spacing w:line="578" w:lineRule="exact"/>
        <w:contextualSpacing/>
        <w:jc w:val="center"/>
        <w:rPr>
          <w:rFonts w:eastAsia="方正小标宋简体"/>
          <w:bCs/>
          <w:sz w:val="44"/>
          <w:szCs w:val="44"/>
          <w:shd w:val="clear" w:color="auto" w:fill="FFFFFF"/>
        </w:rPr>
      </w:pPr>
    </w:p>
    <w:p>
      <w:pPr>
        <w:pStyle w:val="7"/>
        <w:spacing w:line="560" w:lineRule="exact"/>
        <w:ind w:left="0" w:leftChars="0" w:firstLine="0" w:firstLineChars="0"/>
        <w:rPr>
          <w:rFonts w:ascii="Times New Roman"/>
          <w:sz w:val="32"/>
          <w:highlight w:val="yellow"/>
          <w:lang w:val="zh-CN"/>
        </w:rPr>
      </w:pPr>
    </w:p>
    <w:p>
      <w:pPr>
        <w:pStyle w:val="7"/>
        <w:spacing w:line="560" w:lineRule="exact"/>
        <w:ind w:left="0" w:leftChars="0" w:firstLine="0" w:firstLineChars="0"/>
        <w:rPr>
          <w:rFonts w:ascii="Times New Roman"/>
          <w:sz w:val="32"/>
          <w:highlight w:val="yellow"/>
          <w:lang w:val="zh-CN"/>
        </w:rPr>
      </w:pPr>
    </w:p>
    <w:p>
      <w:pPr>
        <w:rPr>
          <w:rFonts w:eastAsia="仿宋_GB2312" w:cs="仿宋_GB2312"/>
          <w:kern w:val="0"/>
          <w:sz w:val="32"/>
          <w:szCs w:val="32"/>
        </w:rPr>
      </w:pPr>
      <w:bookmarkStart w:id="48" w:name="_Toc15396618"/>
      <w:r>
        <w:rPr>
          <w:rFonts w:hint="eastAsia" w:eastAsia="仿宋_GB2312" w:cs="仿宋_GB2312"/>
          <w:kern w:val="0"/>
          <w:sz w:val="32"/>
          <w:szCs w:val="32"/>
        </w:rPr>
        <w:br w:type="page"/>
      </w:r>
    </w:p>
    <w:p>
      <w:pPr>
        <w:widowControl/>
        <w:jc w:val="center"/>
        <w:rPr>
          <w:rFonts w:eastAsia="仿宋"/>
        </w:rPr>
      </w:pPr>
      <w:r>
        <w:rPr>
          <w:rFonts w:hint="eastAsia" w:eastAsia="黑体"/>
          <w:sz w:val="44"/>
          <w:szCs w:val="44"/>
        </w:rPr>
        <w:t>第</w:t>
      </w:r>
      <w:r>
        <w:rPr>
          <w:rStyle w:val="29"/>
          <w:rFonts w:hint="eastAsia" w:eastAsia="黑体"/>
          <w:b w:val="0"/>
        </w:rPr>
        <w:t>五部分 附表</w:t>
      </w:r>
      <w:bookmarkEnd w:id="46"/>
      <w:bookmarkEnd w:id="48"/>
      <w:bookmarkStart w:id="49" w:name="_Toc15396619"/>
    </w:p>
    <w:p>
      <w:pPr>
        <w:pStyle w:val="15"/>
        <w:adjustRightInd w:val="0"/>
        <w:snapToGrid w:val="0"/>
        <w:spacing w:line="560" w:lineRule="exact"/>
        <w:jc w:val="left"/>
        <w:rPr>
          <w:rFonts w:eastAsia="仿宋_GB2312" w:cs="仿宋_GB2312"/>
          <w:sz w:val="32"/>
          <w:szCs w:val="32"/>
        </w:rPr>
      </w:pPr>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49"/>
    </w:p>
    <w:p>
      <w:pPr>
        <w:pStyle w:val="15"/>
        <w:adjustRightInd w:val="0"/>
        <w:snapToGrid w:val="0"/>
        <w:spacing w:line="560" w:lineRule="exact"/>
        <w:jc w:val="left"/>
        <w:rPr>
          <w:rFonts w:eastAsia="仿宋_GB2312" w:cs="仿宋_GB2312"/>
          <w:sz w:val="32"/>
          <w:szCs w:val="32"/>
        </w:rPr>
      </w:pPr>
      <w:bookmarkStart w:id="50" w:name="_Toc15396620"/>
      <w:r>
        <w:rPr>
          <w:rFonts w:hint="eastAsia" w:eastAsia="仿宋_GB2312" w:cs="仿宋_GB2312"/>
          <w:sz w:val="32"/>
          <w:szCs w:val="32"/>
        </w:rPr>
        <w:t>二、收入决算表</w:t>
      </w:r>
      <w:bookmarkEnd w:id="50"/>
    </w:p>
    <w:p>
      <w:pPr>
        <w:pStyle w:val="15"/>
        <w:adjustRightInd w:val="0"/>
        <w:snapToGrid w:val="0"/>
        <w:spacing w:line="560" w:lineRule="exact"/>
        <w:jc w:val="left"/>
        <w:rPr>
          <w:rFonts w:eastAsia="仿宋_GB2312" w:cs="仿宋_GB2312"/>
          <w:sz w:val="32"/>
          <w:szCs w:val="32"/>
        </w:rPr>
      </w:pPr>
      <w:bookmarkStart w:id="51" w:name="_Toc15396621"/>
      <w:r>
        <w:rPr>
          <w:rFonts w:hint="eastAsia" w:eastAsia="仿宋_GB2312" w:cs="仿宋_GB2312"/>
          <w:sz w:val="32"/>
          <w:szCs w:val="32"/>
        </w:rPr>
        <w:t>三、支出决算表</w:t>
      </w:r>
      <w:bookmarkEnd w:id="51"/>
    </w:p>
    <w:p>
      <w:pPr>
        <w:pStyle w:val="15"/>
        <w:adjustRightInd w:val="0"/>
        <w:snapToGrid w:val="0"/>
        <w:spacing w:line="560" w:lineRule="exact"/>
        <w:jc w:val="left"/>
        <w:rPr>
          <w:rFonts w:eastAsia="仿宋_GB2312" w:cs="仿宋_GB2312"/>
          <w:sz w:val="32"/>
          <w:szCs w:val="32"/>
        </w:rPr>
      </w:pPr>
      <w:bookmarkStart w:id="52" w:name="_Toc15396622"/>
      <w:r>
        <w:rPr>
          <w:rFonts w:hint="eastAsia" w:eastAsia="仿宋_GB2312" w:cs="仿宋_GB2312"/>
          <w:sz w:val="32"/>
          <w:szCs w:val="32"/>
        </w:rPr>
        <w:t>四、财政拨款收入支出决算总表</w:t>
      </w:r>
      <w:bookmarkEnd w:id="52"/>
    </w:p>
    <w:p>
      <w:pPr>
        <w:pStyle w:val="15"/>
        <w:adjustRightInd w:val="0"/>
        <w:snapToGrid w:val="0"/>
        <w:spacing w:line="560" w:lineRule="exact"/>
        <w:jc w:val="left"/>
        <w:rPr>
          <w:rFonts w:eastAsia="仿宋_GB2312" w:cs="仿宋_GB2312"/>
          <w:sz w:val="32"/>
          <w:szCs w:val="32"/>
        </w:rPr>
      </w:pPr>
      <w:bookmarkStart w:id="53" w:name="_Toc15396623"/>
      <w:r>
        <w:rPr>
          <w:rFonts w:hint="eastAsia" w:eastAsia="仿宋_GB2312" w:cs="仿宋_GB2312"/>
          <w:sz w:val="32"/>
          <w:szCs w:val="32"/>
        </w:rPr>
        <w:t>五、财政拨款支出决算明细表</w:t>
      </w:r>
      <w:bookmarkEnd w:id="53"/>
      <w:bookmarkStart w:id="54" w:name="_Toc15396624"/>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4"/>
    </w:p>
    <w:p>
      <w:pPr>
        <w:pStyle w:val="15"/>
        <w:adjustRightInd w:val="0"/>
        <w:snapToGrid w:val="0"/>
        <w:spacing w:line="560" w:lineRule="exact"/>
        <w:jc w:val="left"/>
        <w:rPr>
          <w:rFonts w:eastAsia="仿宋_GB2312" w:cs="仿宋_GB2312"/>
          <w:sz w:val="32"/>
          <w:szCs w:val="32"/>
        </w:rPr>
      </w:pPr>
      <w:bookmarkStart w:id="55" w:name="_Toc15396625"/>
      <w:r>
        <w:rPr>
          <w:rFonts w:hint="eastAsia" w:eastAsia="仿宋_GB2312" w:cs="仿宋_GB2312"/>
          <w:sz w:val="32"/>
          <w:szCs w:val="32"/>
        </w:rPr>
        <w:t>七、一般公共预算财政拨款支出决算明细表</w:t>
      </w:r>
      <w:bookmarkEnd w:id="55"/>
    </w:p>
    <w:p>
      <w:pPr>
        <w:pStyle w:val="15"/>
        <w:adjustRightInd w:val="0"/>
        <w:snapToGrid w:val="0"/>
        <w:spacing w:line="560" w:lineRule="exact"/>
        <w:jc w:val="left"/>
        <w:rPr>
          <w:rFonts w:eastAsia="仿宋_GB2312" w:cs="仿宋_GB2312"/>
          <w:sz w:val="32"/>
          <w:szCs w:val="32"/>
        </w:rPr>
      </w:pPr>
      <w:bookmarkStart w:id="56" w:name="_Toc15396626"/>
      <w:r>
        <w:rPr>
          <w:rFonts w:hint="eastAsia" w:eastAsia="仿宋_GB2312" w:cs="仿宋_GB2312"/>
          <w:sz w:val="32"/>
          <w:szCs w:val="32"/>
        </w:rPr>
        <w:t>八、一般公共预算财政拨款基本支出决算表</w:t>
      </w:r>
      <w:bookmarkEnd w:id="56"/>
    </w:p>
    <w:p>
      <w:pPr>
        <w:pStyle w:val="15"/>
        <w:adjustRightInd w:val="0"/>
        <w:snapToGrid w:val="0"/>
        <w:spacing w:line="560" w:lineRule="exact"/>
        <w:jc w:val="left"/>
        <w:rPr>
          <w:rFonts w:eastAsia="仿宋_GB2312" w:cs="仿宋_GB2312"/>
          <w:sz w:val="32"/>
          <w:szCs w:val="32"/>
        </w:rPr>
      </w:pPr>
      <w:bookmarkStart w:id="57" w:name="_Toc15396627"/>
      <w:r>
        <w:rPr>
          <w:rFonts w:hint="eastAsia" w:eastAsia="仿宋_GB2312" w:cs="仿宋_GB2312"/>
          <w:sz w:val="32"/>
          <w:szCs w:val="32"/>
        </w:rPr>
        <w:t>九、一般公共预算财政拨款项目支出决算表</w:t>
      </w:r>
      <w:bookmarkEnd w:id="57"/>
    </w:p>
    <w:p>
      <w:pPr>
        <w:pStyle w:val="15"/>
        <w:adjustRightInd w:val="0"/>
        <w:snapToGrid w:val="0"/>
        <w:spacing w:line="560" w:lineRule="exact"/>
        <w:jc w:val="left"/>
        <w:rPr>
          <w:rFonts w:eastAsia="仿宋_GB2312" w:cs="仿宋_GB2312"/>
          <w:sz w:val="32"/>
          <w:szCs w:val="32"/>
        </w:rPr>
      </w:pPr>
      <w:bookmarkStart w:id="58" w:name="_Toc15396628"/>
      <w:r>
        <w:rPr>
          <w:rFonts w:hint="eastAsia" w:eastAsia="仿宋_GB2312" w:cs="仿宋_GB2312"/>
          <w:sz w:val="32"/>
          <w:szCs w:val="32"/>
        </w:rPr>
        <w:t>十、</w:t>
      </w:r>
      <w:bookmarkEnd w:id="58"/>
      <w:r>
        <w:rPr>
          <w:rFonts w:hint="eastAsia" w:eastAsia="仿宋_GB2312" w:cs="仿宋_GB2312"/>
          <w:sz w:val="32"/>
          <w:szCs w:val="32"/>
        </w:rPr>
        <w:t>政府性基金预算财政拨款收入支出决算表</w:t>
      </w:r>
    </w:p>
    <w:p>
      <w:pPr>
        <w:pStyle w:val="15"/>
        <w:adjustRightInd w:val="0"/>
        <w:snapToGrid w:val="0"/>
        <w:spacing w:line="560" w:lineRule="exact"/>
        <w:jc w:val="left"/>
        <w:rPr>
          <w:rFonts w:eastAsia="仿宋_GB2312" w:cs="仿宋_GB2312"/>
          <w:sz w:val="32"/>
          <w:szCs w:val="32"/>
        </w:rPr>
      </w:pPr>
      <w:bookmarkStart w:id="59" w:name="_Toc15396629"/>
      <w:r>
        <w:rPr>
          <w:rFonts w:hint="eastAsia" w:eastAsia="仿宋_GB2312" w:cs="仿宋_GB2312"/>
          <w:sz w:val="32"/>
          <w:szCs w:val="32"/>
        </w:rPr>
        <w:t>十一、</w:t>
      </w:r>
      <w:bookmarkEnd w:id="59"/>
      <w:r>
        <w:rPr>
          <w:rFonts w:hint="eastAsia" w:eastAsia="仿宋_GB2312" w:cs="仿宋_GB2312"/>
          <w:sz w:val="32"/>
          <w:szCs w:val="32"/>
        </w:rPr>
        <w:t>国有资本经营预算财政拨款收入支出决算表</w:t>
      </w:r>
    </w:p>
    <w:p>
      <w:pPr>
        <w:pStyle w:val="15"/>
        <w:adjustRightInd w:val="0"/>
        <w:snapToGrid w:val="0"/>
        <w:spacing w:line="560" w:lineRule="exact"/>
        <w:jc w:val="left"/>
        <w:rPr>
          <w:rFonts w:eastAsia="仿宋_GB2312" w:cs="仿宋_GB2312"/>
          <w:sz w:val="32"/>
          <w:szCs w:val="32"/>
        </w:rPr>
      </w:pPr>
      <w:bookmarkStart w:id="60" w:name="_Toc15396630"/>
      <w:r>
        <w:rPr>
          <w:rFonts w:hint="eastAsia" w:eastAsia="仿宋_GB2312" w:cs="仿宋_GB2312"/>
          <w:sz w:val="32"/>
          <w:szCs w:val="32"/>
        </w:rPr>
        <w:t>十二、</w:t>
      </w:r>
      <w:bookmarkEnd w:id="60"/>
      <w:r>
        <w:rPr>
          <w:rFonts w:hint="eastAsia" w:eastAsia="仿宋_GB2312" w:cs="仿宋_GB2312"/>
          <w:sz w:val="32"/>
          <w:szCs w:val="32"/>
        </w:rPr>
        <w:t>国有资本经营预算财政拨款支出决算表</w:t>
      </w:r>
    </w:p>
    <w:p>
      <w:pPr>
        <w:pStyle w:val="15"/>
        <w:adjustRightInd w:val="0"/>
        <w:snapToGrid w:val="0"/>
        <w:spacing w:line="560" w:lineRule="exact"/>
        <w:jc w:val="left"/>
        <w:rPr>
          <w:rFonts w:eastAsia="仿宋_GB2312" w:cs="仿宋_GB2312"/>
          <w:sz w:val="32"/>
          <w:szCs w:val="32"/>
        </w:rPr>
      </w:pPr>
      <w:bookmarkStart w:id="61" w:name="_Toc15396631"/>
      <w:r>
        <w:rPr>
          <w:rFonts w:hint="eastAsia" w:eastAsia="仿宋_GB2312" w:cs="仿宋_GB2312"/>
          <w:sz w:val="32"/>
          <w:szCs w:val="32"/>
        </w:rPr>
        <w:t>十三、</w:t>
      </w:r>
      <w:bookmarkEnd w:id="61"/>
      <w:r>
        <w:rPr>
          <w:rFonts w:hint="eastAsia" w:eastAsia="仿宋_GB2312" w:cs="仿宋_GB2312"/>
          <w:sz w:val="32"/>
          <w:szCs w:val="32"/>
        </w:rPr>
        <w:t>财政拨款“三公”经费支出决算表</w:t>
      </w:r>
    </w:p>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CCDA6"/>
    <w:multiLevelType w:val="singleLevel"/>
    <w:tmpl w:val="94FCCDA6"/>
    <w:lvl w:ilvl="0" w:tentative="0">
      <w:start w:val="1"/>
      <w:numFmt w:val="chineseCounting"/>
      <w:suff w:val="nothing"/>
      <w:lvlText w:val="%1、"/>
      <w:lvlJc w:val="left"/>
      <w:rPr>
        <w:rFonts w:hint="eastAsia"/>
      </w:rPr>
    </w:lvl>
  </w:abstractNum>
  <w:abstractNum w:abstractNumId="1">
    <w:nsid w:val="32540B35"/>
    <w:multiLevelType w:val="singleLevel"/>
    <w:tmpl w:val="32540B3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EEE"/>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1BF"/>
    <w:rsid w:val="00C65438"/>
    <w:rsid w:val="00C87FD8"/>
    <w:rsid w:val="00C91381"/>
    <w:rsid w:val="00C91CBB"/>
    <w:rsid w:val="00CB4E70"/>
    <w:rsid w:val="00CC09B6"/>
    <w:rsid w:val="00CC666F"/>
    <w:rsid w:val="00CD1E3F"/>
    <w:rsid w:val="00CD24DD"/>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1EA2"/>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7D16A8"/>
    <w:rsid w:val="04784101"/>
    <w:rsid w:val="04916F1E"/>
    <w:rsid w:val="04FE2385"/>
    <w:rsid w:val="052F2A11"/>
    <w:rsid w:val="05451103"/>
    <w:rsid w:val="061E35DE"/>
    <w:rsid w:val="066E0107"/>
    <w:rsid w:val="06D61CB9"/>
    <w:rsid w:val="070059CA"/>
    <w:rsid w:val="0721638A"/>
    <w:rsid w:val="07996F6E"/>
    <w:rsid w:val="07DFD8BA"/>
    <w:rsid w:val="081B102B"/>
    <w:rsid w:val="085F6FC2"/>
    <w:rsid w:val="088C3CD7"/>
    <w:rsid w:val="08E6788B"/>
    <w:rsid w:val="09867E8F"/>
    <w:rsid w:val="09883EF9"/>
    <w:rsid w:val="09BB6AB2"/>
    <w:rsid w:val="09ED412F"/>
    <w:rsid w:val="0A012637"/>
    <w:rsid w:val="0A2032A3"/>
    <w:rsid w:val="0A4800D1"/>
    <w:rsid w:val="0AA12CA0"/>
    <w:rsid w:val="0AA326E2"/>
    <w:rsid w:val="0AEA4BAD"/>
    <w:rsid w:val="0CA8290A"/>
    <w:rsid w:val="0D35B1ED"/>
    <w:rsid w:val="0DEE70BA"/>
    <w:rsid w:val="0E254B6B"/>
    <w:rsid w:val="0E572FD9"/>
    <w:rsid w:val="0F470B37"/>
    <w:rsid w:val="0F7F2C6A"/>
    <w:rsid w:val="0F98263C"/>
    <w:rsid w:val="101860EC"/>
    <w:rsid w:val="101F47CC"/>
    <w:rsid w:val="10C055FF"/>
    <w:rsid w:val="11684C99"/>
    <w:rsid w:val="11694EBD"/>
    <w:rsid w:val="11772AA4"/>
    <w:rsid w:val="118107EC"/>
    <w:rsid w:val="12E24EE2"/>
    <w:rsid w:val="13651CF4"/>
    <w:rsid w:val="13D50BC4"/>
    <w:rsid w:val="14B17F78"/>
    <w:rsid w:val="14BA6F3F"/>
    <w:rsid w:val="165E0673"/>
    <w:rsid w:val="16B831D5"/>
    <w:rsid w:val="16BB723D"/>
    <w:rsid w:val="172B0B5F"/>
    <w:rsid w:val="172F4BE1"/>
    <w:rsid w:val="17B77E97"/>
    <w:rsid w:val="17E50567"/>
    <w:rsid w:val="18594C26"/>
    <w:rsid w:val="186504BB"/>
    <w:rsid w:val="19A445FC"/>
    <w:rsid w:val="1A5D3725"/>
    <w:rsid w:val="1AD94492"/>
    <w:rsid w:val="1BE8440E"/>
    <w:rsid w:val="1D155CEE"/>
    <w:rsid w:val="1D1638FE"/>
    <w:rsid w:val="1E00770A"/>
    <w:rsid w:val="1E312DEB"/>
    <w:rsid w:val="1E544E3F"/>
    <w:rsid w:val="1E740ACF"/>
    <w:rsid w:val="1E751D37"/>
    <w:rsid w:val="1EBA004B"/>
    <w:rsid w:val="1EC21DA9"/>
    <w:rsid w:val="1EE2244B"/>
    <w:rsid w:val="1FF35744"/>
    <w:rsid w:val="1FF6BC77"/>
    <w:rsid w:val="20415C7A"/>
    <w:rsid w:val="20615FBF"/>
    <w:rsid w:val="208539D6"/>
    <w:rsid w:val="20EE6132"/>
    <w:rsid w:val="21613AFB"/>
    <w:rsid w:val="21713C63"/>
    <w:rsid w:val="2186353C"/>
    <w:rsid w:val="21FD0E9C"/>
    <w:rsid w:val="22D45E02"/>
    <w:rsid w:val="23522F7D"/>
    <w:rsid w:val="23860B96"/>
    <w:rsid w:val="23D66ECE"/>
    <w:rsid w:val="240371BF"/>
    <w:rsid w:val="244F3473"/>
    <w:rsid w:val="2472601F"/>
    <w:rsid w:val="249355C6"/>
    <w:rsid w:val="24C97D99"/>
    <w:rsid w:val="25983863"/>
    <w:rsid w:val="25A718F0"/>
    <w:rsid w:val="25A71CF8"/>
    <w:rsid w:val="25BB59F6"/>
    <w:rsid w:val="25E847EB"/>
    <w:rsid w:val="260F557C"/>
    <w:rsid w:val="26970054"/>
    <w:rsid w:val="2705317A"/>
    <w:rsid w:val="274E3028"/>
    <w:rsid w:val="27A75FE0"/>
    <w:rsid w:val="281408E2"/>
    <w:rsid w:val="2967428C"/>
    <w:rsid w:val="29CA7E5D"/>
    <w:rsid w:val="29FD04D3"/>
    <w:rsid w:val="2AF754D0"/>
    <w:rsid w:val="2B606BD1"/>
    <w:rsid w:val="2BFF7BC6"/>
    <w:rsid w:val="2C8A61B5"/>
    <w:rsid w:val="2DB53E94"/>
    <w:rsid w:val="2DF04E50"/>
    <w:rsid w:val="2E586DFA"/>
    <w:rsid w:val="2E5D389C"/>
    <w:rsid w:val="2F040D46"/>
    <w:rsid w:val="2F302FF2"/>
    <w:rsid w:val="2F6B035B"/>
    <w:rsid w:val="2FAE5751"/>
    <w:rsid w:val="2FB1A395"/>
    <w:rsid w:val="2FD9A7D8"/>
    <w:rsid w:val="2FDBF714"/>
    <w:rsid w:val="30AB6865"/>
    <w:rsid w:val="31247A37"/>
    <w:rsid w:val="319F7F4E"/>
    <w:rsid w:val="32BD1EF1"/>
    <w:rsid w:val="3304709D"/>
    <w:rsid w:val="337771AE"/>
    <w:rsid w:val="33A773CB"/>
    <w:rsid w:val="34356040"/>
    <w:rsid w:val="349618B6"/>
    <w:rsid w:val="349D6851"/>
    <w:rsid w:val="35013AE2"/>
    <w:rsid w:val="355C00FC"/>
    <w:rsid w:val="368A369C"/>
    <w:rsid w:val="36AA5135"/>
    <w:rsid w:val="36BE0DA7"/>
    <w:rsid w:val="376B6AA6"/>
    <w:rsid w:val="376D39B2"/>
    <w:rsid w:val="3787198A"/>
    <w:rsid w:val="37E16F03"/>
    <w:rsid w:val="37F53A3B"/>
    <w:rsid w:val="37FA1879"/>
    <w:rsid w:val="389B6C89"/>
    <w:rsid w:val="38D469F0"/>
    <w:rsid w:val="38D8249D"/>
    <w:rsid w:val="39504729"/>
    <w:rsid w:val="39627CCD"/>
    <w:rsid w:val="397BAF1F"/>
    <w:rsid w:val="3AB79AF3"/>
    <w:rsid w:val="3AE834C0"/>
    <w:rsid w:val="3B1F5D8D"/>
    <w:rsid w:val="3B7EF35A"/>
    <w:rsid w:val="3B9FDB6C"/>
    <w:rsid w:val="3BF5BC2F"/>
    <w:rsid w:val="3C696521"/>
    <w:rsid w:val="3CD47902"/>
    <w:rsid w:val="3CEBA265"/>
    <w:rsid w:val="3D536596"/>
    <w:rsid w:val="3D6B4F0A"/>
    <w:rsid w:val="3D8A5D30"/>
    <w:rsid w:val="3D98207C"/>
    <w:rsid w:val="3DB75946"/>
    <w:rsid w:val="3DEE7CF3"/>
    <w:rsid w:val="3E5D632C"/>
    <w:rsid w:val="3E740A63"/>
    <w:rsid w:val="3E78745D"/>
    <w:rsid w:val="3E886713"/>
    <w:rsid w:val="3EE15E23"/>
    <w:rsid w:val="3EE17838"/>
    <w:rsid w:val="3F23468E"/>
    <w:rsid w:val="3F55381A"/>
    <w:rsid w:val="3F7F7599"/>
    <w:rsid w:val="3FF4CAE0"/>
    <w:rsid w:val="3FF7B227"/>
    <w:rsid w:val="403A7797"/>
    <w:rsid w:val="40806BE1"/>
    <w:rsid w:val="40E26B54"/>
    <w:rsid w:val="41BD66D4"/>
    <w:rsid w:val="42391346"/>
    <w:rsid w:val="42452E8B"/>
    <w:rsid w:val="430A1DED"/>
    <w:rsid w:val="43B14016"/>
    <w:rsid w:val="43D92990"/>
    <w:rsid w:val="445B4977"/>
    <w:rsid w:val="44DE708D"/>
    <w:rsid w:val="44E268DA"/>
    <w:rsid w:val="44EF7A58"/>
    <w:rsid w:val="450D13D7"/>
    <w:rsid w:val="45506656"/>
    <w:rsid w:val="45B63B66"/>
    <w:rsid w:val="45E02BB8"/>
    <w:rsid w:val="464C282D"/>
    <w:rsid w:val="464C46B0"/>
    <w:rsid w:val="474653BD"/>
    <w:rsid w:val="47BC742D"/>
    <w:rsid w:val="486A6C7A"/>
    <w:rsid w:val="49CC3C38"/>
    <w:rsid w:val="4A2A3B23"/>
    <w:rsid w:val="4A627F82"/>
    <w:rsid w:val="4AE253FD"/>
    <w:rsid w:val="4B0E749A"/>
    <w:rsid w:val="4B2477C4"/>
    <w:rsid w:val="4B45613C"/>
    <w:rsid w:val="4B4F25DA"/>
    <w:rsid w:val="4BB723E6"/>
    <w:rsid w:val="4BC71F71"/>
    <w:rsid w:val="4BE068DB"/>
    <w:rsid w:val="4D2717ED"/>
    <w:rsid w:val="4D577224"/>
    <w:rsid w:val="4DBF1CEB"/>
    <w:rsid w:val="4DD70B1D"/>
    <w:rsid w:val="4DF0007C"/>
    <w:rsid w:val="4E11068F"/>
    <w:rsid w:val="4EAB630A"/>
    <w:rsid w:val="4ECE2238"/>
    <w:rsid w:val="4F833267"/>
    <w:rsid w:val="4FE9BD67"/>
    <w:rsid w:val="4FFB052F"/>
    <w:rsid w:val="50994E97"/>
    <w:rsid w:val="50EF617E"/>
    <w:rsid w:val="5161270B"/>
    <w:rsid w:val="521078F8"/>
    <w:rsid w:val="535D7D17"/>
    <w:rsid w:val="537E6D0A"/>
    <w:rsid w:val="53F74C96"/>
    <w:rsid w:val="54560CF0"/>
    <w:rsid w:val="55170BA8"/>
    <w:rsid w:val="553218C9"/>
    <w:rsid w:val="55642E8C"/>
    <w:rsid w:val="56005579"/>
    <w:rsid w:val="561D378D"/>
    <w:rsid w:val="567E1AA5"/>
    <w:rsid w:val="56E47B74"/>
    <w:rsid w:val="57175D52"/>
    <w:rsid w:val="57BD3DD4"/>
    <w:rsid w:val="584722A5"/>
    <w:rsid w:val="588E44CE"/>
    <w:rsid w:val="58F05189"/>
    <w:rsid w:val="59123351"/>
    <w:rsid w:val="59242179"/>
    <w:rsid w:val="5A2F3A8F"/>
    <w:rsid w:val="5A493C3D"/>
    <w:rsid w:val="5AA0230B"/>
    <w:rsid w:val="5ABE35D2"/>
    <w:rsid w:val="5AF92295"/>
    <w:rsid w:val="5B0621EE"/>
    <w:rsid w:val="5B250254"/>
    <w:rsid w:val="5BDD79E6"/>
    <w:rsid w:val="5BF561CA"/>
    <w:rsid w:val="5BFF5DFC"/>
    <w:rsid w:val="5CD71FC4"/>
    <w:rsid w:val="5D02548B"/>
    <w:rsid w:val="5D1F11B5"/>
    <w:rsid w:val="5D695134"/>
    <w:rsid w:val="5DAE1B18"/>
    <w:rsid w:val="5DBC642D"/>
    <w:rsid w:val="5DE006C1"/>
    <w:rsid w:val="5DE7D9E5"/>
    <w:rsid w:val="5E082966"/>
    <w:rsid w:val="5ECEC941"/>
    <w:rsid w:val="5F296CFF"/>
    <w:rsid w:val="5F7706EC"/>
    <w:rsid w:val="5FBF9FF3"/>
    <w:rsid w:val="5FCD4E2C"/>
    <w:rsid w:val="5FCF5AF8"/>
    <w:rsid w:val="5FEF394A"/>
    <w:rsid w:val="5FF67715"/>
    <w:rsid w:val="61E17D65"/>
    <w:rsid w:val="627E3805"/>
    <w:rsid w:val="62976475"/>
    <w:rsid w:val="62BF3928"/>
    <w:rsid w:val="62DD052C"/>
    <w:rsid w:val="62E13C90"/>
    <w:rsid w:val="635D166D"/>
    <w:rsid w:val="63B3701E"/>
    <w:rsid w:val="647F5392"/>
    <w:rsid w:val="65D8322D"/>
    <w:rsid w:val="65E66580"/>
    <w:rsid w:val="664B1D71"/>
    <w:rsid w:val="664B4E8E"/>
    <w:rsid w:val="67277B67"/>
    <w:rsid w:val="67AA3209"/>
    <w:rsid w:val="69266638"/>
    <w:rsid w:val="698D0931"/>
    <w:rsid w:val="69DA3C5F"/>
    <w:rsid w:val="6A610B11"/>
    <w:rsid w:val="6A7FE5F3"/>
    <w:rsid w:val="6B053271"/>
    <w:rsid w:val="6B286CC5"/>
    <w:rsid w:val="6BDD78B3"/>
    <w:rsid w:val="6C4A05C8"/>
    <w:rsid w:val="6C6E0447"/>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0C0883"/>
    <w:rsid w:val="70484440"/>
    <w:rsid w:val="706165C6"/>
    <w:rsid w:val="70E61887"/>
    <w:rsid w:val="712A28F1"/>
    <w:rsid w:val="713E710A"/>
    <w:rsid w:val="715C0E4B"/>
    <w:rsid w:val="71992E7C"/>
    <w:rsid w:val="72233669"/>
    <w:rsid w:val="72734D90"/>
    <w:rsid w:val="72CA1AD7"/>
    <w:rsid w:val="72D8486C"/>
    <w:rsid w:val="73160E6D"/>
    <w:rsid w:val="7332FE48"/>
    <w:rsid w:val="73AB61DA"/>
    <w:rsid w:val="73AD73D5"/>
    <w:rsid w:val="73B6EB34"/>
    <w:rsid w:val="73FA497D"/>
    <w:rsid w:val="744731E5"/>
    <w:rsid w:val="74BBD01D"/>
    <w:rsid w:val="74ED5379"/>
    <w:rsid w:val="74FC66CC"/>
    <w:rsid w:val="75DEEEC2"/>
    <w:rsid w:val="75E32345"/>
    <w:rsid w:val="765E152C"/>
    <w:rsid w:val="76E3355F"/>
    <w:rsid w:val="76F16762"/>
    <w:rsid w:val="76FF5125"/>
    <w:rsid w:val="77297EB7"/>
    <w:rsid w:val="776F6FFA"/>
    <w:rsid w:val="778769C8"/>
    <w:rsid w:val="77A75DCA"/>
    <w:rsid w:val="77D5581E"/>
    <w:rsid w:val="77DC22F5"/>
    <w:rsid w:val="783E271A"/>
    <w:rsid w:val="78616DE9"/>
    <w:rsid w:val="78D11731"/>
    <w:rsid w:val="78E875D7"/>
    <w:rsid w:val="79086DAD"/>
    <w:rsid w:val="799D0F73"/>
    <w:rsid w:val="79D7FD79"/>
    <w:rsid w:val="79EE5915"/>
    <w:rsid w:val="79EE5BA4"/>
    <w:rsid w:val="7A894339"/>
    <w:rsid w:val="7AD284E8"/>
    <w:rsid w:val="7AFF7572"/>
    <w:rsid w:val="7B6C7DFB"/>
    <w:rsid w:val="7BBFBED0"/>
    <w:rsid w:val="7BC3E394"/>
    <w:rsid w:val="7C1A4147"/>
    <w:rsid w:val="7C1F3737"/>
    <w:rsid w:val="7C606846"/>
    <w:rsid w:val="7CBFC87B"/>
    <w:rsid w:val="7CCA2FB5"/>
    <w:rsid w:val="7CFE0F48"/>
    <w:rsid w:val="7D272ABC"/>
    <w:rsid w:val="7D6C7C4C"/>
    <w:rsid w:val="7D7EC23E"/>
    <w:rsid w:val="7DF069C3"/>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B4EAD"/>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eastAsia="宋体" w:cs="Times New Roman"/>
      <w:szCs w:val="24"/>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style31"/>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80" b="0" i="0" u="none" strike="noStrike" kern="1200" baseline="0">
                <a:solidFill>
                  <a:srgbClr val="595959">
                    <a:lumMod val="65000"/>
                    <a:lumOff val="35000"/>
                  </a:srgbClr>
                </a:solidFill>
                <a:latin typeface="+mn-lt"/>
                <a:ea typeface="+mn-ea"/>
                <a:cs typeface="+mn-cs"/>
              </a:defRPr>
            </a:pPr>
            <a:r>
              <a:rPr sz="1080" b="0"/>
              <a:t>图2：收入决算结构图</a:t>
            </a:r>
            <a:endParaRPr sz="1080" b="0"/>
          </a:p>
        </c:rich>
      </c:tx>
      <c:layout/>
      <c:overlay val="false"/>
      <c:spPr>
        <a:noFill/>
        <a:ln>
          <a:noFill/>
        </a:ln>
        <a:effectLst/>
      </c:spPr>
    </c:title>
    <c:autoTitleDeleted val="false"/>
    <c:plotArea>
      <c:layout/>
      <c:pieChart>
        <c:varyColors val="true"/>
        <c:ser>
          <c:idx val="0"/>
          <c:order val="0"/>
          <c:tx>
            <c:strRef>
              <c:f>Sheet1!$B$1</c:f>
              <c:strCache>
                <c:ptCount val="1"/>
                <c:pt idx="0">
                  <c:v>全年收入</c:v>
                </c:pt>
              </c:strCache>
            </c:strRef>
          </c:tx>
          <c:spPr/>
          <c:explosion val="0"/>
          <c:dPt>
            <c:idx val="0"/>
            <c:bubble3D val="false"/>
            <c:spPr>
              <a:solidFill>
                <a:srgbClr val="4F81BD"/>
              </a:solidFill>
              <a:ln>
                <a:noFill/>
              </a:ln>
              <a:effectLst>
                <a:outerShdw blurRad="317500" algn="ctr" rotWithShape="0">
                  <a:prstClr val="black">
                    <a:alpha val="25000"/>
                  </a:prstClr>
                </a:outerShdw>
              </a:effectLst>
            </c:spPr>
          </c:dPt>
          <c:dPt>
            <c:idx val="1"/>
            <c:bubble3D val="false"/>
            <c:spPr>
              <a:solidFill>
                <a:srgbClr val="C0504D"/>
              </a:solidFill>
              <a:ln>
                <a:noFill/>
              </a:ln>
              <a:effectLst>
                <a:outerShdw blurRad="317500" algn="ctr" rotWithShape="0">
                  <a:prstClr val="black">
                    <a:alpha val="25000"/>
                  </a:prstClr>
                </a:outerShdw>
              </a:effectLst>
            </c:spPr>
          </c:dPt>
          <c:dPt>
            <c:idx val="2"/>
            <c:bubble3D val="false"/>
            <c:spPr>
              <a:solidFill>
                <a:srgbClr val="9BBB59"/>
              </a:solidFill>
              <a:ln>
                <a:noFill/>
              </a:ln>
              <a:effectLst>
                <a:outerShdw blurRad="317500" algn="ctr" rotWithShape="0">
                  <a:prstClr val="black">
                    <a:alpha val="25000"/>
                  </a:prstClr>
                </a:outerShdw>
              </a:effectLst>
            </c:spPr>
          </c:dPt>
          <c:dPt>
            <c:idx val="3"/>
            <c:bubble3D val="false"/>
            <c:spPr>
              <a:solidFill>
                <a:srgbClr val="8064A2"/>
              </a:solidFill>
              <a:ln>
                <a:noFill/>
              </a:ln>
              <a:effectLst>
                <a:outerShdw blurRad="317500" algn="ctr" rotWithShape="0">
                  <a:prstClr val="black">
                    <a:alpha val="25000"/>
                  </a:prstClr>
                </a:outerShdw>
              </a:effectLst>
            </c:spPr>
          </c:dPt>
          <c:dLbls>
            <c:delete val="true"/>
          </c:dLbls>
          <c:cat>
            <c:strRef>
              <c:f>Sheet1!$A$2:$A$5</c:f>
              <c:strCache>
                <c:ptCount val="4"/>
                <c:pt idx="0">
                  <c:v>一般公共预算财政拨款收入</c:v>
                </c:pt>
                <c:pt idx="1">
                  <c:v>政府性基金预算财政拨款收入</c:v>
                </c:pt>
                <c:pt idx="2">
                  <c:v>国有资本经营预算财政拨款收入</c:v>
                </c:pt>
                <c:pt idx="3">
                  <c:v>上级补助收入</c:v>
                </c:pt>
              </c:strCache>
            </c:strRef>
          </c:cat>
          <c:val>
            <c:numRef>
              <c:f>Sheet1!$B$2:$B$5</c:f>
              <c:numCache>
                <c:formatCode>General</c:formatCode>
                <c:ptCount val="4"/>
                <c:pt idx="0">
                  <c:v>569.04</c:v>
                </c:pt>
                <c:pt idx="1">
                  <c:v>0</c:v>
                </c:pt>
                <c:pt idx="2">
                  <c:v>0</c:v>
                </c:pt>
                <c:pt idx="3">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Entry>
      <c:legendEntry>
        <c:idx val="3"/>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Entry>
      <c:layout/>
      <c:overlay val="false"/>
      <c:spPr>
        <a:solidFill>
          <a:srgbClr val="FFFFFF">
            <a:alpha val="78000"/>
          </a:srgbClr>
        </a:solid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pattFill prst="dkDnDiag">
      <a:fgClr>
        <a:srgbClr val="F2F2F2">
          <a:lumMod val="95000"/>
        </a:srgbClr>
      </a:fgClr>
      <a:bgClr>
        <a:srgbClr val="FFFFFF"/>
      </a:bgClr>
    </a:pattFill>
    <a:ln w="9525" cap="flat" cmpd="sng" algn="ctr">
      <a:solidFill>
        <a:srgbClr val="D9D9D9">
          <a:lumMod val="15000"/>
          <a:lumOff val="85000"/>
        </a:srgbClr>
      </a:solidFill>
      <a:round/>
    </a:ln>
    <a:effectLst/>
  </c:spPr>
  <c:txPr>
    <a:bodyPr/>
    <a:lstStyle/>
    <a:p>
      <a:pPr>
        <a:defRPr lang="zh-CN" sz="900" b="0"/>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200" b="0" i="0" u="none" strike="noStrike" kern="1200" baseline="0">
                <a:solidFill>
                  <a:schemeClr val="tx1">
                    <a:lumMod val="75000"/>
                    <a:lumOff val="25000"/>
                  </a:schemeClr>
                </a:solidFill>
                <a:latin typeface="+mn-lt"/>
                <a:ea typeface="+mn-ea"/>
                <a:cs typeface="+mn-cs"/>
              </a:defRPr>
            </a:pPr>
            <a:r>
              <a:rPr altLang="en-US" sz="1200" b="0"/>
              <a:t>图</a:t>
            </a:r>
            <a:r>
              <a:rPr lang="en-US" altLang="zh-CN" sz="1200" b="0"/>
              <a:t>4</a:t>
            </a:r>
            <a:r>
              <a:rPr altLang="en-US" sz="1200" b="0"/>
              <a:t>：财政拨款收、支决算总计变动情况</a:t>
            </a:r>
            <a:endParaRPr lang="en-US" altLang="zh-CN" sz="1200" b="0"/>
          </a:p>
        </c:rich>
      </c:tx>
      <c:layout>
        <c:manualLayout>
          <c:xMode val="edge"/>
          <c:yMode val="edge"/>
          <c:x val="0.221997882992028"/>
          <c:y val="0.0646385587080072"/>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2023年</c:v>
                </c:pt>
              </c:strCache>
            </c:strRef>
          </c:tx>
          <c:spPr>
            <a:solidFill>
              <a:schemeClr val="accent1"/>
            </a:solidFill>
            <a:ln>
              <a:noFill/>
            </a:ln>
            <a:effectLst/>
          </c:spPr>
          <c:invertIfNegative val="false"/>
          <c:dLbls>
            <c:delete val="true"/>
          </c:dLbls>
          <c:cat>
            <c:strRef>
              <c:f>Sheet1!$A$2</c:f>
              <c:strCache>
                <c:ptCount val="1"/>
                <c:pt idx="0">
                  <c:v>财政拨款收支决算</c:v>
                </c:pt>
              </c:strCache>
            </c:strRef>
          </c:cat>
          <c:val>
            <c:numRef>
              <c:f>Sheet1!$B$2</c:f>
              <c:numCache>
                <c:formatCode>General</c:formatCode>
                <c:ptCount val="1"/>
                <c:pt idx="0">
                  <c:v>720.13</c:v>
                </c:pt>
              </c:numCache>
            </c:numRef>
          </c:val>
        </c:ser>
        <c:ser>
          <c:idx val="1"/>
          <c:order val="1"/>
          <c:tx>
            <c:strRef>
              <c:f>Sheet1!$C$1</c:f>
              <c:strCache>
                <c:ptCount val="1"/>
                <c:pt idx="0">
                  <c:v>2024年</c:v>
                </c:pt>
              </c:strCache>
            </c:strRef>
          </c:tx>
          <c:spPr>
            <a:solidFill>
              <a:schemeClr val="accent2"/>
            </a:solidFill>
            <a:ln>
              <a:noFill/>
            </a:ln>
            <a:effectLst/>
          </c:spPr>
          <c:invertIfNegative val="false"/>
          <c:dLbls>
            <c:delete val="true"/>
          </c:dLbls>
          <c:cat>
            <c:strRef>
              <c:f>Sheet1!$A$2</c:f>
              <c:strCache>
                <c:ptCount val="1"/>
                <c:pt idx="0">
                  <c:v>财政拨款收支决算</c:v>
                </c:pt>
              </c:strCache>
            </c:strRef>
          </c:cat>
          <c:val>
            <c:numRef>
              <c:f>Sheet1!$C$2</c:f>
              <c:numCache>
                <c:formatCode>General</c:formatCode>
                <c:ptCount val="1"/>
                <c:pt idx="0">
                  <c:v>708.93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c:f>
              <c:strCache>
                <c:ptCount val="1"/>
                <c:pt idx="0">
                  <c:v>财政拨款收支决算</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46"/>
        <c:overlap val="-28"/>
        <c:axId val="345678350"/>
        <c:axId val="946289502"/>
      </c:barChart>
      <c:catAx>
        <c:axId val="34567835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946289502"/>
        <c:crosses val="autoZero"/>
        <c:auto val="true"/>
        <c:lblAlgn val="ctr"/>
        <c:lblOffset val="100"/>
        <c:noMultiLvlLbl val="false"/>
      </c:catAx>
      <c:valAx>
        <c:axId val="946289502"/>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34567835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200" b="0" i="0" u="none" strike="noStrike" kern="1200" baseline="0">
                <a:solidFill>
                  <a:schemeClr val="tx1">
                    <a:lumMod val="75000"/>
                    <a:lumOff val="25000"/>
                  </a:schemeClr>
                </a:solidFill>
                <a:latin typeface="+mn-lt"/>
                <a:ea typeface="+mn-ea"/>
                <a:cs typeface="+mn-cs"/>
              </a:defRPr>
            </a:pPr>
            <a:r>
              <a:rPr altLang="en-US" sz="1200" b="0"/>
              <a:t>图</a:t>
            </a:r>
            <a:r>
              <a:rPr lang="en-US" altLang="zh-CN" sz="1200" b="0"/>
              <a:t>5</a:t>
            </a:r>
            <a:r>
              <a:rPr altLang="en-US" sz="1200" b="0"/>
              <a:t>：一般公共预算财政拨款支出决算变动情况</a:t>
            </a:r>
            <a:endParaRPr lang="en-US" altLang="zh-CN" sz="1200" b="0"/>
          </a:p>
        </c:rich>
      </c:tx>
      <c:layout>
        <c:manualLayout>
          <c:xMode val="edge"/>
          <c:yMode val="edge"/>
          <c:x val="0.188650654980356"/>
          <c:y val="0.0395570437845058"/>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2023年</c:v>
                </c:pt>
              </c:strCache>
            </c:strRef>
          </c:tx>
          <c:spPr>
            <a:solidFill>
              <a:schemeClr val="accent1"/>
            </a:solidFill>
            <a:ln>
              <a:noFill/>
            </a:ln>
            <a:effectLst/>
          </c:spPr>
          <c:invertIfNegative val="false"/>
          <c:dLbls>
            <c:delete val="true"/>
          </c:dLbls>
          <c:cat>
            <c:strRef>
              <c:f>Sheet1!$A$2</c:f>
              <c:strCache>
                <c:ptCount val="1"/>
                <c:pt idx="0">
                  <c:v>一般公共预算财政拨款支出</c:v>
                </c:pt>
              </c:strCache>
            </c:strRef>
          </c:cat>
          <c:val>
            <c:numRef>
              <c:f>Sheet1!$B$2</c:f>
              <c:numCache>
                <c:formatCode>General</c:formatCode>
                <c:ptCount val="1"/>
                <c:pt idx="0">
                  <c:v>720.13</c:v>
                </c:pt>
              </c:numCache>
            </c:numRef>
          </c:val>
        </c:ser>
        <c:ser>
          <c:idx val="1"/>
          <c:order val="1"/>
          <c:tx>
            <c:strRef>
              <c:f>Sheet1!$C$1</c:f>
              <c:strCache>
                <c:ptCount val="1"/>
                <c:pt idx="0">
                  <c:v>2024年</c:v>
                </c:pt>
              </c:strCache>
            </c:strRef>
          </c:tx>
          <c:spPr>
            <a:solidFill>
              <a:schemeClr val="accent2"/>
            </a:solidFill>
            <a:ln>
              <a:noFill/>
            </a:ln>
            <a:effectLst/>
          </c:spPr>
          <c:invertIfNegative val="false"/>
          <c:dLbls>
            <c:delete val="true"/>
          </c:dLbls>
          <c:cat>
            <c:strRef>
              <c:f>Sheet1!$A$2</c:f>
              <c:strCache>
                <c:ptCount val="1"/>
                <c:pt idx="0">
                  <c:v>一般公共预算财政拨款支出</c:v>
                </c:pt>
              </c:strCache>
            </c:strRef>
          </c:cat>
          <c:val>
            <c:numRef>
              <c:f>Sheet1!$C$2</c:f>
              <c:numCache>
                <c:formatCode>General</c:formatCode>
                <c:ptCount val="1"/>
                <c:pt idx="0">
                  <c:v>708.93</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46"/>
        <c:overlap val="-28"/>
        <c:axId val="345678350"/>
        <c:axId val="946289502"/>
      </c:barChart>
      <c:catAx>
        <c:axId val="34567835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946289502"/>
        <c:crosses val="autoZero"/>
        <c:auto val="true"/>
        <c:lblAlgn val="ctr"/>
        <c:lblOffset val="100"/>
        <c:noMultiLvlLbl val="false"/>
      </c:catAx>
      <c:valAx>
        <c:axId val="946289502"/>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345678350"/>
        <c:crosses val="autoZero"/>
        <c:crossBetween val="between"/>
      </c:valAx>
      <c:spPr>
        <a:noFill/>
        <a:ln>
          <a:noFill/>
        </a:ln>
        <a:effectLst/>
      </c:spPr>
    </c:plotArea>
    <c:legend>
      <c:legendPos val="b"/>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sz="1200" b="0"/>
              <a:t>图</a:t>
            </a:r>
            <a:r>
              <a:rPr lang="en-US" altLang="zh-CN" sz="1200" b="0"/>
              <a:t>6</a:t>
            </a:r>
            <a:r>
              <a:rPr altLang="en-US" sz="1200" b="0"/>
              <a:t>：一般公共预算财政拨款支出决算结构</a:t>
            </a:r>
            <a:endParaRPr lang="en-US" altLang="zh-CN" sz="1200" b="0"/>
          </a:p>
        </c:rich>
      </c:tx>
      <c:layout/>
      <c:overlay val="false"/>
      <c:spPr>
        <a:noFill/>
        <a:ln>
          <a:noFill/>
        </a:ln>
        <a:effectLst/>
      </c:spPr>
    </c:title>
    <c:autoTitleDeleted val="false"/>
    <c:plotArea>
      <c:layout/>
      <c:pieChart>
        <c:varyColors val="true"/>
        <c:ser>
          <c:idx val="0"/>
          <c:order val="0"/>
          <c:tx>
            <c:strRef>
              <c:f>Sheet1!$B$1</c:f>
              <c:strCache>
                <c:ptCount val="1"/>
                <c:pt idx="0">
                  <c:v>一般公共预算财政拨款支出结构</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delete val="true"/>
          </c:dLbls>
          <c:cat>
            <c:strRef>
              <c:f>Sheet1!$A$2:$A$5</c:f>
              <c:strCache>
                <c:ptCount val="4"/>
                <c:pt idx="0">
                  <c:v>一般公共服务支出</c:v>
                </c:pt>
                <c:pt idx="1">
                  <c:v>卫生健康支出</c:v>
                </c:pt>
                <c:pt idx="2">
                  <c:v>住房保障支出</c:v>
                </c:pt>
                <c:pt idx="3">
                  <c:v>社会保障和就业支出</c:v>
                </c:pt>
              </c:strCache>
            </c:strRef>
          </c:cat>
          <c:val>
            <c:numRef>
              <c:f>Sheet1!$B$2:$B$5</c:f>
              <c:numCache>
                <c:formatCode>General</c:formatCode>
                <c:ptCount val="4"/>
                <c:pt idx="0">
                  <c:v>553.95</c:v>
                </c:pt>
                <c:pt idx="1">
                  <c:v>26.89</c:v>
                </c:pt>
                <c:pt idx="2">
                  <c:v>33.28</c:v>
                </c:pt>
                <c:pt idx="3">
                  <c:v>94.81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0921791356573965"/>
          <c:y val="0.926390114739629"/>
          <c:w val="0.815772294033164"/>
          <c:h val="0.0683142100617829"/>
        </c:manualLayout>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sz="1200" b="0"/>
              <a:t>图</a:t>
            </a:r>
            <a:r>
              <a:rPr lang="en-US" altLang="zh-CN" sz="1200" b="0"/>
              <a:t>7</a:t>
            </a:r>
            <a:r>
              <a:rPr altLang="zh-CN" sz="1200" b="0"/>
              <a:t>：</a:t>
            </a:r>
            <a:r>
              <a:rPr lang="en-US" altLang="zh-CN" sz="1200" b="0"/>
              <a:t>“</a:t>
            </a:r>
            <a:r>
              <a:rPr altLang="zh-CN" sz="1200" b="0"/>
              <a:t>三公</a:t>
            </a:r>
            <a:r>
              <a:rPr lang="en-US" altLang="zh-CN" sz="1200" b="0"/>
              <a:t>”</a:t>
            </a:r>
            <a:r>
              <a:rPr altLang="en-US" sz="1200" b="0"/>
              <a:t>经费财政拨款支出结构</a:t>
            </a:r>
            <a:endParaRPr altLang="en-US" sz="1200" b="0"/>
          </a:p>
        </c:rich>
      </c:tx>
      <c:layout/>
      <c:overlay val="false"/>
      <c:spPr>
        <a:noFill/>
        <a:ln>
          <a:noFill/>
        </a:ln>
        <a:effectLst/>
      </c:spPr>
    </c:title>
    <c:autoTitleDeleted val="false"/>
    <c:plotArea>
      <c:layout/>
      <c:pieChart>
        <c:varyColors val="true"/>
        <c:ser>
          <c:idx val="0"/>
          <c:order val="0"/>
          <c:tx>
            <c:strRef>
              <c:f>Sheet1!$B$1</c:f>
              <c:strCache>
                <c:ptCount val="1"/>
                <c:pt idx="0">
                  <c:v>“三公"经费财政拨款</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elete val="true"/>
          </c:dLbls>
          <c:cat>
            <c:strRef>
              <c:f>Sheet1!$A$2:$A$4</c:f>
              <c:strCache>
                <c:ptCount val="3"/>
                <c:pt idx="0">
                  <c:v>因公出国（境）经费</c:v>
                </c:pt>
                <c:pt idx="1">
                  <c:v>公务用车购置及运行维护费</c:v>
                </c:pt>
                <c:pt idx="2">
                  <c:v>公务接待费</c:v>
                </c:pt>
              </c:strCache>
            </c:strRef>
          </c:cat>
          <c:val>
            <c:numRef>
              <c:f>Sheet1!$B$2:$B$4</c:f>
              <c:numCache>
                <c:formatCode>General</c:formatCode>
                <c:ptCount val="3"/>
                <c:pt idx="0">
                  <c:v>0</c:v>
                </c:pt>
                <c:pt idx="1">
                  <c:v>0.28</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defRPr sz="900" kern="1200"/>
  </cs:categoryAxis>
  <cs:chartArea>
    <cs:lnRef idx="0"/>
    <cs:fillRef idx="0"/>
    <cs:effectRef idx="0"/>
    <cs:fontRef idx="minor">
      <a:srgbClr val="000000"/>
    </cs:fontRef>
    <cs:spPr>
      <a:pattFill prst="dkDnDiag">
        <a:fgClr>
          <a:srgbClr val="F2F2F2">
            <a:lumMod val="95000"/>
          </a:srgbClr>
        </a:fgClr>
        <a:bgClr>
          <a:srgbClr val="FFFFFF"/>
        </a:bgClr>
      </a:pattFill>
      <a:ln w="9525" cap="flat" cmpd="sng" algn="ctr">
        <a:solidFill>
          <a:srgbClr val="D9D9D9">
            <a:lumMod val="15000"/>
            <a:lumOff val="85000"/>
          </a:srgbClr>
        </a:solidFill>
        <a:round/>
      </a:ln>
    </cs:spPr>
    <cs:defRPr sz="900" kern="1200"/>
  </cs:chartArea>
  <cs:dataLabel>
    <cs:lnRef idx="0"/>
    <cs:fillRef idx="0"/>
    <cs:effectRef idx="0"/>
    <cs:fontRef idx="minor">
      <a:srgbClr val="FFFFFF"/>
    </cs:fontRef>
    <cs:defRPr sz="900" b="1" i="0" u="none" strike="noStrike" kern="1200" baseline="0"/>
  </cs:dataLabel>
  <cs:dataLabelCallout>
    <cs:lnRef idx="0"/>
    <cs:fillRef idx="0"/>
    <cs:effectRef idx="0"/>
    <cs:fontRef idx="minor">
      <a:srgbClr val="595959">
        <a:lumMod val="65000"/>
        <a:lumOff val="35000"/>
      </a:srgbClr>
    </cs:fontRef>
    <cs:spPr>
      <a:solidFill>
        <a:srgbClr val="FFFFFF">
          <a:alpha val="75000"/>
        </a:srgbClr>
      </a:solidFill>
      <a:ln w="9525">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rgbClr val="000000"/>
    </cs:fontRef>
    <cs:spPr>
      <a:solidFill>
        <a:srgbClr val="FFFFFF"/>
      </a:solidFill>
      <a:effectLst>
        <a:outerShdw blurRad="317500" algn="ctr" rotWithShape="0">
          <a:prstClr val="black">
            <a:alpha val="25000"/>
          </a:prstClr>
        </a:outerShdw>
      </a:effectLst>
    </cs:spPr>
  </cs:dataPoint>
  <cs:dataPoint3D>
    <cs:lnRef idx="0"/>
    <cs:fillRef idx="0">
      <cs:styleClr val="auto"/>
    </cs:fillRef>
    <cs:effectRef idx="0"/>
    <cs:fontRef idx="minor">
      <a:srgbClr val="000000"/>
    </cs:fontRef>
    <cs:spPr>
      <a:solidFill>
        <a:srgbClr val="FFFFFF"/>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spPr>
      <a:solidFill>
        <a:srgbClr val="FFFFFF">
          <a:alpha val="78000"/>
        </a:srgbClr>
      </a:solidFill>
    </cs:spPr>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800" b="1" kern="120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7665</Words>
  <Characters>8417</Characters>
  <Lines>61</Lines>
  <Paragraphs>17</Paragraphs>
  <TotalTime>10</TotalTime>
  <ScaleCrop>false</ScaleCrop>
  <LinksUpToDate>false</LinksUpToDate>
  <CharactersWithSpaces>8473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2025-09-04T16:32:00Z</dcterms:created>
  <dc:creator>曹颖</dc:creator>
  <cp:lastModifiedBy>user</cp:lastModifiedBy>
  <cp:lastPrinted>2025-08-07T01:34:00Z</cp:lastPrinted>
  <dcterms:modified xsi:type="dcterms:W3CDTF">2025-09-16T10:06:57Z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eyJoZGlkIjoiNTM3MTYwZTU0NzUwNjU4OGU5Y2E0NWVjN2E3ZDc0NDIiLCJ1c2VySWQiOiI0ODIwOTY3MDkifQ==</vt:lpwstr>
  </property>
</Properties>
</file>