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78441"/>
      <w:bookmarkStart w:id="1" w:name="_Toc15396597"/>
      <w:bookmarkStart w:id="2" w:name="_Toc15377425"/>
      <w:bookmarkStart w:id="3" w:name="_Toc15396475"/>
      <w:bookmarkStart w:id="4" w:name="_Toc15377193"/>
      <w:bookmarkStart w:id="5" w:name="_Toc15306267"/>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bookmarkEnd w:id="0"/>
    <w:bookmarkEnd w:id="1"/>
    <w:bookmarkEnd w:id="2"/>
    <w:bookmarkEnd w:id="3"/>
    <w:bookmarkEnd w:id="4"/>
    <w:p>
      <w:pPr>
        <w:pStyle w:val="8"/>
        <w:spacing w:before="93"/>
        <w:jc w:val="center"/>
        <w:rPr>
          <w:rFonts w:ascii="Times New Roman" w:eastAsia="方正小标宋简体"/>
          <w:kern w:val="2"/>
          <w:sz w:val="44"/>
          <w:szCs w:val="44"/>
        </w:rPr>
      </w:pPr>
      <w:bookmarkStart w:id="6" w:name="_Toc15396476"/>
      <w:bookmarkStart w:id="7" w:name="_Toc15378442"/>
      <w:bookmarkStart w:id="8" w:name="_Toc15377426"/>
      <w:bookmarkStart w:id="9" w:name="_Toc15377194"/>
      <w:bookmarkStart w:id="10" w:name="_Toc15396598"/>
      <w:r>
        <w:rPr>
          <w:rFonts w:hint="eastAsia" w:ascii="Times New Roman" w:eastAsia="方正小标宋简体"/>
          <w:kern w:val="2"/>
          <w:sz w:val="44"/>
          <w:szCs w:val="44"/>
        </w:rPr>
        <w:t>2024年度四川省</w:t>
      </w:r>
      <w:bookmarkEnd w:id="5"/>
      <w:bookmarkStart w:id="11" w:name="_Toc15306268"/>
      <w:r>
        <w:rPr>
          <w:rFonts w:hint="eastAsia" w:ascii="Times New Roman" w:eastAsia="方正小标宋简体"/>
          <w:kern w:val="2"/>
          <w:sz w:val="44"/>
          <w:szCs w:val="44"/>
        </w:rPr>
        <w:t>攀枝花仁和区人民法院决算</w:t>
      </w:r>
      <w:bookmarkEnd w:id="6"/>
      <w:bookmarkEnd w:id="7"/>
      <w:bookmarkEnd w:id="8"/>
      <w:bookmarkEnd w:id="9"/>
      <w:bookmarkEnd w:id="10"/>
      <w:bookmarkEnd w:id="11"/>
    </w:p>
    <w:p>
      <w:pPr>
        <w:pStyle w:val="14"/>
        <w:adjustRightInd w:val="0"/>
        <w:snapToGrid w:val="0"/>
        <w:spacing w:line="560" w:lineRule="exact"/>
        <w:jc w:val="left"/>
        <w:rPr>
          <w:rFonts w:eastAsia="仿宋_GB2312" w:cs="仿宋_GB2312"/>
          <w:sz w:val="32"/>
          <w:szCs w:val="32"/>
        </w:rPr>
      </w:pPr>
    </w:p>
    <w:p>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公开时间：2024年 9 月 1</w:t>
      </w:r>
      <w:r>
        <w:rPr>
          <w:rFonts w:hint="default" w:ascii="Times New Roman" w:hAnsi="Times New Roman" w:eastAsia="仿宋_GB2312" w:cs="仿宋_GB2312"/>
          <w:sz w:val="32"/>
          <w:szCs w:val="32"/>
          <w:lang w:val="en"/>
        </w:rPr>
        <w:t>6</w:t>
      </w:r>
      <w:bookmarkStart w:id="67" w:name="_GoBack"/>
      <w:bookmarkEnd w:id="67"/>
      <w:r>
        <w:rPr>
          <w:rFonts w:hint="eastAsia" w:ascii="Times New Roman" w:hAnsi="Times New Roman" w:eastAsia="仿宋_GB2312" w:cs="仿宋_GB2312"/>
          <w:sz w:val="32"/>
          <w:szCs w:val="32"/>
        </w:rPr>
        <w:t xml:space="preserve"> 日</w:t>
      </w:r>
    </w:p>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 单位概况</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..1</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一、单位职责</w:t>
      </w:r>
      <w:r>
        <w:rPr>
          <w:rFonts w:eastAsia="黑体" w:cs="黑体"/>
          <w:sz w:val="32"/>
          <w:szCs w:val="32"/>
        </w:rPr>
        <w:t>…………………………………………</w:t>
      </w:r>
      <w:r>
        <w:rPr>
          <w:rFonts w:hint="eastAsia" w:eastAsia="黑体" w:cs="黑体"/>
          <w:sz w:val="32"/>
          <w:szCs w:val="32"/>
        </w:rPr>
        <w:t>..2</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二、机构设置</w:t>
      </w:r>
      <w:r>
        <w:rPr>
          <w:rFonts w:eastAsia="黑体" w:cs="黑体"/>
          <w:sz w:val="32"/>
          <w:szCs w:val="32"/>
        </w:rPr>
        <w:t>………………………………</w:t>
      </w:r>
      <w:r>
        <w:rPr>
          <w:rFonts w:hint="eastAsia" w:eastAsia="黑体" w:cs="黑体"/>
          <w:sz w:val="32"/>
          <w:szCs w:val="32"/>
        </w:rPr>
        <w:t>.</w:t>
      </w:r>
      <w:r>
        <w:rPr>
          <w:rFonts w:eastAsia="黑体" w:cs="黑体"/>
          <w:sz w:val="32"/>
          <w:szCs w:val="32"/>
        </w:rPr>
        <w:t>…</w:t>
      </w:r>
      <w:r>
        <w:rPr>
          <w:rFonts w:hint="eastAsia" w:eastAsia="黑体" w:cs="黑体"/>
          <w:sz w:val="32"/>
          <w:szCs w:val="32"/>
        </w:rPr>
        <w:t>...</w:t>
      </w:r>
      <w:r>
        <w:rPr>
          <w:rFonts w:eastAsia="黑体" w:cs="黑体"/>
          <w:sz w:val="32"/>
          <w:szCs w:val="32"/>
        </w:rPr>
        <w:t>……</w:t>
      </w:r>
      <w:r>
        <w:rPr>
          <w:rFonts w:hint="eastAsia" w:eastAsia="黑体" w:cs="黑体"/>
          <w:sz w:val="32"/>
          <w:szCs w:val="32"/>
        </w:rPr>
        <w:t>..3</w:t>
      </w:r>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2024年度单位决算情况说明</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..3</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eastAsia="黑体" w:cs="黑体"/>
          <w:sz w:val="32"/>
          <w:szCs w:val="32"/>
        </w:rPr>
        <w:t>……………………</w:t>
      </w:r>
      <w:r>
        <w:rPr>
          <w:rFonts w:hint="eastAsia" w:eastAsia="黑体" w:cs="黑体"/>
          <w:sz w:val="32"/>
          <w:szCs w:val="32"/>
        </w:rPr>
        <w:t>..3</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eastAsia="黑体" w:cs="黑体"/>
          <w:sz w:val="32"/>
          <w:szCs w:val="32"/>
        </w:rPr>
        <w:t>………………………………</w:t>
      </w:r>
      <w:r>
        <w:rPr>
          <w:rFonts w:hint="eastAsia" w:eastAsia="黑体" w:cs="黑体"/>
          <w:sz w:val="32"/>
          <w:szCs w:val="32"/>
        </w:rPr>
        <w:t>..3</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eastAsia="黑体" w:cs="黑体"/>
          <w:sz w:val="32"/>
          <w:szCs w:val="32"/>
        </w:rPr>
        <w:t>………………………………</w:t>
      </w:r>
      <w:r>
        <w:rPr>
          <w:rFonts w:hint="eastAsia" w:eastAsia="黑体" w:cs="黑体"/>
          <w:sz w:val="32"/>
          <w:szCs w:val="32"/>
        </w:rPr>
        <w:t>..4</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rFonts w:eastAsia="仿宋_GB2312" w:cs="仿宋_GB2312"/>
          <w:sz w:val="32"/>
          <w:szCs w:val="32"/>
        </w:rPr>
        <w:t>…………</w:t>
      </w:r>
      <w:r>
        <w:rPr>
          <w:rFonts w:hint="eastAsia" w:eastAsia="仿宋_GB2312" w:cs="仿宋_GB2312"/>
          <w:sz w:val="32"/>
          <w:szCs w:val="32"/>
        </w:rPr>
        <w:t>..4</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eastAsia="仿宋_GB2312" w:cs="仿宋_GB2312"/>
          <w:sz w:val="32"/>
          <w:szCs w:val="32"/>
        </w:rPr>
        <w:t>……</w:t>
      </w:r>
      <w:r>
        <w:rPr>
          <w:rFonts w:hint="eastAsia" w:eastAsia="仿宋_GB2312" w:cs="仿宋_GB2312"/>
          <w:sz w:val="32"/>
          <w:szCs w:val="32"/>
        </w:rPr>
        <w:t>..5</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六、一般公共预算财政拨款基本支出决算情况说明..7</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eastAsia="仿宋_GB2312" w:cs="仿宋_GB2312"/>
          <w:sz w:val="32"/>
          <w:szCs w:val="32"/>
        </w:rPr>
        <w:t>…………</w:t>
      </w:r>
      <w:r>
        <w:rPr>
          <w:rFonts w:hint="eastAsia" w:eastAsia="仿宋_GB2312" w:cs="仿宋_GB2312"/>
          <w:sz w:val="32"/>
          <w:szCs w:val="32"/>
        </w:rPr>
        <w:t>8</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eastAsia="仿宋_GB2312" w:cs="仿宋_GB2312"/>
          <w:sz w:val="32"/>
          <w:szCs w:val="32"/>
        </w:rPr>
        <w:t>……………………</w:t>
      </w:r>
      <w:r>
        <w:rPr>
          <w:rFonts w:hint="eastAsia" w:eastAsia="仿宋_GB2312" w:cs="仿宋_GB2312"/>
          <w:sz w:val="32"/>
          <w:szCs w:val="32"/>
        </w:rPr>
        <w:t xml:space="preserve"> </w:t>
      </w:r>
      <w:r>
        <w:rPr>
          <w:rFonts w:eastAsia="仿宋_GB2312" w:cs="仿宋_GB2312"/>
          <w:sz w:val="32"/>
          <w:szCs w:val="32"/>
        </w:rPr>
        <w:t>…</w:t>
      </w:r>
      <w:r>
        <w:rPr>
          <w:rFonts w:hint="eastAsia" w:eastAsia="仿宋_GB2312" w:cs="仿宋_GB2312"/>
          <w:sz w:val="32"/>
          <w:szCs w:val="32"/>
        </w:rPr>
        <w:t>10</w:t>
      </w:r>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第三部分 名词解释</w:t>
      </w:r>
      <w:r>
        <w:rPr>
          <w:rFonts w:ascii="Times New Roman" w:hAnsi="Times New Roman" w:eastAsia="黑体" w:cs="黑体"/>
          <w:sz w:val="32"/>
          <w:szCs w:val="32"/>
        </w:rPr>
        <w:t>……………………………………</w:t>
      </w:r>
      <w:r>
        <w:rPr>
          <w:rFonts w:hint="eastAsia" w:ascii="Times New Roman" w:hAnsi="Times New Roman" w:eastAsia="黑体" w:cs="黑体"/>
          <w:sz w:val="32"/>
          <w:szCs w:val="32"/>
        </w:rPr>
        <w:t xml:space="preserve"> </w:t>
      </w:r>
      <w:r>
        <w:rPr>
          <w:rFonts w:ascii="Times New Roman" w:hAnsi="Times New Roman" w:eastAsia="黑体" w:cs="黑体"/>
          <w:sz w:val="32"/>
          <w:szCs w:val="32"/>
        </w:rPr>
        <w:t>…</w:t>
      </w:r>
      <w:r>
        <w:rPr>
          <w:rFonts w:hint="eastAsia" w:ascii="Times New Roman" w:hAnsi="Times New Roman" w:eastAsia="黑体" w:cs="黑体"/>
          <w:sz w:val="32"/>
          <w:szCs w:val="32"/>
        </w:rPr>
        <w:t>..12</w:t>
      </w:r>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 附件</w:t>
      </w:r>
      <w:r>
        <w:rPr>
          <w:rFonts w:ascii="Times New Roman" w:hAnsi="Times New Roman" w:eastAsia="黑体" w:cs="黑体"/>
          <w:sz w:val="32"/>
          <w:szCs w:val="32"/>
        </w:rPr>
        <w:t>………………………………………</w:t>
      </w:r>
      <w:r>
        <w:rPr>
          <w:rFonts w:hint="eastAsia" w:ascii="Times New Roman" w:hAnsi="Times New Roman" w:eastAsia="黑体" w:cs="黑体"/>
          <w:sz w:val="32"/>
          <w:szCs w:val="32"/>
        </w:rPr>
        <w:t xml:space="preserve"> .</w:t>
      </w:r>
      <w:r>
        <w:rPr>
          <w:rFonts w:ascii="Times New Roman" w:hAnsi="Times New Roman" w:eastAsia="黑体" w:cs="黑体"/>
          <w:sz w:val="32"/>
          <w:szCs w:val="32"/>
        </w:rPr>
        <w:t>……</w:t>
      </w:r>
      <w:r>
        <w:rPr>
          <w:rFonts w:hint="eastAsia" w:ascii="Times New Roman" w:hAnsi="Times New Roman" w:eastAsia="黑体" w:cs="黑体"/>
          <w:sz w:val="32"/>
          <w:szCs w:val="32"/>
        </w:rPr>
        <w:t>.15</w:t>
      </w:r>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第五部分 附表</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ascii="Times New Roman" w:hAnsi="Times New Roman" w:eastAsia="黑体" w:cs="黑体"/>
          <w:sz w:val="32"/>
          <w:szCs w:val="32"/>
        </w:rPr>
        <w:t>……</w:t>
      </w:r>
      <w:r>
        <w:rPr>
          <w:rFonts w:hint="eastAsia" w:ascii="Times New Roman" w:hAnsi="Times New Roman" w:eastAsia="黑体" w:cs="黑体"/>
          <w:sz w:val="32"/>
          <w:szCs w:val="32"/>
        </w:rPr>
        <w:t>.16</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p>
    <w:p>
      <w:pPr>
        <w:widowControl/>
        <w:spacing w:line="560" w:lineRule="exact"/>
        <w:jc w:val="left"/>
        <w:rPr>
          <w:rFonts w:eastAsia="仿宋_GB2312" w:cs="仿宋_GB2312"/>
          <w:bCs/>
          <w:kern w:val="44"/>
          <w:sz w:val="32"/>
          <w:szCs w:val="32"/>
        </w:rPr>
      </w:pPr>
      <w:bookmarkStart w:id="12" w:name="_Toc15377196"/>
      <w:bookmarkStart w:id="13" w:name="_Toc15396599"/>
      <w:r>
        <w:rPr>
          <w:rFonts w:hint="eastAsia" w:eastAsia="仿宋_GB2312" w:cs="仿宋_GB2312"/>
          <w:b/>
          <w:sz w:val="32"/>
          <w:szCs w:val="32"/>
        </w:rPr>
        <w:br w:type="page"/>
      </w:r>
    </w:p>
    <w:p>
      <w:pPr>
        <w:pStyle w:val="5"/>
        <w:jc w:val="center"/>
        <w:rPr>
          <w:rFonts w:eastAsia="方正小标宋简体" w:cs="方正小标宋简体"/>
          <w:b w:val="0"/>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pPr>
        <w:pStyle w:val="5"/>
        <w:jc w:val="center"/>
        <w:rPr>
          <w:rFonts w:eastAsia="方正小标宋简体" w:cs="方正小标宋简体"/>
          <w:bCs w:val="0"/>
        </w:rPr>
      </w:pPr>
      <w:r>
        <w:rPr>
          <w:rFonts w:hint="eastAsia" w:eastAsia="方正小标宋简体" w:cs="方正小标宋简体"/>
          <w:b w:val="0"/>
        </w:rPr>
        <w:t xml:space="preserve">第一部分  </w:t>
      </w:r>
      <w:r>
        <w:rPr>
          <w:rStyle w:val="28"/>
          <w:rFonts w:hint="eastAsia" w:eastAsia="方正小标宋简体" w:cs="方正小标宋简体"/>
          <w:b w:val="0"/>
          <w:bCs w:val="0"/>
        </w:rPr>
        <w:t>单位概况</w:t>
      </w:r>
      <w:bookmarkEnd w:id="12"/>
      <w:bookmarkEnd w:id="13"/>
    </w:p>
    <w:p>
      <w:pPr>
        <w:pStyle w:val="6"/>
        <w:numPr>
          <w:ilvl w:val="0"/>
          <w:numId w:val="1"/>
        </w:numPr>
        <w:rPr>
          <w:rFonts w:ascii="Times New Roman" w:hAnsi="Times New Roman" w:eastAsia="黑体"/>
          <w:b w:val="0"/>
        </w:rPr>
      </w:pPr>
      <w:r>
        <w:rPr>
          <w:rFonts w:hint="eastAsia" w:ascii="Times New Roman" w:hAnsi="Times New Roman" w:eastAsia="黑体"/>
          <w:b w:val="0"/>
        </w:rPr>
        <w:t>单位职责</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根据仁和区人民法院“三定”方案区法院的职责主要是：（一）负责对仁和区人民代表大会及其常务委员会报告工作，接受仁和区人民代表大会及其常务委员会的监督。（二）贯彻执行最高人民法院、省高级人民法院、市中级人民法院确定的工作方针和工作任务。（三）依法审判法律规定由本院管辖的刑事、民事、行政等第一审案件。（四）依法审理由市中级人民法院、区人大交办的各类案件。（五）依法审判由人民检察院按照审判监督程序提出的抗诉案件。（六）依法审理本院决定再审的案件，审理上级法院指令再审的案件和发回重审的案件。（七）依法行使司法执行权和司法决定权（八）负责向区人大常委会提请人事任免工作；负责本院的思想政治工作和队伍建设工作；负责本院的法官及其它工作人员的管理和教育培训工作；负责本院的纪检监察工作；负责本院司法警察管理工作（九）开展调查研究工作，总结审判经验；开展司法建议工作和法制宣传工作；参与社会治安综合治理工作（十）负责本院的装备计划工作；负责本院的财务管理工作；负责本院的诉讼费收取、管理工作和罚没款的上缴工作（十一）经办其他应由本院负责的工作。</w:t>
      </w:r>
    </w:p>
    <w:p>
      <w:pPr>
        <w:pStyle w:val="6"/>
        <w:rPr>
          <w:rStyle w:val="29"/>
          <w:rFonts w:ascii="Times New Roman" w:hAnsi="Times New Roman"/>
          <w:b w:val="0"/>
          <w:bCs w:val="0"/>
        </w:rPr>
      </w:pPr>
      <w:bookmarkStart w:id="14" w:name="_Toc15377200"/>
      <w:bookmarkStart w:id="15" w:name="_Toc15396601"/>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4"/>
      <w:bookmarkEnd w:id="15"/>
    </w:p>
    <w:p>
      <w:pPr>
        <w:pStyle w:val="26"/>
        <w:ind w:firstLine="640" w:firstLineChars="200"/>
        <w:rPr>
          <w:rFonts w:hAnsi="仿宋" w:cs="Times New Roman"/>
          <w:color w:val="auto"/>
          <w:kern w:val="2"/>
          <w:sz w:val="32"/>
          <w:szCs w:val="32"/>
        </w:rPr>
      </w:pPr>
      <w:r>
        <w:rPr>
          <w:rFonts w:hint="eastAsia" w:ascii="仿宋_GB2312" w:hAnsi="仿宋_GB2312" w:eastAsia="仿宋_GB2312" w:cs="仿宋_GB2312"/>
          <w:color w:val="auto"/>
          <w:kern w:val="2"/>
          <w:sz w:val="32"/>
          <w:szCs w:val="32"/>
        </w:rPr>
        <w:t>仁和法院为一级预算单位,无下属二级预算单位，只有一个行政机构，内设机构10个：综合办公室、政治部（督察室）、立案庭（诉讼服务中心）、刑事审判庭（未成年人案件审判庭）、民事审判第一庭、民事审判第二庭、行政审判庭（综合审判庭）、执行局、审判管理办公室（研究室）、法警队。派出机构4个：同德法庭、大田法庭、金江法庭、仁和法庭。</w:t>
      </w:r>
    </w:p>
    <w:p>
      <w:pPr>
        <w:ind w:firstLine="800" w:firstLineChars="250"/>
        <w:rPr>
          <w:rFonts w:eastAsia="仿宋_GB2312" w:cs="仿宋_GB2312"/>
          <w:sz w:val="32"/>
          <w:szCs w:val="32"/>
        </w:rPr>
      </w:pPr>
    </w:p>
    <w:p>
      <w:pPr>
        <w:widowControl/>
        <w:jc w:val="left"/>
        <w:rPr>
          <w:rFonts w:eastAsia="仿宋"/>
          <w:kern w:val="0"/>
          <w:sz w:val="32"/>
          <w:szCs w:val="32"/>
        </w:rPr>
      </w:pPr>
      <w:r>
        <w:rPr>
          <w:rFonts w:eastAsia="仿宋"/>
          <w:sz w:val="32"/>
          <w:szCs w:val="32"/>
        </w:rPr>
        <w:br w:type="page"/>
      </w:r>
    </w:p>
    <w:p>
      <w:pPr>
        <w:pStyle w:val="5"/>
        <w:jc w:val="center"/>
        <w:rPr>
          <w:rFonts w:eastAsia="方正小标宋简体" w:cs="方正小标宋简体"/>
          <w:b w:val="0"/>
        </w:rPr>
      </w:pPr>
      <w:bookmarkStart w:id="16" w:name="_Toc15377204"/>
      <w:bookmarkStart w:id="17" w:name="_Toc15396602"/>
      <w:r>
        <w:rPr>
          <w:rFonts w:hint="eastAsia" w:eastAsia="方正小标宋简体" w:cs="方正小标宋简体"/>
          <w:b w:val="0"/>
        </w:rPr>
        <w:t>第二部分  2024年度单位决算情况说明</w:t>
      </w:r>
      <w:bookmarkEnd w:id="16"/>
      <w:bookmarkEnd w:id="17"/>
    </w:p>
    <w:p/>
    <w:p>
      <w:pPr>
        <w:pStyle w:val="27"/>
        <w:spacing w:line="600" w:lineRule="exact"/>
        <w:ind w:firstLine="640"/>
        <w:outlineLvl w:val="1"/>
        <w:rPr>
          <w:rStyle w:val="29"/>
          <w:rFonts w:ascii="Times New Roman" w:hAnsi="Times New Roman" w:eastAsia="黑体"/>
          <w:b w:val="0"/>
        </w:rPr>
      </w:pPr>
      <w:bookmarkStart w:id="18" w:name="_Toc15396603"/>
      <w:bookmarkStart w:id="19" w:name="_Toc15377205"/>
      <w:r>
        <w:rPr>
          <w:rFonts w:hint="eastAsia" w:eastAsia="黑体"/>
          <w:sz w:val="32"/>
          <w:szCs w:val="32"/>
        </w:rPr>
        <w:t>一、收</w:t>
      </w:r>
      <w:r>
        <w:rPr>
          <w:rStyle w:val="29"/>
          <w:rFonts w:hint="eastAsia" w:ascii="Times New Roman" w:hAnsi="Times New Roman" w:eastAsia="黑体"/>
          <w:b w:val="0"/>
        </w:rPr>
        <w:t>入支出决算总体情况说明</w:t>
      </w:r>
      <w:bookmarkEnd w:id="18"/>
      <w:bookmarkEnd w:id="19"/>
    </w:p>
    <w:p>
      <w:pPr>
        <w:pStyle w:val="27"/>
        <w:spacing w:line="600" w:lineRule="exact"/>
        <w:ind w:firstLine="640"/>
        <w:outlineLvl w:val="1"/>
        <w:rPr>
          <w:rFonts w:eastAsia="仿宋_GB2312" w:cs="仿宋_GB2312"/>
          <w:sz w:val="32"/>
          <w:szCs w:val="32"/>
        </w:rPr>
      </w:pPr>
      <w:r>
        <w:rPr>
          <w:rFonts w:hint="eastAsia" w:ascii="仿宋_GB2312" w:hAnsi="仿宋_GB2312" w:eastAsia="仿宋_GB2312" w:cs="仿宋_GB2312"/>
          <w:sz w:val="32"/>
          <w:szCs w:val="32"/>
        </w:rPr>
        <w:t>2024</w:t>
      </w:r>
      <w:r>
        <w:rPr>
          <w:rFonts w:hint="eastAsia" w:eastAsia="仿宋_GB2312" w:cs="仿宋_GB2312"/>
          <w:sz w:val="32"/>
          <w:szCs w:val="32"/>
        </w:rPr>
        <w:t>年度收入、支出总计均为</w:t>
      </w:r>
      <w:r>
        <w:rPr>
          <w:rFonts w:hint="eastAsia" w:ascii="仿宋_GB2312" w:hAnsi="仿宋_GB2312" w:eastAsia="仿宋_GB2312" w:cs="仿宋_GB2312"/>
          <w:sz w:val="32"/>
          <w:szCs w:val="32"/>
        </w:rPr>
        <w:t>1986.15</w:t>
      </w:r>
      <w:r>
        <w:rPr>
          <w:rFonts w:hint="eastAsia" w:eastAsia="仿宋_GB2312" w:cs="仿宋_GB2312"/>
          <w:sz w:val="32"/>
          <w:szCs w:val="32"/>
        </w:rPr>
        <w:t>万元。与2023年度相比，收入、支出总计各增加</w:t>
      </w:r>
      <w:r>
        <w:rPr>
          <w:rFonts w:hint="eastAsia" w:ascii="仿宋_GB2312" w:hAnsi="仿宋_GB2312" w:eastAsia="仿宋_GB2312" w:cs="仿宋_GB2312"/>
          <w:sz w:val="32"/>
          <w:szCs w:val="32"/>
        </w:rPr>
        <w:t>6.34</w:t>
      </w:r>
      <w:r>
        <w:rPr>
          <w:rFonts w:hint="eastAsia" w:eastAsia="仿宋_GB2312" w:cs="仿宋_GB2312"/>
          <w:sz w:val="32"/>
          <w:szCs w:val="32"/>
        </w:rPr>
        <w:t>万元，增长0.32%。主要变动原因是新招录公务员导致经费增加。</w:t>
      </w:r>
    </w:p>
    <w:p>
      <w:pPr>
        <w:ind w:firstLine="640" w:firstLineChars="200"/>
        <w:rPr>
          <w:rFonts w:eastAsia="仿宋_GB2312" w:cs="仿宋_GB2312"/>
          <w:sz w:val="32"/>
          <w:szCs w:val="32"/>
        </w:rPr>
      </w:pPr>
      <w:r>
        <w:rPr>
          <w:rFonts w:hint="eastAsia" w:eastAsia="仿宋_GB2312" w:cs="仿宋_GB2312"/>
          <w:sz w:val="32"/>
          <w:szCs w:val="32"/>
        </w:rPr>
        <w:t>（图1：收入、支出决算总计变动情况图）（柱状图）</w:t>
      </w:r>
    </w:p>
    <w:p>
      <w:pPr>
        <w:ind w:firstLine="640" w:firstLineChars="200"/>
        <w:rPr>
          <w:rFonts w:eastAsia="仿宋_GB2312" w:cs="仿宋_GB2312"/>
          <w:sz w:val="32"/>
          <w:szCs w:val="32"/>
        </w:rPr>
      </w:pPr>
      <w:r>
        <w:rPr>
          <w:rFonts w:eastAsia="仿宋_GB2312" w:cs="仿宋_GB2312"/>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spacing w:line="600" w:lineRule="exact"/>
        <w:ind w:firstLine="640"/>
        <w:outlineLvl w:val="1"/>
        <w:rPr>
          <w:rFonts w:eastAsia="黑体"/>
          <w:sz w:val="32"/>
          <w:szCs w:val="32"/>
        </w:rPr>
      </w:pPr>
      <w:bookmarkStart w:id="20" w:name="_Toc15377206"/>
      <w:bookmarkStart w:id="21" w:name="_Toc15396604"/>
      <w:r>
        <w:rPr>
          <w:rFonts w:hint="eastAsia" w:eastAsia="黑体"/>
          <w:sz w:val="32"/>
          <w:szCs w:val="32"/>
        </w:rPr>
        <w:t>二、收入决算情况说明</w:t>
      </w:r>
      <w:bookmarkEnd w:id="20"/>
      <w:bookmarkEnd w:id="21"/>
    </w:p>
    <w:p>
      <w:pPr>
        <w:pStyle w:val="27"/>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2024年度本年收入合计1986.15万元，其中：一般公共预算财政拨款收入1710.77万元，占86.13%；其他收入274.32万元，占13.87%。</w:t>
      </w:r>
    </w:p>
    <w:p>
      <w:pPr>
        <w:ind w:firstLine="800" w:firstLineChars="250"/>
        <w:rPr>
          <w:rFonts w:eastAsia="仿宋_GB2312" w:cs="仿宋_GB2312"/>
          <w:sz w:val="32"/>
          <w:szCs w:val="32"/>
        </w:rPr>
      </w:pPr>
      <w:r>
        <w:rPr>
          <w:rFonts w:hint="eastAsia" w:eastAsia="仿宋_GB2312" w:cs="仿宋_GB2312"/>
          <w:sz w:val="32"/>
          <w:szCs w:val="32"/>
        </w:rPr>
        <w:t>（图2：收入决算结构图）（饼状图）</w:t>
      </w:r>
    </w:p>
    <w:p>
      <w:pPr>
        <w:ind w:firstLine="800" w:firstLineChars="250"/>
        <w:rPr>
          <w:rFonts w:eastAsia="仿宋_GB2312" w:cs="仿宋_GB2312"/>
          <w:sz w:val="32"/>
          <w:szCs w:val="32"/>
        </w:rPr>
      </w:pPr>
      <w:r>
        <w:rPr>
          <w:rFonts w:eastAsia="仿宋_GB2312" w:cs="仿宋_GB2312"/>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spacing w:line="600" w:lineRule="exact"/>
        <w:ind w:firstLine="640"/>
        <w:outlineLvl w:val="1"/>
        <w:rPr>
          <w:rStyle w:val="29"/>
          <w:rFonts w:ascii="Times New Roman" w:hAnsi="Times New Roman" w:eastAsia="黑体"/>
          <w:b w:val="0"/>
        </w:rPr>
      </w:pPr>
      <w:bookmarkStart w:id="22" w:name="_Toc15377207"/>
      <w:bookmarkStart w:id="23" w:name="_Toc15396605"/>
      <w:r>
        <w:rPr>
          <w:rFonts w:hint="eastAsia" w:eastAsia="黑体"/>
          <w:sz w:val="32"/>
          <w:szCs w:val="32"/>
        </w:rPr>
        <w:t>三、支</w:t>
      </w:r>
      <w:r>
        <w:rPr>
          <w:rStyle w:val="29"/>
          <w:rFonts w:hint="eastAsia" w:ascii="Times New Roman" w:hAnsi="Times New Roman" w:eastAsia="黑体"/>
          <w:b w:val="0"/>
        </w:rPr>
        <w:t>出决算情况说明</w:t>
      </w:r>
      <w:bookmarkEnd w:id="22"/>
      <w:bookmarkEnd w:id="23"/>
    </w:p>
    <w:p>
      <w:pPr>
        <w:pStyle w:val="27"/>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2024年度本年支出合计1986.15万元，其中：基本支出1620.6万元，占81.59%；项目支出365.54万元，占18.41%。</w:t>
      </w:r>
    </w:p>
    <w:p>
      <w:pPr>
        <w:ind w:firstLine="800" w:firstLineChars="250"/>
        <w:rPr>
          <w:rFonts w:eastAsia="仿宋_GB2312" w:cs="仿宋_GB2312"/>
          <w:sz w:val="32"/>
          <w:szCs w:val="32"/>
        </w:rPr>
      </w:pPr>
      <w:r>
        <w:rPr>
          <w:rFonts w:hint="eastAsia" w:eastAsia="仿宋_GB2312" w:cs="仿宋_GB2312"/>
          <w:sz w:val="32"/>
          <w:szCs w:val="32"/>
        </w:rPr>
        <w:t>（图3：支出决算结构图）（饼状图）</w:t>
      </w:r>
    </w:p>
    <w:p>
      <w:pPr>
        <w:ind w:firstLine="800" w:firstLineChars="250"/>
        <w:rPr>
          <w:rFonts w:eastAsia="仿宋_GB2312" w:cs="仿宋_GB2312"/>
          <w:sz w:val="32"/>
          <w:szCs w:val="32"/>
        </w:rPr>
      </w:pPr>
      <w:r>
        <w:rPr>
          <w:rFonts w:eastAsia="仿宋_GB2312" w:cs="仿宋_GB2312"/>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9"/>
          <w:rFonts w:ascii="Times New Roman" w:hAnsi="Times New Roman" w:eastAsia="黑体"/>
          <w:b w:val="0"/>
        </w:rPr>
      </w:pPr>
      <w:bookmarkStart w:id="24" w:name="_Toc15396606"/>
      <w:bookmarkStart w:id="25" w:name="_Toc15377208"/>
      <w:r>
        <w:rPr>
          <w:rFonts w:hint="eastAsia" w:eastAsia="黑体"/>
          <w:sz w:val="32"/>
          <w:szCs w:val="32"/>
        </w:rPr>
        <w:t>四、财</w:t>
      </w:r>
      <w:r>
        <w:rPr>
          <w:rStyle w:val="29"/>
          <w:rFonts w:hint="eastAsia" w:ascii="Times New Roman" w:hAnsi="Times New Roman" w:eastAsia="黑体"/>
          <w:b w:val="0"/>
        </w:rPr>
        <w:t>政拨款收入支出决算总体情况说明</w:t>
      </w:r>
      <w:bookmarkEnd w:id="24"/>
      <w:bookmarkEnd w:id="25"/>
    </w:p>
    <w:p>
      <w:pPr>
        <w:spacing w:line="600" w:lineRule="exact"/>
        <w:ind w:firstLine="640"/>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1710.77</w:t>
      </w:r>
      <w:r>
        <w:rPr>
          <w:rFonts w:hint="eastAsia" w:eastAsia="仿宋_GB2312" w:cs="仿宋_GB2312"/>
          <w:sz w:val="32"/>
          <w:szCs w:val="32"/>
        </w:rPr>
        <w:t>万元。与2023年度相比，财政拨款收入总计、支出总计各增加43.33万元，增长2.6%。主要变动原因是2024年新招录公务员，导致费用增加。</w:t>
      </w:r>
    </w:p>
    <w:p>
      <w:pPr>
        <w:spacing w:line="600" w:lineRule="exact"/>
        <w:ind w:firstLine="640" w:firstLineChars="200"/>
        <w:rPr>
          <w:rFonts w:eastAsia="仿宋_GB2312" w:cs="仿宋_GB2312"/>
          <w:sz w:val="32"/>
          <w:szCs w:val="32"/>
        </w:rPr>
      </w:pPr>
      <w:r>
        <w:rPr>
          <w:rFonts w:hint="eastAsia" w:eastAsia="仿宋_GB2312" w:cs="仿宋_GB2312"/>
          <w:sz w:val="32"/>
          <w:szCs w:val="32"/>
        </w:rPr>
        <w:t>（图4：财政拨款收、支决算总计变动情况）（柱状图）</w:t>
      </w:r>
      <w:bookmarkStart w:id="26" w:name="_Toc15377209"/>
      <w:bookmarkStart w:id="27" w:name="_Toc15396607"/>
    </w:p>
    <w:p>
      <w:pPr>
        <w:pStyle w:val="2"/>
      </w:pPr>
      <w:r>
        <w:rPr>
          <w:rFonts w:hint="eastAsia"/>
        </w:rPr>
        <w:drawing>
          <wp:inline distT="0" distB="0" distL="0" distR="0">
            <wp:extent cx="5274310" cy="3076575"/>
            <wp:effectExtent l="19050" t="0" r="2159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9"/>
          <w:rFonts w:ascii="Times New Roman" w:hAnsi="Times New Roman" w:eastAsia="黑体"/>
          <w:b w:val="0"/>
        </w:rPr>
      </w:pPr>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6"/>
      <w:bookmarkEnd w:id="27"/>
    </w:p>
    <w:p>
      <w:pPr>
        <w:spacing w:line="600" w:lineRule="exact"/>
        <w:ind w:firstLine="642" w:firstLineChars="200"/>
        <w:outlineLvl w:val="2"/>
        <w:rPr>
          <w:rFonts w:eastAsia="楷体_GB2312" w:cs="楷体_GB2312"/>
          <w:b/>
          <w:sz w:val="32"/>
          <w:szCs w:val="32"/>
        </w:rPr>
      </w:pPr>
      <w:bookmarkStart w:id="28" w:name="_Toc15377210"/>
      <w:r>
        <w:rPr>
          <w:rFonts w:hint="eastAsia" w:eastAsia="楷体_GB2312" w:cs="楷体_GB2312"/>
          <w:b/>
          <w:sz w:val="32"/>
          <w:szCs w:val="32"/>
        </w:rPr>
        <w:t>（一）一般公共预算财政拨款支出决算总体情况</w:t>
      </w:r>
      <w:bookmarkEnd w:id="28"/>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2024年度一般公共预算财政拨款支出1710.77万元，占本年支出合计的86.13%。与2023年度相比，一般公共预算财政拨款支出增加43.33万元，增长2.6%。主要变动原因是</w:t>
      </w:r>
      <w:r>
        <w:rPr>
          <w:rFonts w:hint="eastAsia" w:eastAsia="仿宋_GB2312" w:cs="仿宋_GB2312"/>
          <w:sz w:val="32"/>
          <w:szCs w:val="32"/>
        </w:rPr>
        <w:t>2024年新招录公务员，导致费用增加。</w:t>
      </w:r>
    </w:p>
    <w:p>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（图5：一般公共预算财政拨款支出决算变动情况）（柱状图）</w:t>
      </w:r>
    </w:p>
    <w:p>
      <w:pPr>
        <w:pStyle w:val="2"/>
      </w:pPr>
      <w:r>
        <w:drawing>
          <wp:inline distT="0" distB="0" distL="0" distR="0">
            <wp:extent cx="5274310" cy="3076575"/>
            <wp:effectExtent l="19050" t="0" r="2159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eastAsia="楷体_GB2312" w:cs="楷体_GB2312"/>
          <w:b/>
          <w:sz w:val="32"/>
          <w:szCs w:val="32"/>
        </w:rPr>
      </w:pPr>
      <w:bookmarkStart w:id="29" w:name="_Toc15377211"/>
      <w:r>
        <w:rPr>
          <w:rFonts w:hint="eastAsia" w:eastAsia="楷体_GB2312" w:cs="楷体_GB2312"/>
          <w:b/>
          <w:sz w:val="32"/>
          <w:szCs w:val="32"/>
        </w:rPr>
        <w:t>（二）一般公共预算财政拨款支出决算结构情况</w:t>
      </w:r>
      <w:bookmarkEnd w:id="29"/>
    </w:p>
    <w:p>
      <w:pPr>
        <w:spacing w:line="600" w:lineRule="exact"/>
        <w:ind w:firstLine="640"/>
        <w:rPr>
          <w:rFonts w:eastAsia="仿宋_GB2312" w:cs="仿宋_GB2312"/>
          <w:b/>
          <w:bCs/>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1710.77万元</w:t>
      </w:r>
      <w:r>
        <w:rPr>
          <w:rFonts w:hint="eastAsia" w:eastAsia="仿宋_GB2312" w:cs="仿宋_GB2312"/>
          <w:sz w:val="32"/>
          <w:szCs w:val="32"/>
        </w:rPr>
        <w:t>，主要用于以下方面：公共安全支出1399.52万元，占81.81%；社会保障和就业支出135.99万元，占7.95%；卫生健康支出70.13万元，占4.1%；住房保障支出105.12万元，占6.14%。</w:t>
      </w: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（图6：一般公共预算财政拨款支出决算结构）（饼状图）</w:t>
      </w:r>
    </w:p>
    <w:p>
      <w:pPr>
        <w:pStyle w:val="2"/>
      </w:pPr>
      <w:r>
        <w:drawing>
          <wp:inline distT="0" distB="0" distL="0" distR="0">
            <wp:extent cx="5274310" cy="3076575"/>
            <wp:effectExtent l="19050" t="0" r="2159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2" w:firstLineChars="200"/>
        <w:outlineLvl w:val="2"/>
        <w:rPr>
          <w:rFonts w:eastAsia="楷体_GB2312" w:cs="楷体_GB2312"/>
          <w:b/>
          <w:sz w:val="32"/>
          <w:szCs w:val="32"/>
        </w:rPr>
      </w:pPr>
      <w:bookmarkStart w:id="30" w:name="_Toc15377212"/>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（三）一般公共预算财政拨款支出决算具体情况</w:t>
      </w:r>
      <w:bookmarkEnd w:id="30"/>
    </w:p>
    <w:p>
      <w:pPr>
        <w:spacing w:line="600" w:lineRule="exact"/>
        <w:ind w:firstLine="640"/>
        <w:rPr>
          <w:rFonts w:eastAsia="仿宋_GB2312" w:cs="仿宋_GB2312"/>
          <w:sz w:val="32"/>
          <w:szCs w:val="32"/>
        </w:rPr>
      </w:pPr>
      <w:bookmarkStart w:id="31" w:name="_Toc15377444"/>
      <w:bookmarkStart w:id="32" w:name="_Toc15378460"/>
      <w:bookmarkStart w:id="33" w:name="_Toc15377213"/>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1710.77万元，</w:t>
      </w:r>
      <w:r>
        <w:rPr>
          <w:rFonts w:hint="eastAsia" w:eastAsia="仿宋_GB2312" w:cs="仿宋_GB2312"/>
          <w:sz w:val="32"/>
          <w:szCs w:val="32"/>
        </w:rPr>
        <w:t>完成预算100%。其中：</w:t>
      </w:r>
      <w:bookmarkEnd w:id="31"/>
      <w:bookmarkEnd w:id="32"/>
      <w:bookmarkEnd w:id="33"/>
    </w:p>
    <w:p>
      <w:pPr>
        <w:spacing w:line="600" w:lineRule="exact"/>
        <w:ind w:firstLine="640"/>
        <w:rPr>
          <w:rFonts w:eastAsia="仿宋_GB2312" w:cs="仿宋_GB2312"/>
          <w:sz w:val="32"/>
          <w:szCs w:val="32"/>
        </w:rPr>
      </w:pPr>
      <w:r>
        <w:rPr>
          <w:rFonts w:hint="eastAsia" w:eastAsia="仿宋_GB2312" w:cs="仿宋_GB2312"/>
          <w:sz w:val="32"/>
          <w:szCs w:val="32"/>
        </w:rPr>
        <w:t>1.公共安全支出204（类）05（款）01、02、50、99（项）：支出决算为1399.52万元，完成预算100%。</w:t>
      </w:r>
    </w:p>
    <w:p>
      <w:pPr>
        <w:spacing w:line="600" w:lineRule="exact"/>
        <w:ind w:firstLine="640"/>
        <w:rPr>
          <w:rFonts w:eastAsia="仿宋_GB2312" w:cs="仿宋_GB2312"/>
          <w:sz w:val="32"/>
          <w:szCs w:val="32"/>
        </w:rPr>
      </w:pPr>
      <w:r>
        <w:rPr>
          <w:rFonts w:hint="eastAsia" w:eastAsia="仿宋_GB2312" w:cs="仿宋_GB2312"/>
          <w:sz w:val="32"/>
          <w:szCs w:val="32"/>
        </w:rPr>
        <w:t>2. 社会保障和就业支出208（类）05（款）01、05（项）: 支出决算为135.99万元，完成预算100%。</w:t>
      </w:r>
    </w:p>
    <w:p>
      <w:pPr>
        <w:spacing w:line="600" w:lineRule="exact"/>
        <w:ind w:firstLine="640"/>
        <w:rPr>
          <w:rFonts w:eastAsia="仿宋_GB2312" w:cs="仿宋_GB2312"/>
          <w:sz w:val="32"/>
          <w:szCs w:val="32"/>
        </w:rPr>
      </w:pPr>
      <w:r>
        <w:rPr>
          <w:rFonts w:hint="eastAsia" w:eastAsia="仿宋_GB2312" w:cs="仿宋_GB2312"/>
          <w:sz w:val="32"/>
          <w:szCs w:val="32"/>
        </w:rPr>
        <w:t>3. 卫生健康支出210（类）11（款）01、03（项）：支出决算为70.13万元，完成预算100%。</w:t>
      </w:r>
    </w:p>
    <w:p>
      <w:pPr>
        <w:spacing w:line="600" w:lineRule="exact"/>
        <w:ind w:firstLine="640"/>
        <w:rPr>
          <w:rFonts w:eastAsia="仿宋_GB2312" w:cs="仿宋_GB2312"/>
          <w:sz w:val="32"/>
          <w:szCs w:val="32"/>
        </w:rPr>
      </w:pPr>
      <w:r>
        <w:rPr>
          <w:rFonts w:hint="eastAsia" w:eastAsia="仿宋_GB2312" w:cs="仿宋_GB2312"/>
          <w:sz w:val="32"/>
          <w:szCs w:val="32"/>
        </w:rPr>
        <w:t>4. 住房保障支出221（类）02（款）01（项）：支出决算为105.12万元，完成预算100%。</w:t>
      </w:r>
    </w:p>
    <w:p>
      <w:pPr>
        <w:spacing w:line="600" w:lineRule="exact"/>
        <w:ind w:firstLine="640"/>
        <w:rPr>
          <w:rFonts w:eastAsia="仿宋_GB2312" w:cs="仿宋_GB2312"/>
          <w:sz w:val="32"/>
          <w:szCs w:val="32"/>
        </w:rPr>
      </w:pPr>
    </w:p>
    <w:p>
      <w:pPr>
        <w:tabs>
          <w:tab w:val="right" w:pos="8306"/>
        </w:tabs>
        <w:spacing w:line="600" w:lineRule="exact"/>
        <w:ind w:firstLine="640"/>
        <w:outlineLvl w:val="1"/>
        <w:rPr>
          <w:rStyle w:val="29"/>
          <w:rFonts w:ascii="Times New Roman" w:hAnsi="Times New Roman"/>
        </w:rPr>
      </w:pPr>
      <w:bookmarkStart w:id="34" w:name="_Toc15377214"/>
      <w:bookmarkStart w:id="35" w:name="_Toc15396608"/>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34"/>
      <w:bookmarkEnd w:id="35"/>
      <w:r>
        <w:rPr>
          <w:rStyle w:val="29"/>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1345.23万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1174.32万</w:t>
      </w:r>
      <w:r>
        <w:rPr>
          <w:rFonts w:hint="eastAsia" w:eastAsia="仿宋_GB2312" w:cs="仿宋_GB2312"/>
          <w:sz w:val="32"/>
          <w:szCs w:val="32"/>
        </w:rPr>
        <w:t>元，主要包括：基本工资、津贴补贴、奖金、机关事业单位基本养老保险缴费、职工基本医疗保险缴费、公务员医疗补助缴费、他社会保障缴费、住房公积金、其他工资福利支出、抚恤金、生活补助、奖励金等。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170.91万</w:t>
      </w:r>
      <w:r>
        <w:rPr>
          <w:rFonts w:hint="eastAsia" w:eastAsia="仿宋_GB2312" w:cs="仿宋_GB2312"/>
          <w:sz w:val="32"/>
          <w:szCs w:val="32"/>
        </w:rPr>
        <w:t>元，主要包括：办公费、水费、电费、邮电费、差旅费、维修（护）费、培训费、公务接待费、劳务费、工会经费、福利费、公务用车运行维护费、其他交通费、其他商品和服务支出。</w:t>
      </w:r>
    </w:p>
    <w:p>
      <w:pPr>
        <w:spacing w:line="600" w:lineRule="exact"/>
        <w:ind w:firstLine="640"/>
        <w:rPr>
          <w:rFonts w:eastAsia="仿宋_GB2312" w:cs="仿宋_GB2312"/>
          <w:sz w:val="32"/>
          <w:szCs w:val="32"/>
        </w:rPr>
      </w:pPr>
    </w:p>
    <w:p>
      <w:pPr>
        <w:spacing w:line="600" w:lineRule="exact"/>
        <w:ind w:firstLine="640"/>
        <w:outlineLvl w:val="1"/>
        <w:rPr>
          <w:rStyle w:val="29"/>
          <w:rFonts w:ascii="Times New Roman" w:hAnsi="Times New Roman" w:eastAsia="黑体"/>
          <w:b w:val="0"/>
        </w:rPr>
      </w:pPr>
      <w:bookmarkStart w:id="36" w:name="_Toc15377215"/>
      <w:bookmarkStart w:id="37" w:name="_Toc15396609"/>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6"/>
      <w:bookmarkEnd w:id="37"/>
    </w:p>
    <w:p>
      <w:pPr>
        <w:spacing w:line="600" w:lineRule="exact"/>
        <w:ind w:firstLine="642" w:firstLineChars="200"/>
        <w:outlineLvl w:val="2"/>
        <w:rPr>
          <w:rFonts w:eastAsia="楷体_GB2312" w:cs="楷体_GB2312"/>
          <w:b/>
          <w:sz w:val="32"/>
          <w:szCs w:val="32"/>
        </w:rPr>
      </w:pPr>
      <w:bookmarkStart w:id="38" w:name="_Toc15377216"/>
      <w:r>
        <w:rPr>
          <w:rFonts w:hint="eastAsia" w:eastAsia="楷体_GB2312" w:cs="楷体_GB2312"/>
          <w:b/>
          <w:sz w:val="32"/>
          <w:szCs w:val="32"/>
        </w:rPr>
        <w:t>（一）“三公”经费财政拨款支出决算总体情况说明</w:t>
      </w:r>
      <w:bookmarkEnd w:id="38"/>
    </w:p>
    <w:p>
      <w:pPr>
        <w:spacing w:line="600" w:lineRule="exact"/>
        <w:ind w:firstLine="640"/>
        <w:rPr>
          <w:rFonts w:eastAsia="仿宋_GB2312" w:cs="仿宋_GB2312"/>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15.43万元，完成预算100%，</w:t>
      </w:r>
      <w:r>
        <w:rPr>
          <w:rFonts w:hint="eastAsia" w:eastAsia="仿宋_GB2312" w:cs="仿宋_GB2312"/>
          <w:sz w:val="32"/>
          <w:szCs w:val="32"/>
        </w:rPr>
        <w:t>较上年度增加0.05万元，增长0.33%。决算数小于预算数的主要原因是公务接待费未使用完。</w:t>
      </w:r>
    </w:p>
    <w:p>
      <w:pPr>
        <w:spacing w:line="600" w:lineRule="exact"/>
        <w:ind w:firstLine="642" w:firstLineChars="200"/>
        <w:outlineLvl w:val="2"/>
        <w:rPr>
          <w:rFonts w:eastAsia="楷体_GB2312" w:cs="楷体_GB2312"/>
          <w:b/>
          <w:sz w:val="32"/>
          <w:szCs w:val="32"/>
        </w:rPr>
      </w:pPr>
      <w:bookmarkStart w:id="39" w:name="_Toc15377217"/>
      <w:r>
        <w:rPr>
          <w:rFonts w:hint="eastAsia" w:eastAsia="楷体_GB2312" w:cs="楷体_GB2312"/>
          <w:b/>
          <w:sz w:val="32"/>
          <w:szCs w:val="32"/>
        </w:rPr>
        <w:t>（二）“三公”经费财政拨款支出决算具体情况说明</w:t>
      </w:r>
      <w:bookmarkEnd w:id="39"/>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2024年度“三公”经费财政拨款支出决算中，因公出国（境）费支出决算0万元，占0%；公务用车购置及运行维护费支出决算14.94万元，占96.82%；公务接待费支出决算0.49万元，占3.18%。具体情况如下：</w:t>
      </w:r>
    </w:p>
    <w:p>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（图7：“三公”经费财政拨款支出结构）（饼状图）</w:t>
      </w:r>
    </w:p>
    <w:p>
      <w:pPr>
        <w:pStyle w:val="2"/>
      </w:pPr>
      <w:r>
        <w:drawing>
          <wp:inline distT="0" distB="0" distL="0" distR="0">
            <wp:extent cx="5274310" cy="3076575"/>
            <wp:effectExtent l="19050" t="0" r="2159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。因公出国（境）支出决算与2023年持平。</w:t>
      </w:r>
    </w:p>
    <w:p>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14.94万</w:t>
      </w:r>
      <w:r>
        <w:rPr>
          <w:rFonts w:hint="eastAsia" w:eastAsia="仿宋_GB2312" w:cs="仿宋_GB2312"/>
          <w:b/>
          <w:bCs/>
          <w:sz w:val="32"/>
          <w:szCs w:val="32"/>
        </w:rPr>
        <w:t>元，完成预算94.08%。</w:t>
      </w:r>
      <w:r>
        <w:rPr>
          <w:rFonts w:hint="eastAsia" w:eastAsia="仿宋_GB2312" w:cs="仿宋_GB2312"/>
          <w:sz w:val="32"/>
          <w:szCs w:val="32"/>
        </w:rPr>
        <w:t>公务用车购置及运行维护费支出决算比2023年度增加1.06万元，增长7.64%。主要原因是部分车辆老化严重，维修费增加。</w:t>
      </w:r>
    </w:p>
    <w:p>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万元。全年按规定更新购置公务用车0辆，其中：轿车0辆、金额0万元，越野车0辆、金额0万元，载客汽车0辆、金额0万元。截至2024年12月31日，单位共有公务用车10辆，其中：轿车6辆、越野车2辆、载客汽车1辆。</w:t>
      </w:r>
    </w:p>
    <w:p>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出14.94</w:t>
      </w:r>
      <w:r>
        <w:rPr>
          <w:rFonts w:hint="eastAsia" w:eastAsia="仿宋_GB2312" w:cs="仿宋_GB2312"/>
          <w:sz w:val="32"/>
          <w:szCs w:val="32"/>
        </w:rPr>
        <w:t>万元。主要用于审判办案所需的公务用车燃料费、维修费、过路过桥费、保险费等支出。</w:t>
      </w:r>
    </w:p>
    <w:p>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0.49万</w:t>
      </w:r>
      <w:r>
        <w:rPr>
          <w:rFonts w:hint="eastAsia" w:eastAsia="仿宋_GB2312" w:cs="仿宋_GB2312"/>
          <w:b/>
          <w:bCs/>
          <w:sz w:val="32"/>
          <w:szCs w:val="32"/>
        </w:rPr>
        <w:t>元，完成预算23.33%。</w:t>
      </w:r>
      <w:r>
        <w:rPr>
          <w:rFonts w:hint="eastAsia" w:eastAsia="仿宋_GB2312" w:cs="仿宋_GB2312"/>
          <w:sz w:val="32"/>
          <w:szCs w:val="32"/>
        </w:rPr>
        <w:t>公务接待费支出决算比2023年度减少1.05万元，下降68.18%。主要原因是2024年接待任务较少。其中：</w:t>
      </w:r>
    </w:p>
    <w:p>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出0.49万</w:t>
      </w:r>
      <w:r>
        <w:rPr>
          <w:rFonts w:hint="eastAsia" w:eastAsia="仿宋_GB2312" w:cs="仿宋_GB2312"/>
          <w:sz w:val="32"/>
          <w:szCs w:val="32"/>
        </w:rPr>
        <w:t>元，主要用于执行公务、开展业务活动开支的交通费等。国内公务接</w:t>
      </w:r>
      <w:r>
        <w:rPr>
          <w:rFonts w:hint="eastAsia" w:ascii="仿宋_GB2312" w:hAnsi="仿宋_GB2312" w:eastAsia="仿宋_GB2312" w:cs="仿宋_GB2312"/>
          <w:sz w:val="32"/>
          <w:szCs w:val="32"/>
        </w:rPr>
        <w:t>待4批次，33</w:t>
      </w:r>
      <w:r>
        <w:rPr>
          <w:rFonts w:hint="eastAsia" w:eastAsia="仿宋_GB2312" w:cs="仿宋_GB2312"/>
          <w:sz w:val="32"/>
          <w:szCs w:val="32"/>
        </w:rPr>
        <w:t>人次（不包括陪同人员），共计支出0.49万元，具体内容包括接待省法院调研督导工作1377元，接待省高院行政庭到我院查卷、询问当事人934元，接待省高院到我院开展执行案款管理专项政治调研督导工作2039元，接待省高院到我院参加主题教育专题民主生活会530元。</w:t>
      </w:r>
    </w:p>
    <w:p>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出0万元。外事接待0批次，0人次（不包括陪同人员），共计支出0万</w:t>
      </w:r>
      <w:r>
        <w:rPr>
          <w:rFonts w:hint="eastAsia" w:eastAsia="仿宋_GB2312" w:cs="仿宋_GB2312"/>
          <w:sz w:val="32"/>
          <w:szCs w:val="32"/>
        </w:rPr>
        <w:t>元。</w:t>
      </w:r>
    </w:p>
    <w:p>
      <w:pPr>
        <w:spacing w:line="600" w:lineRule="exact"/>
        <w:ind w:firstLine="640"/>
        <w:rPr>
          <w:rFonts w:eastAsia="仿宋_GB2312" w:cs="仿宋_GB2312"/>
          <w:sz w:val="32"/>
          <w:szCs w:val="32"/>
        </w:rPr>
      </w:pPr>
      <w:bookmarkStart w:id="40" w:name="_Toc15396610"/>
      <w:bookmarkStart w:id="41" w:name="_Toc15377218"/>
    </w:p>
    <w:p>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40"/>
      <w:bookmarkEnd w:id="41"/>
    </w:p>
    <w:p>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2024年度政府性基金预算财政拨款支出0万元。</w:t>
      </w:r>
    </w:p>
    <w:p>
      <w:pPr>
        <w:spacing w:line="600" w:lineRule="exact"/>
        <w:ind w:firstLine="640"/>
        <w:rPr>
          <w:rFonts w:eastAsia="仿宋_GB2312" w:cs="仿宋_GB2312"/>
          <w:sz w:val="32"/>
          <w:szCs w:val="32"/>
        </w:rPr>
      </w:pPr>
    </w:p>
    <w:p>
      <w:pPr>
        <w:spacing w:line="600" w:lineRule="exact"/>
        <w:ind w:left="630"/>
        <w:outlineLvl w:val="1"/>
        <w:rPr>
          <w:rStyle w:val="29"/>
          <w:rFonts w:ascii="Times New Roman" w:hAnsi="Times New Roman" w:eastAsia="黑体"/>
          <w:b w:val="0"/>
        </w:rPr>
      </w:pPr>
      <w:bookmarkStart w:id="42" w:name="_Toc15396611"/>
      <w:bookmarkStart w:id="43" w:name="_Toc15377219"/>
      <w:r>
        <w:rPr>
          <w:rStyle w:val="29"/>
          <w:rFonts w:hint="eastAsia" w:ascii="Times New Roman" w:hAnsi="Times New Roman" w:eastAsia="黑体"/>
          <w:b w:val="0"/>
        </w:rPr>
        <w:t>九、国有资本经营预算支出决算情况说明</w:t>
      </w:r>
      <w:bookmarkEnd w:id="42"/>
      <w:bookmarkEnd w:id="43"/>
    </w:p>
    <w:p>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p>
    <w:p>
      <w:pPr>
        <w:spacing w:line="600" w:lineRule="exact"/>
        <w:ind w:firstLine="640"/>
        <w:rPr>
          <w:rFonts w:eastAsia="仿宋_GB2312" w:cs="仿宋_GB2312"/>
          <w:sz w:val="32"/>
          <w:szCs w:val="32"/>
        </w:rPr>
      </w:pPr>
    </w:p>
    <w:p>
      <w:pPr>
        <w:spacing w:line="600" w:lineRule="exact"/>
        <w:ind w:left="630"/>
        <w:outlineLvl w:val="1"/>
        <w:rPr>
          <w:rStyle w:val="29"/>
          <w:rFonts w:ascii="Times New Roman" w:hAnsi="Times New Roman" w:eastAsia="黑体"/>
          <w:b w:val="0"/>
        </w:rPr>
      </w:pPr>
      <w:bookmarkStart w:id="44" w:name="_Toc15396612"/>
      <w:bookmarkStart w:id="45" w:name="_Toc15377221"/>
      <w:r>
        <w:rPr>
          <w:rStyle w:val="29"/>
          <w:rFonts w:hint="eastAsia" w:ascii="Times New Roman" w:hAnsi="Times New Roman" w:eastAsia="黑体"/>
          <w:b w:val="0"/>
        </w:rPr>
        <w:t>十、其他重要事项的情况说明</w:t>
      </w:r>
      <w:bookmarkEnd w:id="44"/>
      <w:bookmarkEnd w:id="45"/>
    </w:p>
    <w:p>
      <w:pPr>
        <w:spacing w:line="600" w:lineRule="exact"/>
        <w:ind w:firstLine="642" w:firstLineChars="200"/>
        <w:outlineLvl w:val="2"/>
        <w:rPr>
          <w:rFonts w:eastAsia="楷体_GB2312" w:cs="楷体_GB2312"/>
          <w:b/>
          <w:sz w:val="32"/>
          <w:szCs w:val="32"/>
        </w:rPr>
      </w:pPr>
      <w:bookmarkStart w:id="46" w:name="_Toc15377222"/>
      <w:r>
        <w:rPr>
          <w:rFonts w:hint="eastAsia" w:eastAsia="楷体_GB2312" w:cs="楷体_GB2312"/>
          <w:b/>
          <w:sz w:val="32"/>
          <w:szCs w:val="32"/>
        </w:rPr>
        <w:t>（一）机关运行经费支出情况</w:t>
      </w:r>
      <w:bookmarkEnd w:id="46"/>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，四川省攀枝花市仁和区人民法院机关运行经费支出170.91万</w:t>
      </w:r>
      <w:r>
        <w:rPr>
          <w:rFonts w:hint="eastAsia" w:eastAsia="仿宋_GB2312" w:cs="仿宋_GB2312"/>
          <w:sz w:val="32"/>
          <w:szCs w:val="32"/>
        </w:rPr>
        <w:t>元，比2023年度增加13.01万元，增长8.24%。主要原因是2024年新招录公务员，导致经费增加。</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47" w:name="_Toc15377223"/>
      <w:r>
        <w:rPr>
          <w:rFonts w:hint="eastAsia" w:eastAsia="楷体_GB2312" w:cs="楷体_GB2312"/>
          <w:b/>
          <w:sz w:val="32"/>
          <w:szCs w:val="32"/>
        </w:rPr>
        <w:t>（二）政府采购支出情况</w:t>
      </w:r>
      <w:bookmarkEnd w:id="47"/>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四川省攀枝花市仁和区人民法院政府采购支出总额90.88万元，其中：政府采购货物支出12.98万元、政府采购工程支出0万元、政府采购服务支出77.9万元。主要用于行政审判工作。授予中小企业合同金额21.36万元，占政府采购支出总额的23.5%，其中：授予小微企业合同金额15.16万元，占政府采购支出总额的16.68%。</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48" w:name="_Toc15377224"/>
      <w:r>
        <w:rPr>
          <w:rFonts w:hint="eastAsia" w:eastAsia="楷体_GB2312" w:cs="楷体_GB2312"/>
          <w:b/>
          <w:sz w:val="32"/>
          <w:szCs w:val="32"/>
        </w:rPr>
        <w:t>（三）国有资产占有使用情况</w:t>
      </w:r>
      <w:bookmarkEnd w:id="48"/>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仁和区人民法院共有车辆10辆，其中：主要负责人用车0辆、机要通信用车0辆、应急保障用车0辆、其他用车10辆，其他用车主要是用于日常工作。单价100万元（含）以上设备（不含车辆）0台（套）</w:t>
      </w:r>
      <w:r>
        <w:rPr>
          <w:rFonts w:hint="eastAsia" w:eastAsia="仿宋_GB2312" w:cs="仿宋_GB2312"/>
          <w:sz w:val="32"/>
          <w:szCs w:val="32"/>
        </w:rPr>
        <w:t>。</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根据预算绩效管理要求，本单位在2024年度预算编制阶段，组织对人民陪审员、司法救助等2个项目开展了预算事前绩效评估，对2个项目编制了绩效目标，预算执行过程中，选取2个项目开展绩效监控。</w:t>
      </w:r>
    </w:p>
    <w:p>
      <w:pPr>
        <w:pStyle w:val="3"/>
        <w:ind w:left="420"/>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pStyle w:val="2"/>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spacing w:line="600" w:lineRule="exact"/>
        <w:jc w:val="center"/>
        <w:outlineLvl w:val="0"/>
        <w:rPr>
          <w:rFonts w:eastAsia="黑体"/>
          <w:sz w:val="44"/>
          <w:szCs w:val="44"/>
        </w:rPr>
      </w:pPr>
      <w:bookmarkStart w:id="49" w:name="_Toc15377225"/>
      <w:bookmarkStart w:id="50" w:name="_Toc15396613"/>
      <w:r>
        <w:rPr>
          <w:rFonts w:hint="eastAsia" w:eastAsia="黑体"/>
          <w:sz w:val="44"/>
          <w:szCs w:val="44"/>
        </w:rPr>
        <w:t>第三部分  名词解释</w:t>
      </w:r>
      <w:bookmarkEnd w:id="49"/>
      <w:bookmarkEnd w:id="50"/>
    </w:p>
    <w:p>
      <w:pPr>
        <w:spacing w:line="600" w:lineRule="exact"/>
        <w:jc w:val="left"/>
        <w:rPr>
          <w:b/>
          <w:sz w:val="44"/>
          <w:szCs w:val="44"/>
        </w:rPr>
      </w:pPr>
    </w:p>
    <w:p>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bookmarkStart w:id="51" w:name="_Toc15377226"/>
      <w:r>
        <w:rPr>
          <w:rFonts w:ascii="仿宋_GB2312" w:eastAsia="仿宋_GB2312" w:cs="仿宋"/>
          <w:color w:val="000000"/>
          <w:kern w:val="0"/>
          <w:sz w:val="32"/>
          <w:szCs w:val="32"/>
        </w:rPr>
        <w:t>1.</w:t>
      </w:r>
      <w:r>
        <w:rPr>
          <w:rFonts w:hint="eastAsia" w:ascii="仿宋_GB2312" w:eastAsia="仿宋_GB2312" w:cs="仿宋"/>
          <w:color w:val="000000"/>
          <w:kern w:val="0"/>
          <w:sz w:val="32"/>
          <w:szCs w:val="32"/>
        </w:rPr>
        <w:t xml:space="preserve"> 财政拨款收入：指单位从同级财政部门取得的财政预算资金。</w:t>
      </w:r>
    </w:p>
    <w:p>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2</w:t>
      </w:r>
      <w:r>
        <w:rPr>
          <w:rFonts w:ascii="仿宋_GB2312" w:eastAsia="仿宋_GB2312" w:cs="仿宋"/>
          <w:color w:val="000000"/>
          <w:kern w:val="0"/>
          <w:sz w:val="32"/>
          <w:szCs w:val="32"/>
        </w:rPr>
        <w:t>.</w:t>
      </w:r>
      <w:r>
        <w:rPr>
          <w:rFonts w:hint="eastAsia" w:ascii="仿宋_GB2312" w:eastAsia="仿宋_GB2312" w:cs="仿宋"/>
          <w:color w:val="000000"/>
          <w:kern w:val="0"/>
          <w:sz w:val="32"/>
          <w:szCs w:val="32"/>
        </w:rPr>
        <w:t xml:space="preserve"> 其他收入：指单位取得的除上述收入以外的各项收入。主要是银行存款利息等。</w:t>
      </w:r>
    </w:p>
    <w:p>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3</w:t>
      </w:r>
      <w:r>
        <w:rPr>
          <w:rFonts w:ascii="仿宋_GB2312" w:eastAsia="仿宋_GB2312" w:cs="仿宋"/>
          <w:color w:val="000000"/>
          <w:kern w:val="0"/>
          <w:sz w:val="32"/>
          <w:szCs w:val="32"/>
        </w:rPr>
        <w:t>.</w:t>
      </w:r>
      <w:r>
        <w:rPr>
          <w:rFonts w:hint="eastAsia" w:ascii="仿宋_GB2312" w:eastAsia="仿宋_GB2312" w:cs="仿宋"/>
          <w:color w:val="000000"/>
          <w:kern w:val="0"/>
          <w:sz w:val="32"/>
          <w:szCs w:val="32"/>
        </w:rPr>
        <w:t xml:space="preserve"> 年初结转和结余：指以前年度尚未完成、结转到本年按有关规定继续使用的资金。</w:t>
      </w:r>
    </w:p>
    <w:p>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4. 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 xml:space="preserve"> 公共安全204（类）05（款）01（项）：指行政单位的基本支出。</w:t>
      </w:r>
    </w:p>
    <w:p>
      <w:pPr>
        <w:ind w:firstLine="640" w:firstLineChars="200"/>
        <w:rPr>
          <w:rFonts w:ascii="仿宋_GB2312" w:eastAsia="仿宋_GB2312"/>
          <w:color w:val="000000"/>
          <w:sz w:val="32"/>
          <w:szCs w:val="32"/>
        </w:rPr>
      </w:pPr>
      <w:r>
        <w:rPr>
          <w:rFonts w:hint="eastAsia"/>
          <w:color w:val="000000"/>
          <w:sz w:val="32"/>
          <w:szCs w:val="32"/>
        </w:rPr>
        <w:t xml:space="preserve">6. </w:t>
      </w:r>
      <w:r>
        <w:rPr>
          <w:rFonts w:hint="eastAsia" w:ascii="仿宋_GB2312" w:eastAsia="仿宋_GB2312"/>
          <w:color w:val="000000"/>
          <w:sz w:val="32"/>
          <w:szCs w:val="32"/>
        </w:rPr>
        <w:t>公共安全204（类）05（款）02（项）：指行政单位的项目支出。</w:t>
      </w:r>
    </w:p>
    <w:p>
      <w:pPr>
        <w:ind w:firstLine="640" w:firstLineChars="200"/>
        <w:rPr>
          <w:rFonts w:eastAsia="仿宋_GB2312"/>
        </w:rPr>
      </w:pPr>
      <w:r>
        <w:rPr>
          <w:rFonts w:hint="eastAsia"/>
          <w:color w:val="000000"/>
          <w:sz w:val="32"/>
          <w:szCs w:val="32"/>
        </w:rPr>
        <w:t xml:space="preserve">7. </w:t>
      </w:r>
      <w:r>
        <w:rPr>
          <w:rFonts w:hint="eastAsia" w:ascii="仿宋_GB2312" w:eastAsia="仿宋_GB2312"/>
          <w:color w:val="000000"/>
          <w:sz w:val="32"/>
          <w:szCs w:val="32"/>
        </w:rPr>
        <w:t>公共安全204（类）05（款）99（项）：指行政单位的其他项目支出。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 xml:space="preserve"> 社会保障和就业208（类）05（款）01（项）：指实行归口管理的行政单位开支的退休费。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 xml:space="preserve"> 社会保障和就业208（类）05（款）05（项）：指反映机关事业单位实施养老保险制度由单位缴纳的基本养老保险。</w:t>
      </w:r>
    </w:p>
    <w:p>
      <w:pPr>
        <w:autoSpaceDE w:val="0"/>
        <w:autoSpaceDN w:val="0"/>
        <w:adjustRightInd w:val="0"/>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10. 社会保障和就业208（类）05（款）06（项）：指反映机关事业单位缴纳的职业年金。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 卫生健康210（类）11（款）01（项）：指财政部门集中安排的行政单位的基本医疗保险缴费经费。</w:t>
      </w:r>
    </w:p>
    <w:p>
      <w:pPr>
        <w:numPr>
          <w:ilvl w:val="0"/>
          <w:numId w:val="2"/>
        </w:num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卫生健康210（类）11（款）03（项）：指财政部门集中安排的行政单位的公务员医疗补助缴费。</w:t>
      </w:r>
    </w:p>
    <w:p>
      <w:pPr>
        <w:pStyle w:val="8"/>
        <w:numPr>
          <w:ilvl w:val="0"/>
          <w:numId w:val="2"/>
        </w:numPr>
        <w:spacing w:before="93"/>
        <w:ind w:firstLine="640" w:firstLineChars="200"/>
        <w:rPr>
          <w:color w:val="000000"/>
          <w:sz w:val="32"/>
          <w:szCs w:val="32"/>
        </w:rPr>
      </w:pPr>
      <w:r>
        <w:rPr>
          <w:rFonts w:hint="eastAsia"/>
          <w:color w:val="000000"/>
          <w:sz w:val="32"/>
          <w:szCs w:val="32"/>
        </w:rPr>
        <w:t>城乡社区212（类）08（款）02（项）：指反映不含计提和划转部分的国有土地使用权出让收入及对应专项债务收入安排的支出。</w:t>
      </w:r>
    </w:p>
    <w:p>
      <w:pPr>
        <w:pStyle w:val="8"/>
        <w:numPr>
          <w:ilvl w:val="0"/>
          <w:numId w:val="2"/>
        </w:numPr>
        <w:spacing w:before="93"/>
        <w:ind w:firstLine="640" w:firstLineChars="200"/>
        <w:rPr>
          <w:color w:val="000000"/>
          <w:sz w:val="32"/>
          <w:szCs w:val="32"/>
        </w:rPr>
      </w:pPr>
      <w:r>
        <w:rPr>
          <w:rFonts w:hint="eastAsia"/>
          <w:color w:val="000000"/>
          <w:sz w:val="32"/>
          <w:szCs w:val="32"/>
        </w:rPr>
        <w:t>住房保障支出221（类）02（款）01（项）：指住房改革支出—住房公积金支出。</w:t>
      </w:r>
    </w:p>
    <w:p>
      <w:pPr>
        <w:numPr>
          <w:ilvl w:val="0"/>
          <w:numId w:val="2"/>
        </w:numPr>
        <w:suppressAutoHyphens/>
        <w:ind w:firstLine="64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numPr>
          <w:ilvl w:val="0"/>
          <w:numId w:val="2"/>
        </w:numPr>
        <w:suppressAutoHyphens/>
        <w:ind w:firstLine="64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numPr>
          <w:ilvl w:val="0"/>
          <w:numId w:val="2"/>
        </w:numPr>
        <w:suppressAutoHyphens/>
        <w:ind w:firstLine="64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pStyle w:val="26"/>
        <w:numPr>
          <w:ilvl w:val="0"/>
          <w:numId w:val="2"/>
        </w:num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numPr>
          <w:ilvl w:val="0"/>
          <w:numId w:val="2"/>
        </w:numPr>
        <w:spacing w:line="560" w:lineRule="exact"/>
        <w:ind w:firstLine="640"/>
        <w:rPr>
          <w:rFonts w:ascii="仿宋_GB2312" w:eastAsia="仿宋_GB2312"/>
          <w:color w:val="auto"/>
          <w:sz w:val="32"/>
          <w:szCs w:val="32"/>
        </w:rPr>
      </w:pP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eastAsia="黑体"/>
          <w:b w:val="0"/>
        </w:rPr>
      </w:pPr>
      <w:r>
        <w:rPr>
          <w:rFonts w:hint="eastAsia" w:eastAsia="仿宋_GB2312" w:cs="仿宋_GB2312"/>
          <w:sz w:val="32"/>
          <w:szCs w:val="32"/>
        </w:rPr>
        <w:br w:type="page"/>
      </w:r>
      <w:bookmarkStart w:id="52" w:name="_Toc15396614"/>
      <w:r>
        <w:rPr>
          <w:rFonts w:hint="eastAsia" w:eastAsia="黑体"/>
          <w:sz w:val="44"/>
          <w:szCs w:val="44"/>
        </w:rPr>
        <w:t>第四部分  附件</w:t>
      </w:r>
      <w:bookmarkEnd w:id="52"/>
    </w:p>
    <w:p>
      <w:pPr>
        <w:spacing w:line="572" w:lineRule="exact"/>
        <w:jc w:val="left"/>
        <w:outlineLvl w:val="0"/>
        <w:rPr>
          <w:rFonts w:eastAsia="黑体" w:cs="黑体"/>
          <w:color w:val="FF0000"/>
          <w:sz w:val="32"/>
          <w:szCs w:val="32"/>
        </w:rPr>
      </w:pPr>
    </w:p>
    <w:p>
      <w:pPr>
        <w:spacing w:line="600" w:lineRule="exact"/>
        <w:jc w:val="center"/>
        <w:outlineLvl w:val="0"/>
        <w:rPr>
          <w:rFonts w:ascii="黑体" w:hAnsi="黑体" w:eastAsia="黑体"/>
          <w:color w:val="FF0000"/>
          <w:sz w:val="44"/>
          <w:szCs w:val="44"/>
        </w:rPr>
      </w:pPr>
      <w:r>
        <w:rPr>
          <w:rFonts w:hint="eastAsia"/>
          <w:sz w:val="32"/>
          <w:szCs w:val="32"/>
        </w:rPr>
        <w:t>部门预算项目支出绩效自评表（2024年度）</w:t>
      </w:r>
    </w:p>
    <w:p>
      <w:pPr>
        <w:widowControl/>
        <w:jc w:val="center"/>
        <w:rPr>
          <w:rFonts w:eastAsia="仿宋_GB2312" w:cs="仿宋_GB2312"/>
          <w:kern w:val="0"/>
          <w:sz w:val="32"/>
          <w:szCs w:val="32"/>
        </w:rPr>
      </w:pPr>
      <w:bookmarkStart w:id="53" w:name="_Toc15396618"/>
      <w:r>
        <w:rPr>
          <w:rFonts w:hint="eastAsia" w:ascii="宋体" w:cs="宋体" w:hAnsiTheme="minorHAnsi"/>
          <w:kern w:val="0"/>
          <w:sz w:val="18"/>
          <w:szCs w:val="18"/>
          <w:lang w:val="zh-CN"/>
        </w:rPr>
        <w:object>
          <v:shape id="_x0000_i1025" o:spt="75" type="#_x0000_t75" style="height:388.8pt;width:478.35pt;" o:ole="t" filled="f" o:preferrelative="t" stroked="f" coordsize="21600,21600">
            <v:path/>
            <v:fill on="f" focussize="0,0"/>
            <v:stroke on="f" joinstyle="miter"/>
            <v:imagedata r:id="rId15" o:title=""/>
            <o:lock v:ext="edit" aspectratio="t"/>
            <w10:wrap type="none"/>
            <w10:anchorlock/>
          </v:shape>
          <o:OLEObject Type="Embed" ProgID="Picture.PicObj.1" ShapeID="_x0000_i1025" DrawAspect="Content" ObjectID="_1468075725" r:id="rId14">
            <o:LockedField>false</o:LockedField>
          </o:OLEObject>
        </w:object>
      </w: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仿宋"/>
        </w:rPr>
      </w:pPr>
      <w:r>
        <w:rPr>
          <w:rFonts w:hint="eastAsia" w:eastAsia="黑体"/>
          <w:sz w:val="44"/>
          <w:szCs w:val="44"/>
        </w:rPr>
        <w:t>第</w:t>
      </w:r>
      <w:r>
        <w:rPr>
          <w:rStyle w:val="28"/>
          <w:rFonts w:hint="eastAsia" w:eastAsia="黑体"/>
          <w:b w:val="0"/>
        </w:rPr>
        <w:t>五部分 附表</w:t>
      </w:r>
      <w:bookmarkEnd w:id="51"/>
      <w:bookmarkEnd w:id="53"/>
      <w:bookmarkStart w:id="54" w:name="_Toc15396619"/>
    </w:p>
    <w:p>
      <w:pPr>
        <w:pStyle w:val="14"/>
        <w:adjustRightInd w:val="0"/>
        <w:snapToGrid w:val="0"/>
        <w:spacing w:line="560" w:lineRule="exact"/>
        <w:jc w:val="left"/>
        <w:rPr>
          <w:rFonts w:eastAsia="仿宋_GB2312" w:cs="仿宋_GB2312"/>
          <w:sz w:val="32"/>
          <w:szCs w:val="32"/>
        </w:rPr>
      </w:pPr>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4"/>
    </w:p>
    <w:p>
      <w:pPr>
        <w:pStyle w:val="14"/>
        <w:adjustRightInd w:val="0"/>
        <w:snapToGrid w:val="0"/>
        <w:spacing w:line="560" w:lineRule="exact"/>
        <w:jc w:val="left"/>
        <w:rPr>
          <w:rFonts w:eastAsia="仿宋_GB2312" w:cs="仿宋_GB2312"/>
          <w:sz w:val="32"/>
          <w:szCs w:val="32"/>
        </w:rPr>
      </w:pPr>
      <w:bookmarkStart w:id="55" w:name="_Toc15396620"/>
      <w:r>
        <w:rPr>
          <w:rFonts w:hint="eastAsia" w:eastAsia="仿宋_GB2312" w:cs="仿宋_GB2312"/>
          <w:sz w:val="32"/>
          <w:szCs w:val="32"/>
        </w:rPr>
        <w:t>二、收入决算表</w:t>
      </w:r>
      <w:bookmarkEnd w:id="55"/>
    </w:p>
    <w:p>
      <w:pPr>
        <w:pStyle w:val="14"/>
        <w:adjustRightInd w:val="0"/>
        <w:snapToGrid w:val="0"/>
        <w:spacing w:line="560" w:lineRule="exact"/>
        <w:jc w:val="left"/>
        <w:rPr>
          <w:rFonts w:eastAsia="仿宋_GB2312" w:cs="仿宋_GB2312"/>
          <w:sz w:val="32"/>
          <w:szCs w:val="32"/>
        </w:rPr>
      </w:pPr>
      <w:bookmarkStart w:id="56" w:name="_Toc15396621"/>
      <w:r>
        <w:rPr>
          <w:rFonts w:hint="eastAsia" w:eastAsia="仿宋_GB2312" w:cs="仿宋_GB2312"/>
          <w:sz w:val="32"/>
          <w:szCs w:val="32"/>
        </w:rPr>
        <w:t>三、支出决算表</w:t>
      </w:r>
      <w:bookmarkEnd w:id="56"/>
    </w:p>
    <w:p>
      <w:pPr>
        <w:pStyle w:val="14"/>
        <w:adjustRightInd w:val="0"/>
        <w:snapToGrid w:val="0"/>
        <w:spacing w:line="560" w:lineRule="exact"/>
        <w:jc w:val="left"/>
        <w:rPr>
          <w:rFonts w:eastAsia="仿宋_GB2312" w:cs="仿宋_GB2312"/>
          <w:sz w:val="32"/>
          <w:szCs w:val="32"/>
        </w:rPr>
      </w:pPr>
      <w:bookmarkStart w:id="57" w:name="_Toc15396622"/>
      <w:r>
        <w:rPr>
          <w:rFonts w:hint="eastAsia" w:eastAsia="仿宋_GB2312" w:cs="仿宋_GB2312"/>
          <w:sz w:val="32"/>
          <w:szCs w:val="32"/>
        </w:rPr>
        <w:t>四、财政拨款收入支出决算总表</w:t>
      </w:r>
      <w:bookmarkEnd w:id="57"/>
    </w:p>
    <w:p>
      <w:pPr>
        <w:pStyle w:val="14"/>
        <w:adjustRightInd w:val="0"/>
        <w:snapToGrid w:val="0"/>
        <w:spacing w:line="560" w:lineRule="exact"/>
        <w:jc w:val="left"/>
        <w:rPr>
          <w:rFonts w:eastAsia="仿宋_GB2312" w:cs="仿宋_GB2312"/>
          <w:sz w:val="32"/>
          <w:szCs w:val="32"/>
        </w:rPr>
      </w:pPr>
      <w:bookmarkStart w:id="58" w:name="_Toc15396623"/>
      <w:r>
        <w:rPr>
          <w:rFonts w:hint="eastAsia" w:eastAsia="仿宋_GB2312" w:cs="仿宋_GB2312"/>
          <w:sz w:val="32"/>
          <w:szCs w:val="32"/>
        </w:rPr>
        <w:t>五、财政拨款支出决算明细表</w:t>
      </w:r>
      <w:bookmarkEnd w:id="58"/>
      <w:bookmarkStart w:id="59" w:name="_Toc15396624"/>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9"/>
    </w:p>
    <w:p>
      <w:pPr>
        <w:pStyle w:val="14"/>
        <w:adjustRightInd w:val="0"/>
        <w:snapToGrid w:val="0"/>
        <w:spacing w:line="560" w:lineRule="exact"/>
        <w:jc w:val="left"/>
        <w:rPr>
          <w:rFonts w:eastAsia="仿宋_GB2312" w:cs="仿宋_GB2312"/>
          <w:sz w:val="32"/>
          <w:szCs w:val="32"/>
        </w:rPr>
      </w:pPr>
      <w:bookmarkStart w:id="60" w:name="_Toc15396625"/>
      <w:r>
        <w:rPr>
          <w:rFonts w:hint="eastAsia" w:eastAsia="仿宋_GB2312" w:cs="仿宋_GB2312"/>
          <w:sz w:val="32"/>
          <w:szCs w:val="32"/>
        </w:rPr>
        <w:t>七、一般公共预算财政拨款支出决算明细表</w:t>
      </w:r>
      <w:bookmarkEnd w:id="60"/>
    </w:p>
    <w:p>
      <w:pPr>
        <w:pStyle w:val="14"/>
        <w:adjustRightInd w:val="0"/>
        <w:snapToGrid w:val="0"/>
        <w:spacing w:line="560" w:lineRule="exact"/>
        <w:jc w:val="left"/>
        <w:rPr>
          <w:rFonts w:eastAsia="仿宋_GB2312" w:cs="仿宋_GB2312"/>
          <w:sz w:val="32"/>
          <w:szCs w:val="32"/>
        </w:rPr>
      </w:pPr>
      <w:bookmarkStart w:id="61" w:name="_Toc15396626"/>
      <w:r>
        <w:rPr>
          <w:rFonts w:hint="eastAsia" w:eastAsia="仿宋_GB2312" w:cs="仿宋_GB2312"/>
          <w:sz w:val="32"/>
          <w:szCs w:val="32"/>
        </w:rPr>
        <w:t>八、一般公共预算财政拨款基本支出决算表</w:t>
      </w:r>
      <w:bookmarkEnd w:id="61"/>
    </w:p>
    <w:p>
      <w:pPr>
        <w:pStyle w:val="14"/>
        <w:adjustRightInd w:val="0"/>
        <w:snapToGrid w:val="0"/>
        <w:spacing w:line="560" w:lineRule="exact"/>
        <w:jc w:val="left"/>
        <w:rPr>
          <w:rFonts w:eastAsia="仿宋_GB2312" w:cs="仿宋_GB2312"/>
          <w:sz w:val="32"/>
          <w:szCs w:val="32"/>
        </w:rPr>
      </w:pPr>
      <w:bookmarkStart w:id="62" w:name="_Toc15396627"/>
      <w:r>
        <w:rPr>
          <w:rFonts w:hint="eastAsia" w:eastAsia="仿宋_GB2312" w:cs="仿宋_GB2312"/>
          <w:sz w:val="32"/>
          <w:szCs w:val="32"/>
        </w:rPr>
        <w:t>九、一般公共预算财政拨款项目支出决算表</w:t>
      </w:r>
      <w:bookmarkEnd w:id="62"/>
    </w:p>
    <w:p>
      <w:pPr>
        <w:pStyle w:val="14"/>
        <w:adjustRightInd w:val="0"/>
        <w:snapToGrid w:val="0"/>
        <w:spacing w:line="560" w:lineRule="exact"/>
        <w:jc w:val="left"/>
        <w:rPr>
          <w:rFonts w:eastAsia="仿宋_GB2312" w:cs="仿宋_GB2312"/>
          <w:sz w:val="32"/>
          <w:szCs w:val="32"/>
        </w:rPr>
      </w:pPr>
      <w:bookmarkStart w:id="63" w:name="_Toc15396628"/>
      <w:r>
        <w:rPr>
          <w:rFonts w:hint="eastAsia" w:eastAsia="仿宋_GB2312" w:cs="仿宋_GB2312"/>
          <w:sz w:val="32"/>
          <w:szCs w:val="32"/>
        </w:rPr>
        <w:t>十、</w:t>
      </w:r>
      <w:bookmarkEnd w:id="63"/>
      <w:r>
        <w:rPr>
          <w:rFonts w:hint="eastAsia" w:eastAsia="仿宋_GB2312" w:cs="仿宋_GB2312"/>
          <w:sz w:val="32"/>
          <w:szCs w:val="32"/>
        </w:rPr>
        <w:t>政府性基金预算财政拨款收入支出决算表</w:t>
      </w:r>
    </w:p>
    <w:p>
      <w:pPr>
        <w:pStyle w:val="14"/>
        <w:adjustRightInd w:val="0"/>
        <w:snapToGrid w:val="0"/>
        <w:spacing w:line="560" w:lineRule="exact"/>
        <w:jc w:val="left"/>
        <w:rPr>
          <w:rFonts w:eastAsia="仿宋_GB2312" w:cs="仿宋_GB2312"/>
          <w:sz w:val="32"/>
          <w:szCs w:val="32"/>
        </w:rPr>
      </w:pPr>
      <w:bookmarkStart w:id="64" w:name="_Toc15396629"/>
      <w:r>
        <w:rPr>
          <w:rFonts w:hint="eastAsia" w:eastAsia="仿宋_GB2312" w:cs="仿宋_GB2312"/>
          <w:sz w:val="32"/>
          <w:szCs w:val="32"/>
        </w:rPr>
        <w:t>十一、</w:t>
      </w:r>
      <w:bookmarkEnd w:id="64"/>
      <w:r>
        <w:rPr>
          <w:rFonts w:hint="eastAsia" w:eastAsia="仿宋_GB2312" w:cs="仿宋_GB2312"/>
          <w:sz w:val="32"/>
          <w:szCs w:val="32"/>
        </w:rPr>
        <w:t>国有资本经营预算财政拨款收入支出决算表</w:t>
      </w:r>
    </w:p>
    <w:p>
      <w:pPr>
        <w:pStyle w:val="14"/>
        <w:adjustRightInd w:val="0"/>
        <w:snapToGrid w:val="0"/>
        <w:spacing w:line="560" w:lineRule="exact"/>
        <w:jc w:val="left"/>
        <w:rPr>
          <w:rFonts w:eastAsia="仿宋_GB2312" w:cs="仿宋_GB2312"/>
          <w:sz w:val="32"/>
          <w:szCs w:val="32"/>
        </w:rPr>
      </w:pPr>
      <w:bookmarkStart w:id="65" w:name="_Toc15396630"/>
      <w:r>
        <w:rPr>
          <w:rFonts w:hint="eastAsia" w:eastAsia="仿宋_GB2312" w:cs="仿宋_GB2312"/>
          <w:sz w:val="32"/>
          <w:szCs w:val="32"/>
        </w:rPr>
        <w:t>十二、</w:t>
      </w:r>
      <w:bookmarkEnd w:id="65"/>
      <w:r>
        <w:rPr>
          <w:rFonts w:hint="eastAsia" w:eastAsia="仿宋_GB2312" w:cs="仿宋_GB2312"/>
          <w:sz w:val="32"/>
          <w:szCs w:val="32"/>
        </w:rPr>
        <w:t>国有资本经营预算财政拨款支出决算表</w:t>
      </w:r>
    </w:p>
    <w:p>
      <w:pPr>
        <w:pStyle w:val="14"/>
        <w:adjustRightInd w:val="0"/>
        <w:snapToGrid w:val="0"/>
        <w:spacing w:line="560" w:lineRule="exact"/>
        <w:jc w:val="left"/>
        <w:rPr>
          <w:rFonts w:eastAsia="仿宋_GB2312" w:cs="仿宋_GB2312"/>
          <w:sz w:val="32"/>
          <w:szCs w:val="32"/>
        </w:rPr>
      </w:pPr>
      <w:bookmarkStart w:id="66" w:name="_Toc15396631"/>
      <w:r>
        <w:rPr>
          <w:rFonts w:hint="eastAsia" w:eastAsia="仿宋_GB2312" w:cs="仿宋_GB2312"/>
          <w:sz w:val="32"/>
          <w:szCs w:val="32"/>
        </w:rPr>
        <w:t>十三、</w:t>
      </w:r>
      <w:bookmarkEnd w:id="66"/>
      <w:r>
        <w:rPr>
          <w:rFonts w:hint="eastAsia" w:eastAsia="仿宋_GB2312" w:cs="仿宋_GB2312"/>
          <w:sz w:val="32"/>
          <w:szCs w:val="32"/>
        </w:rPr>
        <w:t>财政拨款“三公”经费支出决算表</w:t>
      </w:r>
    </w:p>
    <w:p/>
    <w:sectPr>
      <w:footerReference r:id="rId5" w:type="firs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tabs>
        <w:tab w:val="left" w:pos="7538"/>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1910"/>
      <w:docPartObj>
        <w:docPartGallery w:val="AutoText"/>
      </w:docPartObj>
    </w:sdtPr>
    <w:sdtContent>
      <w:p>
        <w:pPr>
          <w:pStyle w:val="11"/>
          <w:jc w:val="right"/>
        </w:pPr>
        <w:r>
          <w:fldChar w:fldCharType="begin"/>
        </w:r>
        <w:r>
          <w:instrText xml:space="preserve"> PAGE   \* MERGEFORMAT </w:instrText>
        </w:r>
        <w:r>
          <w:fldChar w:fldCharType="separate"/>
        </w:r>
        <w:r>
          <w:rPr>
            <w:lang w:val="zh-CN"/>
          </w:rPr>
          <w:t>-</w:t>
        </w:r>
        <w:r>
          <w:t xml:space="preserve"> 16 -</w:t>
        </w:r>
        <w:r>
          <w:fldChar w:fldCharType="end"/>
        </w:r>
      </w:p>
    </w:sdtContent>
  </w:sdt>
  <w:p>
    <w:pPr>
      <w:pStyle w:val="11"/>
      <w:tabs>
        <w:tab w:val="left" w:pos="753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lang w:val="zh-CN"/>
      </w:rPr>
      <w:t>-</w:t>
    </w:r>
    <w:r>
      <w:t xml:space="preserve"> </w:t>
    </w:r>
    <w:r>
      <w:rPr>
        <w:rFonts w:hint="eastAsia"/>
      </w:rPr>
      <w:t>1</w:t>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EBFA1"/>
    <w:multiLevelType w:val="singleLevel"/>
    <w:tmpl w:val="36CEBFA1"/>
    <w:lvl w:ilvl="0" w:tentative="0">
      <w:start w:val="12"/>
      <w:numFmt w:val="decimal"/>
      <w:lvlText w:val="%1."/>
      <w:lvlJc w:val="left"/>
      <w:pPr>
        <w:tabs>
          <w:tab w:val="left" w:pos="312"/>
        </w:tabs>
      </w:pPr>
    </w:lvl>
  </w:abstractNum>
  <w:abstractNum w:abstractNumId="1">
    <w:nsid w:val="64AE4329"/>
    <w:multiLevelType w:val="multilevel"/>
    <w:tmpl w:val="64AE432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717F"/>
    <w:rsid w:val="000222C6"/>
    <w:rsid w:val="0002549F"/>
    <w:rsid w:val="00036C54"/>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4D39"/>
    <w:rsid w:val="000E6613"/>
    <w:rsid w:val="000E7119"/>
    <w:rsid w:val="000F3A25"/>
    <w:rsid w:val="000F7560"/>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0CB9"/>
    <w:rsid w:val="0021101A"/>
    <w:rsid w:val="00220536"/>
    <w:rsid w:val="00235629"/>
    <w:rsid w:val="002512C8"/>
    <w:rsid w:val="00260C38"/>
    <w:rsid w:val="002616C0"/>
    <w:rsid w:val="00265372"/>
    <w:rsid w:val="002662AA"/>
    <w:rsid w:val="00280496"/>
    <w:rsid w:val="00294DC9"/>
    <w:rsid w:val="00295495"/>
    <w:rsid w:val="002A31DE"/>
    <w:rsid w:val="002A343C"/>
    <w:rsid w:val="002B2613"/>
    <w:rsid w:val="002B2D53"/>
    <w:rsid w:val="002D6D05"/>
    <w:rsid w:val="002E2544"/>
    <w:rsid w:val="002F1818"/>
    <w:rsid w:val="002F567B"/>
    <w:rsid w:val="003178D3"/>
    <w:rsid w:val="003216A9"/>
    <w:rsid w:val="00335A74"/>
    <w:rsid w:val="00357E98"/>
    <w:rsid w:val="0036561B"/>
    <w:rsid w:val="0037013F"/>
    <w:rsid w:val="0037690C"/>
    <w:rsid w:val="00380C92"/>
    <w:rsid w:val="003A484F"/>
    <w:rsid w:val="003A4883"/>
    <w:rsid w:val="003B0BE0"/>
    <w:rsid w:val="003B0C1B"/>
    <w:rsid w:val="003B688C"/>
    <w:rsid w:val="003C0291"/>
    <w:rsid w:val="003C39AE"/>
    <w:rsid w:val="003C41CD"/>
    <w:rsid w:val="003C7B60"/>
    <w:rsid w:val="003D0C0F"/>
    <w:rsid w:val="003D1FB2"/>
    <w:rsid w:val="003D66DA"/>
    <w:rsid w:val="003E1310"/>
    <w:rsid w:val="003E6F55"/>
    <w:rsid w:val="00406254"/>
    <w:rsid w:val="004223DE"/>
    <w:rsid w:val="004250E8"/>
    <w:rsid w:val="0043341C"/>
    <w:rsid w:val="00434489"/>
    <w:rsid w:val="00437085"/>
    <w:rsid w:val="00443880"/>
    <w:rsid w:val="004464F4"/>
    <w:rsid w:val="00471401"/>
    <w:rsid w:val="00473F31"/>
    <w:rsid w:val="0048263A"/>
    <w:rsid w:val="00487E5D"/>
    <w:rsid w:val="004A711F"/>
    <w:rsid w:val="004B199D"/>
    <w:rsid w:val="004B4690"/>
    <w:rsid w:val="004E0A2D"/>
    <w:rsid w:val="004E206B"/>
    <w:rsid w:val="004E3FF6"/>
    <w:rsid w:val="004E6DF7"/>
    <w:rsid w:val="004F0FBD"/>
    <w:rsid w:val="00505A47"/>
    <w:rsid w:val="00512FDA"/>
    <w:rsid w:val="00520DA0"/>
    <w:rsid w:val="00563C5D"/>
    <w:rsid w:val="005664BB"/>
    <w:rsid w:val="00566FFA"/>
    <w:rsid w:val="0057481D"/>
    <w:rsid w:val="0058486E"/>
    <w:rsid w:val="00585B33"/>
    <w:rsid w:val="0059014D"/>
    <w:rsid w:val="005B0D0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7B32"/>
    <w:rsid w:val="006F020C"/>
    <w:rsid w:val="007127B7"/>
    <w:rsid w:val="0071798E"/>
    <w:rsid w:val="00731E4F"/>
    <w:rsid w:val="00734D8F"/>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CED"/>
    <w:rsid w:val="00872FD8"/>
    <w:rsid w:val="00875E9B"/>
    <w:rsid w:val="00885AF4"/>
    <w:rsid w:val="00892470"/>
    <w:rsid w:val="008939CD"/>
    <w:rsid w:val="0089413B"/>
    <w:rsid w:val="008B768C"/>
    <w:rsid w:val="008C4DB1"/>
    <w:rsid w:val="008C4EAF"/>
    <w:rsid w:val="008C5176"/>
    <w:rsid w:val="008C7FD0"/>
    <w:rsid w:val="008D07B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AF4"/>
    <w:rsid w:val="00A56DF2"/>
    <w:rsid w:val="00A56E6E"/>
    <w:rsid w:val="00A66C03"/>
    <w:rsid w:val="00A67AB5"/>
    <w:rsid w:val="00A733B2"/>
    <w:rsid w:val="00A741C2"/>
    <w:rsid w:val="00A91760"/>
    <w:rsid w:val="00A93B00"/>
    <w:rsid w:val="00A93C21"/>
    <w:rsid w:val="00A94468"/>
    <w:rsid w:val="00AB64C9"/>
    <w:rsid w:val="00AC3C6A"/>
    <w:rsid w:val="00AC741F"/>
    <w:rsid w:val="00AD5620"/>
    <w:rsid w:val="00AD656B"/>
    <w:rsid w:val="00AD7C1B"/>
    <w:rsid w:val="00AE16BA"/>
    <w:rsid w:val="00AE1EBE"/>
    <w:rsid w:val="00B03C9D"/>
    <w:rsid w:val="00B060AE"/>
    <w:rsid w:val="00B10517"/>
    <w:rsid w:val="00B14E76"/>
    <w:rsid w:val="00B161B8"/>
    <w:rsid w:val="00B2048C"/>
    <w:rsid w:val="00B310B9"/>
    <w:rsid w:val="00B31933"/>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5C63"/>
    <w:rsid w:val="00C03E31"/>
    <w:rsid w:val="00C03FC9"/>
    <w:rsid w:val="00C32919"/>
    <w:rsid w:val="00C33E72"/>
    <w:rsid w:val="00C354B2"/>
    <w:rsid w:val="00C35554"/>
    <w:rsid w:val="00C42709"/>
    <w:rsid w:val="00C533CC"/>
    <w:rsid w:val="00C5751C"/>
    <w:rsid w:val="00C61BFC"/>
    <w:rsid w:val="00C62B85"/>
    <w:rsid w:val="00C634DF"/>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27F06"/>
    <w:rsid w:val="00D34E7C"/>
    <w:rsid w:val="00D35489"/>
    <w:rsid w:val="00D36AFE"/>
    <w:rsid w:val="00D51276"/>
    <w:rsid w:val="00D7035F"/>
    <w:rsid w:val="00D84F47"/>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487E"/>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A59"/>
    <w:rsid w:val="00F87E96"/>
    <w:rsid w:val="00FA23E8"/>
    <w:rsid w:val="00FD048F"/>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7EF9844"/>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oleObject" Target="embeddings/oleObject1.bin"/><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收支总计</c:v>
                </c:pt>
              </c:strCache>
            </c:strRef>
          </c:tx>
          <c:invertIfNegative val="false"/>
          <c:dLbls>
            <c:delete val="true"/>
          </c:dLbls>
          <c:cat>
            <c:strRef>
              <c:f>Sheet1!$A$2:$A$3</c:f>
              <c:strCache>
                <c:ptCount val="2"/>
                <c:pt idx="0">
                  <c:v>2023年</c:v>
                </c:pt>
                <c:pt idx="1">
                  <c:v>2024年</c:v>
                </c:pt>
              </c:strCache>
            </c:strRef>
          </c:cat>
          <c:val>
            <c:numRef>
              <c:f>Sheet1!$B$2:$B$3</c:f>
              <c:numCache>
                <c:formatCode>General</c:formatCode>
                <c:ptCount val="2"/>
                <c:pt idx="0">
                  <c:v>1979.79</c:v>
                </c:pt>
                <c:pt idx="1">
                  <c:v>1986.15</c:v>
                </c:pt>
              </c:numCache>
            </c:numRef>
          </c:val>
        </c:ser>
        <c:dLbls>
          <c:showLegendKey val="false"/>
          <c:showVal val="false"/>
          <c:showCatName val="false"/>
          <c:showSerName val="false"/>
          <c:showPercent val="false"/>
          <c:showBubbleSize val="false"/>
        </c:dLbls>
        <c:gapWidth val="150"/>
        <c:axId val="139285248"/>
        <c:axId val="139286784"/>
      </c:barChart>
      <c:catAx>
        <c:axId val="13928524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9286784"/>
        <c:crosses val="autoZero"/>
        <c:auto val="true"/>
        <c:lblAlgn val="ctr"/>
        <c:lblOffset val="100"/>
        <c:noMultiLvlLbl val="false"/>
      </c:catAx>
      <c:valAx>
        <c:axId val="13928678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928524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收入决算情况</c:v>
                </c:pt>
              </c:strCache>
            </c:strRef>
          </c:tx>
          <c:explosion val="0"/>
          <c:dPt>
            <c:idx val="0"/>
            <c:bubble3D val="false"/>
          </c:dPt>
          <c:dPt>
            <c:idx val="1"/>
            <c:bubble3D val="false"/>
          </c:dPt>
          <c:dLbls>
            <c:delete val="true"/>
          </c:dLbls>
          <c:cat>
            <c:strRef>
              <c:f>Sheet1!$A$2:$A$3</c:f>
              <c:strCache>
                <c:ptCount val="2"/>
                <c:pt idx="0">
                  <c:v>一般公共预算财政拨款收入</c:v>
                </c:pt>
                <c:pt idx="1">
                  <c:v>其他收入</c:v>
                </c:pt>
              </c:strCache>
            </c:strRef>
          </c:cat>
          <c:val>
            <c:numRef>
              <c:f>Sheet1!$B$2:$B$3</c:f>
              <c:numCache>
                <c:formatCode>General</c:formatCode>
                <c:ptCount val="2"/>
                <c:pt idx="0">
                  <c:v>1710.77</c:v>
                </c:pt>
                <c:pt idx="1">
                  <c:v>274.32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支出决算情况</c:v>
                </c:pt>
              </c:strCache>
            </c:strRef>
          </c:tx>
          <c:explosion val="0"/>
          <c:dPt>
            <c:idx val="0"/>
            <c:bubble3D val="false"/>
          </c:dPt>
          <c:dPt>
            <c:idx val="1"/>
            <c:bubble3D val="false"/>
          </c:dPt>
          <c:dLbls>
            <c:delete val="true"/>
          </c:dLbls>
          <c:cat>
            <c:strRef>
              <c:f>Sheet1!$A$2:$A$3</c:f>
              <c:strCache>
                <c:ptCount val="2"/>
                <c:pt idx="0">
                  <c:v>基本支出</c:v>
                </c:pt>
                <c:pt idx="1">
                  <c:v>项目支出</c:v>
                </c:pt>
              </c:strCache>
            </c:strRef>
          </c:cat>
          <c:val>
            <c:numRef>
              <c:f>Sheet1!$B$2:$B$3</c:f>
              <c:numCache>
                <c:formatCode>General</c:formatCode>
                <c:ptCount val="2"/>
                <c:pt idx="0">
                  <c:v>1620.6</c:v>
                </c:pt>
                <c:pt idx="1">
                  <c:v>365.54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财政拨款收入支出决算总体情况</c:v>
                </c:pt>
              </c:strCache>
            </c:strRef>
          </c:tx>
          <c:invertIfNegative val="false"/>
          <c:dLbls>
            <c:delete val="true"/>
          </c:dLbls>
          <c:cat>
            <c:strRef>
              <c:f>Sheet1!$A$2:$A$3</c:f>
              <c:strCache>
                <c:ptCount val="2"/>
                <c:pt idx="0">
                  <c:v>2023年</c:v>
                </c:pt>
                <c:pt idx="1">
                  <c:v>2024年</c:v>
                </c:pt>
              </c:strCache>
            </c:strRef>
          </c:cat>
          <c:val>
            <c:numRef>
              <c:f>Sheet1!$B$2:$B$3</c:f>
              <c:numCache>
                <c:formatCode>General</c:formatCode>
                <c:ptCount val="2"/>
                <c:pt idx="0">
                  <c:v>1667.44</c:v>
                </c:pt>
                <c:pt idx="1">
                  <c:v>1710.77</c:v>
                </c:pt>
              </c:numCache>
            </c:numRef>
          </c:val>
        </c:ser>
        <c:dLbls>
          <c:showLegendKey val="false"/>
          <c:showVal val="false"/>
          <c:showCatName val="false"/>
          <c:showSerName val="false"/>
          <c:showPercent val="false"/>
          <c:showBubbleSize val="false"/>
        </c:dLbls>
        <c:gapWidth val="150"/>
        <c:axId val="132045440"/>
        <c:axId val="132145536"/>
      </c:barChart>
      <c:catAx>
        <c:axId val="13204544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145536"/>
        <c:crosses val="autoZero"/>
        <c:auto val="true"/>
        <c:lblAlgn val="ctr"/>
        <c:lblOffset val="100"/>
        <c:noMultiLvlLbl val="false"/>
      </c:catAx>
      <c:valAx>
        <c:axId val="13214553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04544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一般公共预算财政拨款支出决算情况</c:v>
                </c:pt>
              </c:strCache>
            </c:strRef>
          </c:tx>
          <c:invertIfNegative val="false"/>
          <c:dLbls>
            <c:delete val="true"/>
          </c:dLbls>
          <c:cat>
            <c:strRef>
              <c:f>Sheet1!$A$2:$A$3</c:f>
              <c:strCache>
                <c:ptCount val="2"/>
                <c:pt idx="0">
                  <c:v>2023年</c:v>
                </c:pt>
                <c:pt idx="1">
                  <c:v>2024年</c:v>
                </c:pt>
              </c:strCache>
            </c:strRef>
          </c:cat>
          <c:val>
            <c:numRef>
              <c:f>Sheet1!$B$2:$B$3</c:f>
              <c:numCache>
                <c:formatCode>General</c:formatCode>
                <c:ptCount val="2"/>
                <c:pt idx="0">
                  <c:v>4.3</c:v>
                </c:pt>
                <c:pt idx="1">
                  <c:v>2.5</c:v>
                </c:pt>
              </c:numCache>
            </c:numRef>
          </c:val>
        </c:ser>
        <c:dLbls>
          <c:showLegendKey val="false"/>
          <c:showVal val="false"/>
          <c:showCatName val="false"/>
          <c:showSerName val="false"/>
          <c:showPercent val="false"/>
          <c:showBubbleSize val="false"/>
        </c:dLbls>
        <c:gapWidth val="150"/>
        <c:axId val="133296128"/>
        <c:axId val="133297664"/>
      </c:barChart>
      <c:catAx>
        <c:axId val="13329612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3297664"/>
        <c:crosses val="autoZero"/>
        <c:auto val="true"/>
        <c:lblAlgn val="ctr"/>
        <c:lblOffset val="100"/>
        <c:noMultiLvlLbl val="false"/>
      </c:catAx>
      <c:valAx>
        <c:axId val="13329766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329612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0"/>
          <c:dPt>
            <c:idx val="0"/>
            <c:bubble3D val="false"/>
          </c:dPt>
          <c:dPt>
            <c:idx val="1"/>
            <c:bubble3D val="false"/>
          </c:dPt>
          <c:dPt>
            <c:idx val="2"/>
            <c:bubble3D val="false"/>
          </c:dPt>
          <c:dPt>
            <c:idx val="3"/>
            <c:bubble3D val="false"/>
          </c:dPt>
          <c:dLbls>
            <c:delete val="true"/>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1399.52</c:v>
                </c:pt>
                <c:pt idx="1">
                  <c:v>135.99</c:v>
                </c:pt>
                <c:pt idx="2">
                  <c:v>70.13</c:v>
                </c:pt>
                <c:pt idx="3">
                  <c:v>105.12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Lbls>
            <c:delete val="true"/>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14.94</c:v>
                </c:pt>
                <c:pt idx="2">
                  <c:v>0.49</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853</Words>
  <Characters>4868</Characters>
  <Lines>40</Lines>
  <Paragraphs>11</Paragraphs>
  <TotalTime>201</TotalTime>
  <ScaleCrop>false</ScaleCrop>
  <LinksUpToDate>false</LinksUpToDate>
  <CharactersWithSpaces>5710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2025-09-16T08:51:17Z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