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C0112">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96475"/>
      <w:bookmarkStart w:id="2" w:name="_Toc15396597"/>
      <w:bookmarkStart w:id="3" w:name="_Toc15377193"/>
      <w:bookmarkStart w:id="4" w:name="_Toc15306267"/>
      <w:bookmarkStart w:id="5" w:name="_Toc15378441"/>
    </w:p>
    <w:p w14:paraId="698A038B">
      <w:pPr>
        <w:pStyle w:val="6"/>
        <w:rPr>
          <w:rFonts w:hint="eastAsia" w:ascii="Times New Roman" w:hAnsi="Times New Roman" w:eastAsia="方正小标宋简体" w:cs="Times New Roman"/>
          <w:color w:val="auto"/>
          <w:kern w:val="2"/>
          <w:sz w:val="72"/>
          <w:szCs w:val="72"/>
          <w:highlight w:val="none"/>
          <w:lang w:val="en-US" w:eastAsia="zh-CN" w:bidi="ar-SA"/>
        </w:rPr>
      </w:pPr>
    </w:p>
    <w:p w14:paraId="0D2AD583">
      <w:pPr>
        <w:pStyle w:val="6"/>
        <w:rPr>
          <w:rFonts w:hint="eastAsia" w:ascii="Times New Roman" w:hAnsi="Times New Roman" w:eastAsia="方正小标宋简体" w:cs="Times New Roman"/>
          <w:color w:val="auto"/>
          <w:kern w:val="2"/>
          <w:sz w:val="72"/>
          <w:szCs w:val="72"/>
          <w:highlight w:val="none"/>
          <w:lang w:val="en-US" w:eastAsia="zh-CN" w:bidi="ar-SA"/>
        </w:rPr>
      </w:pPr>
    </w:p>
    <w:p w14:paraId="25E79BA3">
      <w:pPr>
        <w:pStyle w:val="6"/>
        <w:jc w:val="center"/>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四川省</w:t>
      </w:r>
      <w:r>
        <w:rPr>
          <w:rFonts w:hint="eastAsia" w:ascii="Times New Roman" w:hAnsi="Times New Roman" w:eastAsia="方正小标宋简体" w:cs="Times New Roman"/>
          <w:color w:val="auto"/>
          <w:kern w:val="2"/>
          <w:sz w:val="44"/>
          <w:szCs w:val="44"/>
          <w:highlight w:val="none"/>
          <w:lang w:val="en-US" w:eastAsia="zh-CN" w:bidi="ar-SA"/>
        </w:rPr>
        <w:t>攀枝花市总工会</w:t>
      </w:r>
      <w:r>
        <w:rPr>
          <w:rFonts w:hint="eastAsia" w:ascii="Times New Roman" w:eastAsia="方正小标宋简体" w:cs="Times New Roman"/>
          <w:color w:val="auto"/>
          <w:kern w:val="2"/>
          <w:sz w:val="44"/>
          <w:szCs w:val="44"/>
          <w:highlight w:val="none"/>
          <w:lang w:val="en-US" w:eastAsia="zh-CN" w:bidi="ar-SA"/>
        </w:rPr>
        <w:t>市级单位</w:t>
      </w:r>
      <w:r>
        <w:rPr>
          <w:rFonts w:hint="eastAsia" w:ascii="Times New Roman" w:hAnsi="Times New Roman" w:eastAsia="方正小标宋简体" w:cs="Times New Roman"/>
          <w:color w:val="auto"/>
          <w:kern w:val="2"/>
          <w:sz w:val="44"/>
          <w:szCs w:val="44"/>
          <w:highlight w:val="none"/>
          <w:lang w:val="en-US" w:eastAsia="zh-CN" w:bidi="ar-SA"/>
        </w:rPr>
        <w:t>决算</w:t>
      </w:r>
      <w:r>
        <w:rPr>
          <w:rFonts w:hint="eastAsia" w:ascii="Times New Roman" w:eastAsia="方正小标宋简体" w:cs="Times New Roman"/>
          <w:color w:val="auto"/>
          <w:kern w:val="2"/>
          <w:sz w:val="44"/>
          <w:szCs w:val="44"/>
          <w:highlight w:val="none"/>
          <w:lang w:val="en-US" w:eastAsia="zh-CN" w:bidi="ar-SA"/>
        </w:rPr>
        <w:t>公开编制说明</w:t>
      </w:r>
    </w:p>
    <w:bookmarkEnd w:id="0"/>
    <w:bookmarkEnd w:id="1"/>
    <w:bookmarkEnd w:id="2"/>
    <w:bookmarkEnd w:id="3"/>
    <w:bookmarkEnd w:id="4"/>
    <w:bookmarkEnd w:id="5"/>
    <w:p w14:paraId="5A013E05">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709417EF">
      <w:pPr>
        <w:widowControl/>
        <w:jc w:val="center"/>
        <w:rPr>
          <w:rFonts w:ascii="Times New Roman" w:hAnsi="Times New Roman" w:eastAsia="黑体" w:cstheme="minorBidi"/>
          <w:color w:val="auto"/>
          <w:sz w:val="28"/>
          <w:szCs w:val="28"/>
          <w:highlight w:val="none"/>
        </w:rPr>
      </w:pPr>
    </w:p>
    <w:p w14:paraId="1F6AA66D">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日</w:t>
      </w:r>
    </w:p>
    <w:p w14:paraId="40F5C888">
      <w:pPr>
        <w:rPr>
          <w:rFonts w:ascii="Times New Roman" w:hAnsi="Times New Roman"/>
          <w:color w:val="auto"/>
          <w:highlight w:val="none"/>
        </w:rPr>
      </w:pPr>
    </w:p>
    <w:p w14:paraId="3645D595">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w:t>
      </w:r>
    </w:p>
    <w:p w14:paraId="546BD34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主要</w:t>
      </w:r>
      <w:r>
        <w:rPr>
          <w:rFonts w:hint="eastAsia" w:ascii="Times New Roman" w:hAnsi="Times New Roman" w:eastAsia="仿宋_GB2312" w:cs="仿宋_GB2312"/>
          <w:color w:val="auto"/>
          <w:sz w:val="32"/>
          <w:szCs w:val="32"/>
          <w:highlight w:val="none"/>
          <w:lang w:eastAsia="zh-CN"/>
        </w:rPr>
        <w:t>职责</w:t>
      </w:r>
      <w:r>
        <w:rPr>
          <w:rFonts w:hint="eastAsia" w:ascii="Times New Roman" w:hAnsi="Times New Roman" w:eastAsia="仿宋_GB2312" w:cs="仿宋_GB2312"/>
          <w:color w:val="auto"/>
          <w:sz w:val="32"/>
          <w:szCs w:val="32"/>
          <w:highlight w:val="none"/>
          <w:lang w:eastAsia="zh-CN"/>
        </w:rPr>
        <w:tab/>
      </w:r>
      <w:r>
        <w:rPr>
          <w:rFonts w:hint="eastAsia" w:eastAsia="仿宋_GB2312" w:cs="仿宋_GB2312"/>
          <w:color w:val="auto"/>
          <w:sz w:val="32"/>
          <w:szCs w:val="32"/>
          <w:highlight w:val="none"/>
          <w:lang w:val="en-US" w:eastAsia="zh-CN"/>
        </w:rPr>
        <w:t>1</w:t>
      </w:r>
    </w:p>
    <w:p w14:paraId="15A2DAE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2</w:t>
      </w:r>
    </w:p>
    <w:p w14:paraId="2772613D">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3</w:t>
      </w:r>
    </w:p>
    <w:p w14:paraId="47855DD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3</w:t>
      </w:r>
    </w:p>
    <w:p w14:paraId="68C66B7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3</w:t>
      </w:r>
    </w:p>
    <w:p w14:paraId="6D8791F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4</w:t>
      </w:r>
    </w:p>
    <w:p w14:paraId="222AFB6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4</w:t>
      </w:r>
      <w:bookmarkStart w:id="82" w:name="_GoBack"/>
      <w:bookmarkEnd w:id="82"/>
    </w:p>
    <w:p w14:paraId="1A56381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5</w:t>
      </w:r>
    </w:p>
    <w:p w14:paraId="581E2BC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7</w:t>
      </w:r>
    </w:p>
    <w:p w14:paraId="2F751FE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7</w:t>
      </w:r>
    </w:p>
    <w:p w14:paraId="39ED0BC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8</w:t>
      </w:r>
    </w:p>
    <w:p w14:paraId="382D1BC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8</w:t>
      </w:r>
    </w:p>
    <w:p w14:paraId="1072D7A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8</w:t>
      </w:r>
    </w:p>
    <w:p w14:paraId="6FD72856">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10</w:t>
      </w:r>
    </w:p>
    <w:p w14:paraId="48C082DA">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12</w:t>
      </w:r>
    </w:p>
    <w:p w14:paraId="0F791668">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rPr>
        <w:tab/>
      </w:r>
      <w:r>
        <w:rPr>
          <w:rFonts w:hint="eastAsia" w:ascii="Times New Roman" w:hAnsi="Times New Roman" w:eastAsia="黑体" w:cs="黑体"/>
          <w:color w:val="auto"/>
          <w:sz w:val="32"/>
          <w:szCs w:val="32"/>
          <w:highlight w:val="none"/>
          <w:lang w:val="en-US" w:eastAsia="zh-CN"/>
        </w:rPr>
        <w:t>13</w:t>
      </w:r>
    </w:p>
    <w:p w14:paraId="48B4C9D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415B88F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0B87ACC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267307C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0CB2A43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6D661AD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345FFBD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050B9DD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295791C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34C9383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4F30DCF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p w14:paraId="02CFB9D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ascii="Times New Roman" w:hAnsi="Times New Roman"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13</w:t>
      </w:r>
    </w:p>
    <w:p w14:paraId="514E4AD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ascii="Times New Roman" w:hAnsi="Times New Roman" w:eastAsia="仿宋_GB2312" w:cs="仿宋_GB2312"/>
          <w:color w:val="auto"/>
          <w:sz w:val="32"/>
          <w:szCs w:val="32"/>
          <w:highlight w:val="none"/>
        </w:rPr>
        <w:tab/>
      </w:r>
      <w:r>
        <w:rPr>
          <w:rFonts w:hint="eastAsia" w:eastAsia="仿宋_GB2312" w:cs="仿宋_GB2312"/>
          <w:color w:val="auto"/>
          <w:sz w:val="32"/>
          <w:szCs w:val="32"/>
          <w:highlight w:val="none"/>
          <w:lang w:val="en-US" w:eastAsia="zh-CN"/>
        </w:rPr>
        <w:t>13</w:t>
      </w:r>
    </w:p>
    <w:sdt>
      <w:sdtPr>
        <w:rPr>
          <w:rFonts w:ascii="宋体" w:hAnsi="宋体" w:eastAsia="宋体" w:cs="Times New Roman"/>
          <w:kern w:val="2"/>
          <w:sz w:val="21"/>
          <w:szCs w:val="24"/>
          <w:lang w:val="en-US" w:eastAsia="zh-CN" w:bidi="ar-SA"/>
        </w:rPr>
        <w:id w:val="147465406"/>
        <w:showingPlcHdr/>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2A784BE9">
          <w:pPr>
            <w:spacing w:before="0" w:beforeLines="0" w:after="0" w:afterLines="0" w:line="240" w:lineRule="auto"/>
            <w:ind w:left="0" w:leftChars="0" w:right="0" w:rightChars="0" w:firstLine="0" w:firstLineChars="0"/>
            <w:jc w:val="center"/>
          </w:pPr>
          <w:bookmarkStart w:id="6" w:name="_Toc15377196"/>
          <w:bookmarkStart w:id="7" w:name="_Toc15396599"/>
          <w:r>
            <w:rPr>
              <w:rFonts w:hint="eastAsia" w:ascii="宋体" w:hAnsi="宋体" w:eastAsia="宋体" w:cs="Times New Roman"/>
              <w:kern w:val="2"/>
              <w:sz w:val="21"/>
              <w:szCs w:val="24"/>
              <w:lang w:val="en-US" w:eastAsia="zh-CN" w:bidi="ar-SA"/>
            </w:rPr>
            <w:t xml:space="preserve">     </w:t>
          </w:r>
        </w:p>
      </w:sdtContent>
    </w:sdt>
    <w:p w14:paraId="77258CB0"/>
    <w:p w14:paraId="71C6E452">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bookmarkStart w:id="8" w:name="_Toc32105"/>
      <w:bookmarkStart w:id="9" w:name="_Toc15667"/>
    </w:p>
    <w:p w14:paraId="5A42174B">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eastAsia="方正小标宋简体" w:cs="方正小标宋简体"/>
          <w:b w:val="0"/>
          <w:bCs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6"/>
      <w:bookmarkEnd w:id="7"/>
      <w:bookmarkEnd w:id="8"/>
      <w:bookmarkEnd w:id="9"/>
    </w:p>
    <w:p w14:paraId="3B644C5A">
      <w:pPr>
        <w:widowControl/>
        <w:jc w:val="left"/>
        <w:rPr>
          <w:rFonts w:ascii="Times New Roman" w:hAnsi="Times New Roman" w:eastAsia="黑体"/>
          <w:color w:val="auto"/>
          <w:sz w:val="32"/>
          <w:szCs w:val="32"/>
          <w:highlight w:val="none"/>
        </w:rPr>
      </w:pPr>
    </w:p>
    <w:p w14:paraId="5E7A6EF0">
      <w:pPr>
        <w:pStyle w:val="4"/>
        <w:keepNext/>
        <w:keepLines/>
        <w:pageBreakBefore w:val="0"/>
        <w:widowControl w:val="0"/>
        <w:numPr>
          <w:ilvl w:val="0"/>
          <w:numId w:val="1"/>
        </w:numPr>
        <w:kinsoku/>
        <w:wordWrap/>
        <w:overflowPunct/>
        <w:topLinePunct w:val="0"/>
        <w:autoSpaceDE/>
        <w:autoSpaceDN/>
        <w:bidi w:val="0"/>
        <w:adjustRightInd/>
        <w:snapToGrid/>
        <w:spacing w:line="416" w:lineRule="auto"/>
        <w:textAlignment w:val="auto"/>
        <w:rPr>
          <w:rFonts w:hint="eastAsia" w:ascii="Times New Roman" w:hAnsi="Times New Roman" w:eastAsia="黑体"/>
          <w:b w:val="0"/>
          <w:color w:val="auto"/>
          <w:highlight w:val="none"/>
          <w:lang w:eastAsia="zh-CN"/>
        </w:rPr>
      </w:pPr>
      <w:bookmarkStart w:id="10" w:name="_Toc7996"/>
      <w:r>
        <w:rPr>
          <w:rFonts w:hint="eastAsia" w:ascii="Times New Roman" w:hAnsi="Times New Roman" w:eastAsia="黑体"/>
          <w:b w:val="0"/>
          <w:color w:val="auto"/>
          <w:highlight w:val="none"/>
          <w:lang w:eastAsia="zh-CN"/>
        </w:rPr>
        <w:t>主要职责</w:t>
      </w:r>
      <w:bookmarkEnd w:id="10"/>
    </w:p>
    <w:p w14:paraId="59A59DE3">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党的基本理论、基本路线、基本纲领和工运方针，围绕党和国家工作大局，贯彻执行中国工会全国代表大会、中华全国总工会执行委员会和四川省、攀枝花市工会代表大会、全委会确定的方针、任务和作出的决议。　　</w:t>
      </w:r>
    </w:p>
    <w:p w14:paraId="21BBEFC6">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依照法律和《中国工会章程》，组织和指导各级工会坚定不移地推动党的全心全意依靠工人阶级根本指导方针的贯彻落实，进一步突出和履行维护职能。　　</w:t>
      </w:r>
    </w:p>
    <w:p w14:paraId="07AF71E4">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有关职工合法权益的重大问题进行调查研究，向市委、市政府和四川省总工会反映职工群众的思想、愿望和要求，提出意见和建议；参与涉及职工切身利益的政策、措施和法规草案的拟定；指导企业生产经营安全保障工作，参与企业生产经营过程中发生的职工重大伤亡事故的调查处理。　　</w:t>
      </w:r>
    </w:p>
    <w:p w14:paraId="6AFD84F7">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14:paraId="52900731">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14:paraId="4C5AFDD1">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协助市政府做好市劳动模范的推荐、评选和管理工作；协助四川省总工会做好在攀全省劳模和“五一劳动奖章”、“五一劳动奖状”获得者的推荐、管理工作。　　</w:t>
      </w:r>
    </w:p>
    <w:p w14:paraId="5D9B065A">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负责全市工会经费和工会资产的管理、审查、审计工作；研究、制定工会组织兴办职工劳动福利事业的有关制度和规定；负责对全市工会职工劳动福利事业的指导、协调工作。　　</w:t>
      </w:r>
    </w:p>
    <w:p w14:paraId="4C47A106">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pPr>
      <w:r>
        <w:rPr>
          <w:rFonts w:hint="eastAsia" w:ascii="仿宋_GB2312" w:hAnsi="仿宋_GB2312" w:eastAsia="仿宋_GB2312" w:cs="仿宋_GB2312"/>
          <w:color w:val="auto"/>
          <w:kern w:val="2"/>
          <w:sz w:val="32"/>
          <w:szCs w:val="32"/>
          <w:highlight w:val="none"/>
          <w:lang w:val="en-US" w:eastAsia="zh-CN" w:bidi="ar-SA"/>
        </w:rPr>
        <w:t>承办市委、市政府和四川省总工会交办的其它事项。</w:t>
      </w:r>
      <w:bookmarkStart w:id="11" w:name="_Toc15396601"/>
      <w:bookmarkStart w:id="12" w:name="_Toc15377200"/>
    </w:p>
    <w:p w14:paraId="0073DB90">
      <w:pPr>
        <w:pStyle w:val="4"/>
        <w:rPr>
          <w:rStyle w:val="30"/>
          <w:rFonts w:ascii="Times New Roman" w:hAnsi="Times New Roman"/>
          <w:b w:val="0"/>
          <w:bCs w:val="0"/>
          <w:color w:val="auto"/>
          <w:highlight w:val="none"/>
        </w:rPr>
      </w:pPr>
      <w:bookmarkStart w:id="13" w:name="_Toc26599"/>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1"/>
      <w:bookmarkEnd w:id="12"/>
      <w:bookmarkEnd w:id="13"/>
    </w:p>
    <w:p w14:paraId="351CCDAB">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四川省攀枝花市总工会</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4BE9D07B">
      <w:pPr>
        <w:pStyle w:val="3"/>
        <w:jc w:val="center"/>
        <w:rPr>
          <w:rFonts w:hint="eastAsia" w:ascii="Times New Roman" w:hAnsi="Times New Roman" w:eastAsia="方正小标宋简体" w:cs="方正小标宋简体"/>
          <w:b w:val="0"/>
          <w:color w:val="auto"/>
          <w:highlight w:val="none"/>
        </w:rPr>
      </w:pPr>
      <w:bookmarkStart w:id="14" w:name="_Toc15396602"/>
      <w:bookmarkStart w:id="15" w:name="_Toc15377204"/>
    </w:p>
    <w:p w14:paraId="761A2F41">
      <w:pPr>
        <w:pStyle w:val="3"/>
        <w:jc w:val="center"/>
        <w:rPr>
          <w:rFonts w:hint="eastAsia" w:ascii="Times New Roman" w:hAnsi="Times New Roman" w:eastAsia="方正小标宋简体" w:cs="方正小标宋简体"/>
          <w:b w:val="0"/>
          <w:color w:val="auto"/>
          <w:highlight w:val="none"/>
        </w:rPr>
      </w:pPr>
      <w:bookmarkStart w:id="16" w:name="_Toc22791"/>
      <w:bookmarkStart w:id="17" w:name="_Toc16257"/>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4"/>
      <w:bookmarkEnd w:id="15"/>
      <w:bookmarkEnd w:id="16"/>
      <w:bookmarkEnd w:id="17"/>
    </w:p>
    <w:p w14:paraId="0687B9A1">
      <w:pPr>
        <w:rPr>
          <w:rFonts w:ascii="Times New Roman" w:hAnsi="Times New Roman"/>
          <w:color w:val="auto"/>
          <w:highlight w:val="none"/>
        </w:rPr>
      </w:pPr>
    </w:p>
    <w:p w14:paraId="0FF0E078">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8" w:name="_Toc15377205"/>
      <w:bookmarkStart w:id="19" w:name="_Toc27152"/>
      <w:bookmarkStart w:id="20"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bookmarkEnd w:id="20"/>
    </w:p>
    <w:p w14:paraId="332F8106">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仿宋_GB2312"/>
          <w:color w:val="auto"/>
          <w:sz w:val="32"/>
          <w:szCs w:val="32"/>
          <w:highlight w:val="none"/>
          <w:lang w:val="en-US" w:eastAsia="zh-CN"/>
        </w:rPr>
      </w:pPr>
      <w:bookmarkStart w:id="21" w:name="_Toc17343"/>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Times New Roman" w:hAnsi="Times New Roman" w:eastAsia="仿宋_GB2312" w:cs="仿宋_GB2312"/>
          <w:color w:val="auto"/>
          <w:sz w:val="32"/>
          <w:szCs w:val="32"/>
          <w:highlight w:val="none"/>
          <w:lang w:val="en-US" w:eastAsia="zh-CN"/>
        </w:rPr>
        <w:t>965.33</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212.37</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18.03</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2024年收到省财专项资金较2023年减少。</w:t>
      </w:r>
      <w:bookmarkEnd w:id="21"/>
    </w:p>
    <w:p w14:paraId="03B371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w:t>
      </w:r>
    </w:p>
    <w:p w14:paraId="36FEF1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lang w:eastAsia="zh-CN"/>
        </w:rPr>
        <w:drawing>
          <wp:inline distT="0" distB="0" distL="114300" distR="114300">
            <wp:extent cx="5046345" cy="3227705"/>
            <wp:effectExtent l="4445" t="4445" r="1651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F2B8F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2" w:name="_Toc8787"/>
      <w:bookmarkStart w:id="23" w:name="_Toc15377206"/>
      <w:bookmarkStart w:id="24" w:name="_Toc15396604"/>
      <w:r>
        <w:rPr>
          <w:rFonts w:hint="eastAsia" w:ascii="Times New Roman" w:hAnsi="Times New Roman" w:eastAsia="黑体"/>
          <w:color w:val="auto"/>
          <w:sz w:val="32"/>
          <w:szCs w:val="32"/>
          <w:highlight w:val="none"/>
          <w:lang w:eastAsia="zh-CN"/>
        </w:rPr>
        <w:t>二、收入决算情况说明</w:t>
      </w:r>
      <w:bookmarkEnd w:id="22"/>
      <w:bookmarkEnd w:id="23"/>
      <w:bookmarkEnd w:id="24"/>
    </w:p>
    <w:p w14:paraId="2A5A1BD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25" w:name="_Toc7330"/>
      <w:r>
        <w:rPr>
          <w:rFonts w:hint="eastAsia" w:ascii="Times New Roman" w:hAnsi="Times New Roman" w:eastAsia="仿宋_GB2312" w:cs="仿宋_GB2312"/>
          <w:color w:val="auto"/>
          <w:sz w:val="32"/>
          <w:szCs w:val="32"/>
          <w:highlight w:val="none"/>
          <w:lang w:val="en-US" w:eastAsia="zh-CN"/>
        </w:rPr>
        <w:t>2024</w:t>
      </w:r>
      <w:r>
        <w:rPr>
          <w:rFonts w:hint="eastAsia" w:ascii="Times New Roman" w:hAnsi="Times New Roman" w:eastAsia="仿宋_GB2312" w:cs="仿宋_GB2312"/>
          <w:color w:val="auto"/>
          <w:sz w:val="32"/>
          <w:szCs w:val="32"/>
          <w:highlight w:val="none"/>
          <w:lang w:eastAsia="zh-CN"/>
        </w:rPr>
        <w:t>年度本年收入合计</w:t>
      </w:r>
      <w:r>
        <w:rPr>
          <w:rFonts w:hint="eastAsia" w:ascii="Times New Roman" w:hAnsi="Times New Roman" w:eastAsia="仿宋_GB2312" w:cs="仿宋_GB2312"/>
          <w:color w:val="auto"/>
          <w:sz w:val="32"/>
          <w:szCs w:val="32"/>
          <w:highlight w:val="none"/>
          <w:lang w:val="en-US" w:eastAsia="zh-CN"/>
        </w:rPr>
        <w:t>965.33</w:t>
      </w:r>
      <w:r>
        <w:rPr>
          <w:rFonts w:hint="eastAsia" w:ascii="Times New Roman" w:hAnsi="Times New Roman" w:eastAsia="仿宋_GB2312" w:cs="仿宋_GB2312"/>
          <w:color w:val="auto"/>
          <w:sz w:val="32"/>
          <w:szCs w:val="32"/>
          <w:highlight w:val="none"/>
          <w:lang w:eastAsia="zh-CN"/>
        </w:rPr>
        <w:t>万元，其中：一般公共预算财政拨款收入965.33万元，占100%。</w:t>
      </w:r>
      <w:bookmarkEnd w:id="25"/>
    </w:p>
    <w:p w14:paraId="297E3ED6">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w:t>
      </w:r>
    </w:p>
    <w:p w14:paraId="18D4463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6" w:name="_Toc15377207"/>
      <w:bookmarkStart w:id="27" w:name="_Toc8386"/>
      <w:bookmarkStart w:id="28" w:name="_Toc15396605"/>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137795</wp:posOffset>
            </wp:positionH>
            <wp:positionV relativeFrom="paragraph">
              <wp:posOffset>223520</wp:posOffset>
            </wp:positionV>
            <wp:extent cx="4869815" cy="2782570"/>
            <wp:effectExtent l="4445" t="4445" r="21590" b="1333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6"/>
      <w:bookmarkEnd w:id="27"/>
      <w:bookmarkEnd w:id="28"/>
    </w:p>
    <w:p w14:paraId="0E91B482">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bookmarkStart w:id="29" w:name="_Toc23467"/>
      <w:r>
        <w:rPr>
          <w:rFonts w:hint="eastAsia" w:ascii="Times New Roman" w:hAnsi="Times New Roman" w:eastAsia="仿宋_GB2312" w:cs="仿宋_GB2312"/>
          <w:color w:val="auto"/>
          <w:sz w:val="32"/>
          <w:szCs w:val="32"/>
          <w:highlight w:val="none"/>
          <w:lang w:val="en-US" w:eastAsia="zh-CN"/>
        </w:rPr>
        <w:t>2024年度本年支出合计965.33万元，其中：基本支出265.54万元，占27.5%；项目支出699.8万元，占72.49%。</w:t>
      </w:r>
      <w:bookmarkEnd w:id="29"/>
    </w:p>
    <w:p w14:paraId="3FAA8C0D">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w:t>
      </w:r>
    </w:p>
    <w:p w14:paraId="5BFF72F6">
      <w:pPr>
        <w:rPr>
          <w:rFonts w:hint="eastAsia"/>
          <w:lang w:eastAsia="zh-CN"/>
        </w:rPr>
      </w:pPr>
      <w:r>
        <w:rPr>
          <w:rFonts w:hint="eastAsia" w:ascii="仿宋_GB2312" w:eastAsia="仿宋_GB2312"/>
          <w:sz w:val="32"/>
          <w:szCs w:val="32"/>
          <w:lang w:eastAsia="zh-CN"/>
        </w:rPr>
        <w:drawing>
          <wp:inline distT="0" distB="0" distL="114300" distR="114300">
            <wp:extent cx="4923790" cy="2580640"/>
            <wp:effectExtent l="4445" t="4445" r="571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D18C32">
      <w:pPr>
        <w:spacing w:line="600" w:lineRule="exact"/>
        <w:ind w:firstLine="640" w:firstLineChars="200"/>
        <w:outlineLvl w:val="1"/>
        <w:rPr>
          <w:rStyle w:val="30"/>
          <w:rFonts w:ascii="Times New Roman" w:hAnsi="Times New Roman" w:eastAsia="黑体"/>
          <w:b w:val="0"/>
          <w:color w:val="auto"/>
          <w:highlight w:val="none"/>
        </w:rPr>
      </w:pPr>
      <w:bookmarkStart w:id="30" w:name="_Toc15377208"/>
      <w:bookmarkStart w:id="31" w:name="_Toc13255"/>
      <w:bookmarkStart w:id="32"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30"/>
      <w:bookmarkEnd w:id="31"/>
      <w:bookmarkEnd w:id="32"/>
    </w:p>
    <w:p w14:paraId="7B6689E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2024年度财政拨款收入、支出总计均为965.33万元。与2023年度相比，财政拨款收入总计、支出总计各减少212.37万元，</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18.03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2024年收到省财专项资金较2023年减少。</w:t>
      </w:r>
    </w:p>
    <w:p w14:paraId="290EEFCD">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w:t>
      </w:r>
    </w:p>
    <w:p w14:paraId="24C4EC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1312" behindDoc="0" locked="0" layoutInCell="1" allowOverlap="1">
            <wp:simplePos x="0" y="0"/>
            <wp:positionH relativeFrom="column">
              <wp:posOffset>352425</wp:posOffset>
            </wp:positionH>
            <wp:positionV relativeFrom="paragraph">
              <wp:posOffset>238125</wp:posOffset>
            </wp:positionV>
            <wp:extent cx="4599940" cy="2654935"/>
            <wp:effectExtent l="4445" t="4445" r="5715" b="762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9E29E00">
      <w:pPr>
        <w:pStyle w:val="2"/>
        <w:rPr>
          <w:rFonts w:hint="eastAsia" w:ascii="Times New Roman" w:hAnsi="Times New Roman" w:eastAsia="仿宋_GB2312" w:cs="仿宋_GB2312"/>
          <w:color w:val="auto"/>
          <w:kern w:val="2"/>
          <w:sz w:val="32"/>
          <w:szCs w:val="32"/>
          <w:highlight w:val="none"/>
          <w:lang w:val="en-US" w:eastAsia="zh-CN" w:bidi="ar-SA"/>
        </w:rPr>
      </w:pPr>
    </w:p>
    <w:p w14:paraId="642A7C08">
      <w:pPr>
        <w:rPr>
          <w:rFonts w:hint="eastAsia" w:ascii="Times New Roman" w:hAnsi="Times New Roman" w:eastAsia="仿宋_GB2312" w:cs="仿宋_GB2312"/>
          <w:color w:val="auto"/>
          <w:kern w:val="2"/>
          <w:sz w:val="32"/>
          <w:szCs w:val="32"/>
          <w:highlight w:val="none"/>
          <w:lang w:val="en-US" w:eastAsia="zh-CN" w:bidi="ar-SA"/>
        </w:rPr>
      </w:pPr>
    </w:p>
    <w:p w14:paraId="66653A7D">
      <w:pPr>
        <w:pStyle w:val="2"/>
        <w:rPr>
          <w:rFonts w:hint="eastAsia" w:ascii="Times New Roman" w:hAnsi="Times New Roman" w:eastAsia="仿宋_GB2312" w:cs="仿宋_GB2312"/>
          <w:color w:val="auto"/>
          <w:kern w:val="2"/>
          <w:sz w:val="32"/>
          <w:szCs w:val="32"/>
          <w:highlight w:val="none"/>
          <w:lang w:val="en-US" w:eastAsia="zh-CN" w:bidi="ar-SA"/>
        </w:rPr>
      </w:pPr>
    </w:p>
    <w:p w14:paraId="3688A320">
      <w:pPr>
        <w:rPr>
          <w:rFonts w:hint="eastAsia" w:ascii="Times New Roman" w:hAnsi="Times New Roman" w:eastAsia="仿宋_GB2312" w:cs="仿宋_GB2312"/>
          <w:color w:val="auto"/>
          <w:kern w:val="2"/>
          <w:sz w:val="32"/>
          <w:szCs w:val="32"/>
          <w:highlight w:val="none"/>
          <w:lang w:val="en-US" w:eastAsia="zh-CN" w:bidi="ar-SA"/>
        </w:rPr>
      </w:pPr>
    </w:p>
    <w:p w14:paraId="10401538">
      <w:pPr>
        <w:spacing w:line="600" w:lineRule="exact"/>
        <w:outlineLvl w:val="1"/>
        <w:rPr>
          <w:rFonts w:hint="eastAsia" w:ascii="Times New Roman" w:hAnsi="Times New Roman" w:eastAsia="黑体"/>
          <w:color w:val="auto"/>
          <w:sz w:val="32"/>
          <w:szCs w:val="32"/>
          <w:highlight w:val="none"/>
        </w:rPr>
      </w:pPr>
      <w:bookmarkStart w:id="33" w:name="_Toc15396607"/>
      <w:bookmarkStart w:id="34" w:name="_Toc15377209"/>
    </w:p>
    <w:p w14:paraId="2E5F3EB4">
      <w:pPr>
        <w:spacing w:line="600" w:lineRule="exact"/>
        <w:ind w:firstLine="640" w:firstLineChars="200"/>
        <w:outlineLvl w:val="1"/>
        <w:rPr>
          <w:rStyle w:val="30"/>
          <w:rFonts w:ascii="Times New Roman" w:hAnsi="Times New Roman" w:eastAsia="黑体"/>
          <w:b w:val="0"/>
          <w:color w:val="auto"/>
          <w:highlight w:val="none"/>
        </w:rPr>
      </w:pPr>
      <w:bookmarkStart w:id="35" w:name="_Toc13531"/>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33"/>
      <w:bookmarkEnd w:id="34"/>
      <w:bookmarkEnd w:id="35"/>
    </w:p>
    <w:p w14:paraId="48C1A3E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36"/>
    </w:p>
    <w:p w14:paraId="1BC38D69">
      <w:pPr>
        <w:spacing w:line="600" w:lineRule="exact"/>
        <w:ind w:firstLine="640"/>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2024年度一般公共预算财政拨款支出965.33万元，占本年支出合计的100%。与2023年度相比，一般公共预算财政拨款支出减少212.37万元，</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18.03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2024年收到省财专项资金较2023年减少。</w:t>
      </w:r>
    </w:p>
    <w:p w14:paraId="68747710">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w:t>
      </w:r>
    </w:p>
    <w:p w14:paraId="2B9FF87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276225</wp:posOffset>
            </wp:positionH>
            <wp:positionV relativeFrom="paragraph">
              <wp:posOffset>216535</wp:posOffset>
            </wp:positionV>
            <wp:extent cx="4624070" cy="2306320"/>
            <wp:effectExtent l="4445" t="4445" r="1968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C26A93E">
      <w:pPr>
        <w:pStyle w:val="2"/>
        <w:rPr>
          <w:rFonts w:hint="eastAsia" w:ascii="Times New Roman" w:hAnsi="Times New Roman" w:eastAsia="仿宋_GB2312" w:cs="仿宋_GB2312"/>
          <w:color w:val="auto"/>
          <w:kern w:val="2"/>
          <w:sz w:val="32"/>
          <w:szCs w:val="32"/>
          <w:highlight w:val="none"/>
          <w:lang w:val="en-US" w:eastAsia="zh-CN" w:bidi="ar-SA"/>
        </w:rPr>
      </w:pPr>
    </w:p>
    <w:p w14:paraId="12341847">
      <w:pPr>
        <w:rPr>
          <w:rFonts w:hint="eastAsia" w:ascii="Times New Roman" w:hAnsi="Times New Roman" w:eastAsia="仿宋_GB2312" w:cs="仿宋_GB2312"/>
          <w:color w:val="auto"/>
          <w:kern w:val="2"/>
          <w:sz w:val="32"/>
          <w:szCs w:val="32"/>
          <w:highlight w:val="none"/>
          <w:lang w:val="en-US" w:eastAsia="zh-CN" w:bidi="ar-SA"/>
        </w:rPr>
      </w:pPr>
    </w:p>
    <w:p w14:paraId="6A91D19F">
      <w:pPr>
        <w:pStyle w:val="2"/>
        <w:rPr>
          <w:rFonts w:hint="eastAsia" w:ascii="Times New Roman" w:hAnsi="Times New Roman" w:eastAsia="仿宋_GB2312" w:cs="仿宋_GB2312"/>
          <w:color w:val="auto"/>
          <w:kern w:val="2"/>
          <w:sz w:val="32"/>
          <w:szCs w:val="32"/>
          <w:highlight w:val="none"/>
          <w:lang w:val="en-US" w:eastAsia="zh-CN" w:bidi="ar-SA"/>
        </w:rPr>
      </w:pPr>
    </w:p>
    <w:p w14:paraId="31EDF016">
      <w:pPr>
        <w:rPr>
          <w:rFonts w:hint="eastAsia"/>
          <w:lang w:val="en-US" w:eastAsia="zh-CN"/>
        </w:rPr>
      </w:pPr>
    </w:p>
    <w:p w14:paraId="0796AE3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7"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37"/>
    </w:p>
    <w:p w14:paraId="6B1E96F6">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2024年度一般公共预算财政拨款支出965.33万元，主要用于以下方面：一般公共服务支出704.69万元，占73.00%；社会保障和就业支出259.77万元，占26.91%；卫生健康支出0.87万元，占0.90%。</w:t>
      </w:r>
    </w:p>
    <w:p w14:paraId="258260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1692F55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3360" behindDoc="0" locked="0" layoutInCell="1" allowOverlap="1">
            <wp:simplePos x="0" y="0"/>
            <wp:positionH relativeFrom="column">
              <wp:posOffset>438150</wp:posOffset>
            </wp:positionH>
            <wp:positionV relativeFrom="paragraph">
              <wp:posOffset>114300</wp:posOffset>
            </wp:positionV>
            <wp:extent cx="4505960" cy="2393315"/>
            <wp:effectExtent l="4445" t="4445" r="23495" b="2159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02F965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38BE6E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4D2AB4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3B16DF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C885FC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4ADD15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4649BC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8"/>
    </w:p>
    <w:p w14:paraId="09603B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9" w:name="_Toc15377444"/>
      <w:bookmarkStart w:id="40" w:name="_Toc15377213"/>
      <w:bookmarkStart w:id="41"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2024年度一般公共预算财政拨款支出决算数为965.33万元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9"/>
      <w:bookmarkEnd w:id="40"/>
      <w:bookmarkEnd w:id="41"/>
    </w:p>
    <w:p w14:paraId="1A46792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一般公共服务：①2012901行政运行支出：支出决算为5.77万元，完成预算100%；②2012902一般行政管理事务：支出决算为300.07万元，完成预算100%；③2012999其他群众团体事务支出：支出决算为397.11万元，完成预算100%；④2013299其他组织事务支出：支出决算为1.74万元，完成预算100%。</w:t>
      </w:r>
    </w:p>
    <w:p w14:paraId="3608A14F">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.社会保障和就业</w:t>
      </w:r>
      <w:r>
        <w:rPr>
          <w:rFonts w:hint="eastAsia" w:eastAsia="仿宋_GB2312" w:cs="仿宋_GB2312"/>
          <w:color w:val="auto"/>
          <w:kern w:val="2"/>
          <w:sz w:val="32"/>
          <w:szCs w:val="32"/>
          <w:highlight w:val="none"/>
          <w:lang w:val="en-US" w:eastAsia="zh-CN" w:bidi="ar-SA"/>
        </w:rPr>
        <w:t>：①2080501行政单位离退休：支出决算为156.83万元，完成预算100%；②2080502事业单位离退休：支出决算为102.94万元，完成预算100%。</w:t>
      </w:r>
    </w:p>
    <w:p w14:paraId="7376C9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w:t>
      </w:r>
      <w:r>
        <w:rPr>
          <w:rFonts w:hint="eastAsia" w:eastAsia="仿宋_GB2312" w:cs="仿宋_GB2312"/>
          <w:color w:val="auto"/>
          <w:kern w:val="2"/>
          <w:sz w:val="32"/>
          <w:szCs w:val="32"/>
          <w:highlight w:val="none"/>
          <w:lang w:val="en-US" w:eastAsia="zh-CN" w:bidi="ar-SA"/>
        </w:rPr>
        <w:t>：①2109999其他卫生健康支出：支出决算为0.87万元，完成预算100%。</w:t>
      </w:r>
    </w:p>
    <w:p w14:paraId="13590D46">
      <w:pPr>
        <w:tabs>
          <w:tab w:val="right" w:pos="8306"/>
        </w:tabs>
        <w:spacing w:line="600" w:lineRule="exact"/>
        <w:ind w:firstLine="640"/>
        <w:outlineLvl w:val="1"/>
        <w:rPr>
          <w:rStyle w:val="30"/>
          <w:rFonts w:ascii="Times New Roman" w:hAnsi="Times New Roman"/>
          <w:color w:val="auto"/>
          <w:highlight w:val="none"/>
        </w:rPr>
      </w:pPr>
      <w:bookmarkStart w:id="42" w:name="_Toc27033"/>
      <w:bookmarkStart w:id="43" w:name="_Toc15396608"/>
      <w:bookmarkStart w:id="44"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42"/>
      <w:bookmarkEnd w:id="43"/>
      <w:bookmarkEnd w:id="44"/>
      <w:r>
        <w:rPr>
          <w:rStyle w:val="30"/>
          <w:rFonts w:ascii="Times New Roman" w:hAnsi="Times New Roman" w:eastAsia="黑体"/>
          <w:b w:val="0"/>
          <w:color w:val="auto"/>
          <w:highlight w:val="none"/>
        </w:rPr>
        <w:tab/>
      </w:r>
    </w:p>
    <w:p w14:paraId="1423ABA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2024年度一般公共预算财政拨款基本支出265.54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66F7761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人员经费251.93</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元，主要包括：离</w:t>
      </w:r>
      <w:r>
        <w:rPr>
          <w:rFonts w:hint="eastAsia" w:eastAsia="仿宋_GB2312" w:cs="仿宋_GB2312"/>
          <w:color w:val="auto"/>
          <w:kern w:val="2"/>
          <w:sz w:val="32"/>
          <w:szCs w:val="32"/>
          <w:highlight w:val="none"/>
          <w:lang w:val="en-US" w:eastAsia="zh-CN" w:bidi="ar-SA"/>
        </w:rPr>
        <w:t>退</w:t>
      </w:r>
      <w:r>
        <w:rPr>
          <w:rFonts w:hint="eastAsia" w:ascii="Times New Roman" w:hAnsi="Times New Roman" w:eastAsia="仿宋_GB2312" w:cs="仿宋_GB2312"/>
          <w:color w:val="auto"/>
          <w:kern w:val="2"/>
          <w:sz w:val="32"/>
          <w:szCs w:val="32"/>
          <w:highlight w:val="none"/>
          <w:lang w:val="en-US" w:eastAsia="zh-CN" w:bidi="ar-SA"/>
        </w:rPr>
        <w:t>休费、生活补助、医疗费补助。</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公用经费13.6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元，主要包括：福利费、其他商品和服务支出。</w:t>
      </w:r>
    </w:p>
    <w:p w14:paraId="34C0BEE6">
      <w:pPr>
        <w:spacing w:line="600" w:lineRule="exact"/>
        <w:ind w:firstLine="640"/>
        <w:outlineLvl w:val="1"/>
        <w:rPr>
          <w:rStyle w:val="30"/>
          <w:rFonts w:ascii="Times New Roman" w:hAnsi="Times New Roman" w:eastAsia="黑体"/>
          <w:b w:val="0"/>
          <w:color w:val="auto"/>
          <w:highlight w:val="none"/>
        </w:rPr>
      </w:pPr>
      <w:bookmarkStart w:id="45" w:name="_Toc15396609"/>
      <w:bookmarkStart w:id="46" w:name="_Toc26337"/>
      <w:bookmarkStart w:id="47"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45"/>
      <w:bookmarkEnd w:id="46"/>
      <w:bookmarkEnd w:id="47"/>
    </w:p>
    <w:p w14:paraId="0E8D0E2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48"/>
    </w:p>
    <w:p w14:paraId="15D298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2024年度“三公”经费财政拨款支出决算为0</w:t>
      </w:r>
      <w:r>
        <w:rPr>
          <w:rFonts w:hint="eastAsia" w:ascii="仿宋_GB2312" w:hAnsi="仿宋_GB2312" w:eastAsia="仿宋_GB2312" w:cs="仿宋_GB2312"/>
          <w:color w:val="auto"/>
          <w:kern w:val="2"/>
          <w:sz w:val="32"/>
          <w:szCs w:val="32"/>
          <w:highlight w:val="none"/>
          <w:lang w:val="en-US" w:eastAsia="zh-CN" w:bidi="ar-SA"/>
        </w:rPr>
        <w:t>万元。</w:t>
      </w:r>
    </w:p>
    <w:p w14:paraId="3D6DBC7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49"/>
    </w:p>
    <w:p w14:paraId="5664F9B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2024年度“三公”经费财政拨款支出决算中，因公出国（境）费支出决算0万元；公务用车购置及运行维护费支出决算0万元；公务接待费支出决算0万元。</w:t>
      </w:r>
    </w:p>
    <w:p w14:paraId="7E0A8C48">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因公出国（境）支出决算与2023年持平。</w:t>
      </w:r>
    </w:p>
    <w:p w14:paraId="2BEDFB4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ascii="Times New Roman" w:hAnsi="Times New Roman" w:eastAsia="仿宋_GB2312" w:cs="仿宋_GB2312"/>
          <w:color w:val="auto"/>
          <w:kern w:val="2"/>
          <w:sz w:val="32"/>
          <w:szCs w:val="32"/>
          <w:highlight w:val="none"/>
          <w:lang w:val="en-US" w:eastAsia="zh-CN" w:bidi="ar-SA"/>
        </w:rPr>
        <w:t>公务用车购置及运行维护费</w:t>
      </w:r>
      <w:r>
        <w:rPr>
          <w:rFonts w:hint="eastAsia" w:eastAsia="仿宋_GB2312" w:cs="仿宋_GB2312"/>
          <w:color w:val="auto"/>
          <w:kern w:val="2"/>
          <w:sz w:val="32"/>
          <w:szCs w:val="32"/>
          <w:highlight w:val="none"/>
          <w:lang w:val="en-US" w:eastAsia="zh-CN" w:bidi="ar-SA"/>
        </w:rPr>
        <w:t>支出决算与2023年持平。</w:t>
      </w: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0万元。</w:t>
      </w:r>
    </w:p>
    <w:p w14:paraId="0DB73BC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2023年</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。其中：国内公务接待支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bookmarkStart w:id="50" w:name="_Toc15396610"/>
      <w:bookmarkStart w:id="51" w:name="_Toc15377218"/>
    </w:p>
    <w:p w14:paraId="384D7525">
      <w:pPr>
        <w:spacing w:line="600" w:lineRule="exact"/>
        <w:ind w:firstLine="640"/>
        <w:outlineLvl w:val="1"/>
        <w:rPr>
          <w:rStyle w:val="30"/>
          <w:rFonts w:ascii="Times New Roman" w:hAnsi="Times New Roman" w:eastAsia="黑体"/>
          <w:color w:val="auto"/>
          <w:highlight w:val="none"/>
        </w:rPr>
      </w:pPr>
      <w:bookmarkStart w:id="52" w:name="_Toc4659"/>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50"/>
      <w:bookmarkEnd w:id="51"/>
      <w:bookmarkEnd w:id="52"/>
    </w:p>
    <w:p w14:paraId="33D69AA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年度政府性基金预算财政拨款支出</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w:t>
      </w:r>
    </w:p>
    <w:p w14:paraId="1946F4EB">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53" w:name="_Toc15396611"/>
      <w:bookmarkStart w:id="54" w:name="_Toc1453"/>
      <w:bookmarkStart w:id="55"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53"/>
      <w:bookmarkEnd w:id="54"/>
      <w:bookmarkEnd w:id="55"/>
    </w:p>
    <w:p w14:paraId="24D8D9B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2024年度国有资本经营预算财政拨款支出0</w:t>
      </w:r>
      <w:r>
        <w:rPr>
          <w:rFonts w:hint="eastAsia" w:ascii="仿宋_GB2312" w:hAnsi="仿宋_GB2312" w:eastAsia="仿宋_GB2312" w:cs="仿宋_GB2312"/>
          <w:color w:val="auto"/>
          <w:kern w:val="2"/>
          <w:sz w:val="32"/>
          <w:szCs w:val="32"/>
          <w:highlight w:val="none"/>
          <w:lang w:val="en-US" w:eastAsia="zh-CN" w:bidi="ar-SA"/>
        </w:rPr>
        <w:t>万元。</w:t>
      </w:r>
    </w:p>
    <w:p w14:paraId="04A087DA">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56" w:name="_Toc15377221"/>
      <w:bookmarkStart w:id="57" w:name="_Toc28193"/>
      <w:bookmarkStart w:id="58"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56"/>
      <w:bookmarkEnd w:id="57"/>
      <w:bookmarkEnd w:id="58"/>
    </w:p>
    <w:p w14:paraId="6737A6F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59" w:name="_Toc15377222"/>
      <w:r>
        <w:rPr>
          <w:rFonts w:hint="eastAsia" w:ascii="Times New Roman" w:hAnsi="Times New Roman" w:eastAsia="楷体_GB2312" w:cs="楷体_GB2312"/>
          <w:b/>
          <w:color w:val="auto"/>
          <w:sz w:val="32"/>
          <w:szCs w:val="32"/>
          <w:highlight w:val="none"/>
        </w:rPr>
        <w:t>（一）机关运行经费支出情况</w:t>
      </w:r>
      <w:bookmarkEnd w:id="59"/>
    </w:p>
    <w:p w14:paraId="42CE321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四川省攀枝花市总工会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Times New Roman" w:hAnsi="Times New Roman" w:eastAsia="仿宋_GB2312" w:cs="仿宋_GB2312"/>
          <w:color w:val="auto"/>
          <w:kern w:val="2"/>
          <w:sz w:val="32"/>
          <w:szCs w:val="32"/>
          <w:highlight w:val="none"/>
          <w:lang w:val="en-US" w:eastAsia="zh-CN" w:bidi="ar-SA"/>
        </w:rPr>
        <w:t>13.60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9.69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41.61</w:t>
      </w:r>
      <w:r>
        <w:rPr>
          <w:rFonts w:hint="eastAsia" w:ascii="Times New Roman" w:hAnsi="Times New Roman" w:eastAsia="仿宋_GB2312" w:cs="仿宋_GB2312"/>
          <w:color w:val="auto"/>
          <w:kern w:val="2"/>
          <w:sz w:val="32"/>
          <w:szCs w:val="32"/>
          <w:highlight w:val="none"/>
          <w:lang w:val="en-US" w:eastAsia="zh-CN" w:bidi="ar-SA"/>
        </w:rPr>
        <w:t>%。主要原因</w:t>
      </w:r>
      <w:r>
        <w:rPr>
          <w:rFonts w:hint="eastAsia" w:eastAsia="仿宋_GB2312" w:cs="仿宋_GB2312"/>
          <w:color w:val="auto"/>
          <w:kern w:val="2"/>
          <w:sz w:val="32"/>
          <w:szCs w:val="32"/>
          <w:highlight w:val="none"/>
          <w:lang w:val="en-US" w:eastAsia="zh-CN" w:bidi="ar-SA"/>
        </w:rPr>
        <w:t>2024年收到的</w:t>
      </w:r>
      <w:r>
        <w:rPr>
          <w:rFonts w:hint="eastAsia" w:ascii="Times New Roman" w:hAnsi="Times New Roman" w:eastAsia="仿宋_GB2312" w:cs="仿宋_GB2312"/>
          <w:color w:val="auto"/>
          <w:kern w:val="2"/>
          <w:sz w:val="32"/>
          <w:szCs w:val="32"/>
          <w:highlight w:val="none"/>
          <w:lang w:val="en-US" w:eastAsia="zh-CN" w:bidi="ar-SA"/>
        </w:rPr>
        <w:t>离退休人员党建经费及公用经费</w:t>
      </w:r>
      <w:r>
        <w:rPr>
          <w:rFonts w:hint="eastAsia" w:eastAsia="仿宋_GB2312" w:cs="仿宋_GB2312"/>
          <w:color w:val="auto"/>
          <w:kern w:val="2"/>
          <w:sz w:val="32"/>
          <w:szCs w:val="32"/>
          <w:highlight w:val="none"/>
          <w:lang w:val="en-US" w:eastAsia="zh-CN" w:bidi="ar-SA"/>
        </w:rPr>
        <w:t>减少</w:t>
      </w:r>
      <w:r>
        <w:rPr>
          <w:rFonts w:hint="eastAsia" w:ascii="Times New Roman" w:hAnsi="Times New Roman" w:eastAsia="仿宋_GB2312" w:cs="仿宋_GB2312"/>
          <w:color w:val="auto"/>
          <w:kern w:val="2"/>
          <w:sz w:val="32"/>
          <w:szCs w:val="32"/>
          <w:highlight w:val="none"/>
          <w:lang w:val="en-US" w:eastAsia="zh-CN" w:bidi="ar-SA"/>
        </w:rPr>
        <w:t>。</w:t>
      </w:r>
    </w:p>
    <w:p w14:paraId="324DE9D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0" w:name="_Toc15377223"/>
      <w:r>
        <w:rPr>
          <w:rFonts w:hint="eastAsia" w:ascii="Times New Roman" w:hAnsi="Times New Roman" w:eastAsia="楷体_GB2312" w:cs="楷体_GB2312"/>
          <w:b/>
          <w:color w:val="auto"/>
          <w:sz w:val="32"/>
          <w:szCs w:val="32"/>
          <w:highlight w:val="none"/>
        </w:rPr>
        <w:t>（二）政府采购支出情况</w:t>
      </w:r>
      <w:bookmarkEnd w:id="60"/>
    </w:p>
    <w:p w14:paraId="7E7802E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2024年度，四川省攀枝花市总工会政府采购支出总额0万元。</w:t>
      </w:r>
    </w:p>
    <w:p w14:paraId="6A266FD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61" w:name="_Toc15377224"/>
      <w:r>
        <w:rPr>
          <w:rFonts w:hint="eastAsia" w:ascii="Times New Roman" w:hAnsi="Times New Roman" w:eastAsia="楷体_GB2312" w:cs="楷体_GB2312"/>
          <w:b/>
          <w:color w:val="auto"/>
          <w:sz w:val="32"/>
          <w:szCs w:val="32"/>
          <w:highlight w:val="none"/>
        </w:rPr>
        <w:t>（三）国有资产占有使用情况</w:t>
      </w:r>
      <w:bookmarkEnd w:id="61"/>
    </w:p>
    <w:p w14:paraId="7B56114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截至2024年12月31日，四川省攀枝花市总工会共有车辆0辆，其中：主要负责人用车0辆、机要通信用车0辆、应急保障用车0辆、其他用车0辆。单价100万元（含）以上设备（不含车辆）0台（套）。</w:t>
      </w:r>
    </w:p>
    <w:p w14:paraId="2195E05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7234011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根据预算绩效管理要求，四川省攀枝花市总工会在2024年度预算编制阶段，组织对</w:t>
      </w:r>
      <w:r>
        <w:rPr>
          <w:rFonts w:hint="eastAsia" w:eastAsia="仿宋_GB2312" w:cs="仿宋_GB2312"/>
          <w:color w:val="auto"/>
          <w:kern w:val="2"/>
          <w:sz w:val="32"/>
          <w:szCs w:val="32"/>
          <w:highlight w:val="none"/>
          <w:lang w:val="en-US" w:eastAsia="zh-CN" w:bidi="ar-SA"/>
        </w:rPr>
        <w:t>劳模专项经费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50D561F2">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09534837">
      <w:pPr>
        <w:pStyle w:val="2"/>
        <w:rPr>
          <w:rFonts w:hint="eastAsia" w:ascii="Times New Roman" w:hAnsi="Times New Roman" w:eastAsia="仿宋_GB2312" w:cs="仿宋_GB2312"/>
          <w:b/>
          <w:bCs/>
          <w:color w:val="auto"/>
          <w:kern w:val="2"/>
          <w:sz w:val="32"/>
          <w:szCs w:val="32"/>
          <w:highlight w:val="none"/>
          <w:lang w:val="en-US" w:eastAsia="zh-CN" w:bidi="ar-SA"/>
        </w:rPr>
      </w:pPr>
    </w:p>
    <w:p w14:paraId="71FA7995">
      <w:pPr>
        <w:rPr>
          <w:rFonts w:hint="eastAsia" w:ascii="Times New Roman" w:hAnsi="Times New Roman" w:eastAsia="仿宋_GB2312" w:cs="仿宋_GB2312"/>
          <w:b/>
          <w:bCs/>
          <w:color w:val="auto"/>
          <w:kern w:val="2"/>
          <w:sz w:val="32"/>
          <w:szCs w:val="32"/>
          <w:highlight w:val="none"/>
          <w:lang w:val="en-US" w:eastAsia="zh-CN" w:bidi="ar-SA"/>
        </w:rPr>
      </w:pPr>
    </w:p>
    <w:p w14:paraId="5681DAB6">
      <w:pPr>
        <w:pStyle w:val="2"/>
        <w:rPr>
          <w:rFonts w:hint="eastAsia" w:ascii="Times New Roman" w:hAnsi="Times New Roman" w:eastAsia="仿宋_GB2312" w:cs="仿宋_GB2312"/>
          <w:b/>
          <w:bCs/>
          <w:color w:val="auto"/>
          <w:kern w:val="2"/>
          <w:sz w:val="32"/>
          <w:szCs w:val="32"/>
          <w:highlight w:val="none"/>
          <w:lang w:val="en-US" w:eastAsia="zh-CN" w:bidi="ar-SA"/>
        </w:rPr>
      </w:pPr>
    </w:p>
    <w:p w14:paraId="5E1B52BE">
      <w:pPr>
        <w:rPr>
          <w:rFonts w:hint="eastAsia" w:ascii="Times New Roman" w:hAnsi="Times New Roman" w:eastAsia="仿宋_GB2312" w:cs="仿宋_GB2312"/>
          <w:b/>
          <w:bCs/>
          <w:color w:val="auto"/>
          <w:kern w:val="2"/>
          <w:sz w:val="32"/>
          <w:szCs w:val="32"/>
          <w:highlight w:val="none"/>
          <w:lang w:val="en-US" w:eastAsia="zh-CN" w:bidi="ar-SA"/>
        </w:rPr>
      </w:pPr>
    </w:p>
    <w:p w14:paraId="25E5A26B">
      <w:pPr>
        <w:pStyle w:val="2"/>
        <w:rPr>
          <w:rFonts w:hint="eastAsia" w:ascii="Times New Roman" w:hAnsi="Times New Roman" w:eastAsia="仿宋_GB2312" w:cs="仿宋_GB2312"/>
          <w:b/>
          <w:bCs/>
          <w:color w:val="auto"/>
          <w:kern w:val="2"/>
          <w:sz w:val="32"/>
          <w:szCs w:val="32"/>
          <w:highlight w:val="none"/>
          <w:lang w:val="en-US" w:eastAsia="zh-CN" w:bidi="ar-SA"/>
        </w:rPr>
      </w:pPr>
    </w:p>
    <w:p w14:paraId="09FC3D4D">
      <w:pPr>
        <w:rPr>
          <w:rFonts w:hint="eastAsia" w:ascii="Times New Roman" w:hAnsi="Times New Roman" w:eastAsia="仿宋_GB2312" w:cs="仿宋_GB2312"/>
          <w:b/>
          <w:bCs/>
          <w:color w:val="auto"/>
          <w:kern w:val="2"/>
          <w:sz w:val="32"/>
          <w:szCs w:val="32"/>
          <w:highlight w:val="none"/>
          <w:lang w:val="en-US" w:eastAsia="zh-CN" w:bidi="ar-SA"/>
        </w:rPr>
      </w:pPr>
    </w:p>
    <w:p w14:paraId="69AB91DE">
      <w:pPr>
        <w:pStyle w:val="2"/>
        <w:rPr>
          <w:rFonts w:hint="eastAsia" w:ascii="Times New Roman" w:hAnsi="Times New Roman" w:eastAsia="仿宋_GB2312" w:cs="仿宋_GB2312"/>
          <w:b/>
          <w:bCs/>
          <w:color w:val="auto"/>
          <w:kern w:val="2"/>
          <w:sz w:val="32"/>
          <w:szCs w:val="32"/>
          <w:highlight w:val="none"/>
          <w:lang w:val="en-US" w:eastAsia="zh-CN" w:bidi="ar-SA"/>
        </w:rPr>
      </w:pPr>
    </w:p>
    <w:p w14:paraId="34184D7C">
      <w:pPr>
        <w:rPr>
          <w:rFonts w:hint="eastAsia" w:ascii="Times New Roman" w:hAnsi="Times New Roman" w:eastAsia="仿宋_GB2312" w:cs="仿宋_GB2312"/>
          <w:b/>
          <w:bCs/>
          <w:color w:val="auto"/>
          <w:kern w:val="2"/>
          <w:sz w:val="32"/>
          <w:szCs w:val="32"/>
          <w:highlight w:val="none"/>
          <w:lang w:val="en-US" w:eastAsia="zh-CN" w:bidi="ar-SA"/>
        </w:rPr>
      </w:pPr>
    </w:p>
    <w:p w14:paraId="77881308">
      <w:pPr>
        <w:pStyle w:val="2"/>
        <w:rPr>
          <w:rFonts w:hint="eastAsia" w:ascii="Times New Roman" w:hAnsi="Times New Roman" w:eastAsia="仿宋_GB2312" w:cs="仿宋_GB2312"/>
          <w:b/>
          <w:bCs/>
          <w:color w:val="auto"/>
          <w:kern w:val="2"/>
          <w:sz w:val="32"/>
          <w:szCs w:val="32"/>
          <w:highlight w:val="none"/>
          <w:lang w:val="en-US" w:eastAsia="zh-CN" w:bidi="ar-SA"/>
        </w:rPr>
      </w:pPr>
    </w:p>
    <w:p w14:paraId="4BAF3D74">
      <w:pPr>
        <w:rPr>
          <w:rFonts w:hint="eastAsia" w:ascii="Times New Roman" w:hAnsi="Times New Roman" w:eastAsia="仿宋_GB2312" w:cs="仿宋_GB2312"/>
          <w:b/>
          <w:bCs/>
          <w:color w:val="auto"/>
          <w:kern w:val="2"/>
          <w:sz w:val="32"/>
          <w:szCs w:val="32"/>
          <w:highlight w:val="none"/>
          <w:lang w:val="en-US" w:eastAsia="zh-CN" w:bidi="ar-SA"/>
        </w:rPr>
      </w:pPr>
    </w:p>
    <w:p w14:paraId="07EDBB9F">
      <w:pPr>
        <w:pStyle w:val="2"/>
        <w:rPr>
          <w:rFonts w:hint="eastAsia" w:ascii="Times New Roman" w:hAnsi="Times New Roman" w:eastAsia="仿宋_GB2312" w:cs="仿宋_GB2312"/>
          <w:b/>
          <w:bCs/>
          <w:color w:val="auto"/>
          <w:kern w:val="2"/>
          <w:sz w:val="32"/>
          <w:szCs w:val="32"/>
          <w:highlight w:val="none"/>
          <w:lang w:val="en-US" w:eastAsia="zh-CN" w:bidi="ar-SA"/>
        </w:rPr>
      </w:pPr>
    </w:p>
    <w:p w14:paraId="067759B8">
      <w:pPr>
        <w:rPr>
          <w:rFonts w:hint="eastAsia"/>
          <w:lang w:val="en-US" w:eastAsia="zh-CN"/>
        </w:rPr>
      </w:pPr>
    </w:p>
    <w:p w14:paraId="1FE70DD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AFBF16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82C33F4">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62" w:name="_Toc15377225"/>
      <w:bookmarkStart w:id="63" w:name="_Toc17036"/>
      <w:bookmarkStart w:id="64" w:name="_Toc15396613"/>
      <w:bookmarkStart w:id="65" w:name="_Toc26896"/>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62"/>
      <w:bookmarkEnd w:id="63"/>
      <w:bookmarkEnd w:id="64"/>
      <w:bookmarkEnd w:id="65"/>
    </w:p>
    <w:p w14:paraId="63272BD1">
      <w:pPr>
        <w:spacing w:line="600" w:lineRule="exact"/>
        <w:jc w:val="left"/>
        <w:rPr>
          <w:rFonts w:ascii="Times New Roman" w:hAnsi="Times New Roman"/>
          <w:b/>
          <w:color w:val="auto"/>
          <w:sz w:val="44"/>
          <w:szCs w:val="44"/>
          <w:highlight w:val="none"/>
        </w:rPr>
      </w:pPr>
    </w:p>
    <w:p w14:paraId="08A8CF7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1.财政拨款收入：指单位从同级财政部门取得的财政预算资金。</w:t>
      </w:r>
    </w:p>
    <w:p w14:paraId="7E8C4094">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2.年初结转和结余：指以前年度尚未完成、结转到本年按有关规定继续使用的资金。 </w:t>
      </w:r>
    </w:p>
    <w:p w14:paraId="4786363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3.年末结转和结余：指单位按有关规定结转到下年或以后年度继续使用的资金。</w:t>
      </w:r>
    </w:p>
    <w:p w14:paraId="246B6DA6">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4.一般公共服务（类）群众团体事务（款）其他群众团体事务（项）：指其他用于群众团体事务方面的支出。</w:t>
      </w:r>
    </w:p>
    <w:p w14:paraId="53E98C3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5.一般公共服务（类）组织事务（款）其他组织事务（项）：指其他用于中国共产党组织部门的事务支出。</w:t>
      </w:r>
    </w:p>
    <w:p w14:paraId="269F7B43">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6.社会保障和就业（类）行政事业单位养老（款）行政单位离退休（项）：指行政单位（包括实行公务员管理的事业单位）开支的离退休经费。</w:t>
      </w:r>
    </w:p>
    <w:p w14:paraId="32AF2CF5">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7.社会保障和就业（类）行政事业单位养老（款）事业单位离退休（项）：指事业单位开支的离退休经费。</w:t>
      </w:r>
    </w:p>
    <w:p w14:paraId="43B79EC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8.社会保障和就业（类）抚恤（款）死亡抚恤（项）：指按规定用于烈士和牺牲、病故人员家属的一次性和定期抚恤金、丧葬补助费以及烈士褒扬金。</w:t>
      </w:r>
    </w:p>
    <w:p w14:paraId="0209053A">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9.基本支出：指为保障机构正常运转、完成日常工作任务而发生的人员支出和公用支出。</w:t>
      </w:r>
    </w:p>
    <w:p w14:paraId="77809FA9">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10.项目支出：指在基本支出之外为完成特定行政任务和事业发展目标所发生的支出。 </w:t>
      </w:r>
    </w:p>
    <w:p w14:paraId="76D84EA1">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3E86E7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01B495">
      <w:pPr>
        <w:spacing w:line="600" w:lineRule="exact"/>
        <w:jc w:val="center"/>
        <w:rPr>
          <w:rStyle w:val="29"/>
          <w:rFonts w:hint="eastAsia" w:ascii="Times New Roman" w:hAnsi="Times New Roman" w:eastAsia="黑体"/>
          <w:b w:val="0"/>
          <w:color w:val="auto"/>
          <w:highlight w:val="none"/>
          <w:lang w:eastAsia="zh-CN"/>
        </w:rPr>
      </w:pPr>
      <w:bookmarkStart w:id="66"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67"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67"/>
    </w:p>
    <w:p w14:paraId="5447A26F">
      <w:pPr>
        <w:pStyle w:val="6"/>
        <w:rPr>
          <w:rFonts w:hint="eastAsia" w:ascii="Times New Roman" w:hAnsi="Times New Roman" w:cs="宋体"/>
          <w:color w:val="FF0000"/>
          <w:kern w:val="0"/>
          <w:sz w:val="32"/>
          <w:szCs w:val="32"/>
          <w:highlight w:val="yellow"/>
          <w:shd w:val="clear" w:color="auto" w:fill="FFFFFF"/>
          <w:lang w:val="zh-CN"/>
        </w:rPr>
      </w:pPr>
    </w:p>
    <w:p w14:paraId="244CDEA7">
      <w:pPr>
        <w:keepNext w:val="0"/>
        <w:keepLines w:val="0"/>
        <w:pageBreakBefore w:val="0"/>
        <w:widowControl w:val="0"/>
        <w:kinsoku/>
        <w:wordWrap/>
        <w:overflowPunct/>
        <w:topLinePunct w:val="0"/>
        <w:autoSpaceDE/>
        <w:autoSpaceDN/>
        <w:bidi w:val="0"/>
        <w:spacing w:line="578" w:lineRule="exact"/>
        <w:ind w:firstLine="640" w:firstLineChars="200"/>
        <w:textAlignment w:val="auto"/>
        <w:outlineLvl w:val="9"/>
        <w:rPr>
          <w:rFonts w:hint="default" w:ascii="Times New Roman" w:hAnsi="Times New Roman" w:eastAsia="仿宋_GB2312" w:cs="仿宋_GB2312"/>
          <w:b w:val="0"/>
          <w:bCs w:val="0"/>
          <w:kern w:val="0"/>
          <w:position w:val="0"/>
          <w:sz w:val="32"/>
          <w:szCs w:val="32"/>
          <w:highlight w:val="none"/>
          <w:lang w:val="en-US" w:eastAsia="zh-CN" w:bidi="ar-SA"/>
        </w:rPr>
      </w:pPr>
      <w:r>
        <w:rPr>
          <w:rFonts w:hint="eastAsia" w:eastAsia="仿宋_GB2312" w:cs="仿宋_GB2312"/>
          <w:b w:val="0"/>
          <w:bCs w:val="0"/>
          <w:kern w:val="0"/>
          <w:position w:val="0"/>
          <w:sz w:val="32"/>
          <w:szCs w:val="32"/>
          <w:highlight w:val="none"/>
          <w:lang w:val="en-US" w:eastAsia="zh-CN" w:bidi="ar-SA"/>
        </w:rPr>
        <w:t>部门</w:t>
      </w:r>
      <w:r>
        <w:rPr>
          <w:rFonts w:hint="eastAsia" w:ascii="Times New Roman" w:hAnsi="Times New Roman" w:eastAsia="仿宋_GB2312" w:cs="仿宋_GB2312"/>
          <w:b w:val="0"/>
          <w:bCs w:val="0"/>
          <w:kern w:val="0"/>
          <w:position w:val="0"/>
          <w:sz w:val="32"/>
          <w:szCs w:val="32"/>
          <w:highlight w:val="none"/>
          <w:lang w:val="en-US" w:eastAsia="zh-CN" w:bidi="ar-SA"/>
        </w:rPr>
        <w:t>预算项目支出绩效自评表（2024年度）</w:t>
      </w:r>
      <w:r>
        <w:rPr>
          <w:rFonts w:hint="eastAsia" w:eastAsia="仿宋_GB2312" w:cs="仿宋_GB2312"/>
          <w:b w:val="0"/>
          <w:bCs w:val="0"/>
          <w:kern w:val="0"/>
          <w:position w:val="0"/>
          <w:sz w:val="32"/>
          <w:szCs w:val="32"/>
          <w:highlight w:val="none"/>
          <w:lang w:val="en-US" w:eastAsia="zh-CN" w:bidi="ar-SA"/>
        </w:rPr>
        <w:t>见附件3。</w:t>
      </w:r>
    </w:p>
    <w:p w14:paraId="5538CF3D">
      <w:pPr>
        <w:rPr>
          <w:rFonts w:hint="eastAsia" w:ascii="Times New Roman" w:hAnsi="Times New Roman" w:eastAsia="仿宋_GB2312" w:cs="仿宋_GB2312"/>
          <w:b w:val="0"/>
          <w:bCs w:val="0"/>
          <w:kern w:val="0"/>
          <w:position w:val="0"/>
          <w:sz w:val="32"/>
          <w:szCs w:val="32"/>
          <w:highlight w:val="none"/>
          <w:lang w:val="en-US" w:eastAsia="zh-CN" w:bidi="ar-SA"/>
        </w:rPr>
      </w:pPr>
      <w:bookmarkStart w:id="68"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7150EDF8">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66"/>
      <w:bookmarkEnd w:id="68"/>
      <w:bookmarkStart w:id="69" w:name="_Toc15396619"/>
    </w:p>
    <w:p w14:paraId="7BAC49B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17DE18E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69"/>
    </w:p>
    <w:p w14:paraId="5FE38A2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0" w:name="_Toc15396620"/>
      <w:r>
        <w:rPr>
          <w:rFonts w:hint="eastAsia" w:ascii="Times New Roman" w:hAnsi="Times New Roman" w:eastAsia="仿宋_GB2312" w:cs="仿宋_GB2312"/>
          <w:color w:val="auto"/>
          <w:sz w:val="32"/>
          <w:szCs w:val="32"/>
          <w:highlight w:val="none"/>
        </w:rPr>
        <w:t>二、收入决算表</w:t>
      </w:r>
      <w:bookmarkEnd w:id="70"/>
    </w:p>
    <w:p w14:paraId="742907E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1" w:name="_Toc15396621"/>
      <w:r>
        <w:rPr>
          <w:rFonts w:hint="eastAsia" w:ascii="Times New Roman" w:hAnsi="Times New Roman" w:eastAsia="仿宋_GB2312" w:cs="仿宋_GB2312"/>
          <w:color w:val="auto"/>
          <w:sz w:val="32"/>
          <w:szCs w:val="32"/>
          <w:highlight w:val="none"/>
        </w:rPr>
        <w:t>三、支出决算表</w:t>
      </w:r>
      <w:bookmarkEnd w:id="71"/>
    </w:p>
    <w:p w14:paraId="3CE5ED97">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2" w:name="_Toc15396622"/>
      <w:r>
        <w:rPr>
          <w:rFonts w:hint="eastAsia" w:ascii="Times New Roman" w:hAnsi="Times New Roman" w:eastAsia="仿宋_GB2312" w:cs="仿宋_GB2312"/>
          <w:color w:val="auto"/>
          <w:sz w:val="32"/>
          <w:szCs w:val="32"/>
          <w:highlight w:val="none"/>
        </w:rPr>
        <w:t>四、财政拨款收入支出决算总表</w:t>
      </w:r>
      <w:bookmarkEnd w:id="72"/>
    </w:p>
    <w:p w14:paraId="4915B22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3" w:name="_Toc15396623"/>
      <w:r>
        <w:rPr>
          <w:rFonts w:hint="eastAsia" w:ascii="Times New Roman" w:hAnsi="Times New Roman" w:eastAsia="仿宋_GB2312" w:cs="仿宋_GB2312"/>
          <w:color w:val="auto"/>
          <w:sz w:val="32"/>
          <w:szCs w:val="32"/>
          <w:highlight w:val="none"/>
        </w:rPr>
        <w:t>五、财政拨款支出决算明细表</w:t>
      </w:r>
      <w:bookmarkEnd w:id="73"/>
      <w:bookmarkStart w:id="74" w:name="_Toc15396624"/>
    </w:p>
    <w:p w14:paraId="688C1C03">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74"/>
    </w:p>
    <w:p w14:paraId="534E8C5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5" w:name="_Toc15396625"/>
      <w:r>
        <w:rPr>
          <w:rFonts w:hint="eastAsia" w:ascii="Times New Roman" w:hAnsi="Times New Roman" w:eastAsia="仿宋_GB2312" w:cs="仿宋_GB2312"/>
          <w:color w:val="auto"/>
          <w:sz w:val="32"/>
          <w:szCs w:val="32"/>
          <w:highlight w:val="none"/>
        </w:rPr>
        <w:t>七、一般公共预算财政拨款支出决算明细表</w:t>
      </w:r>
      <w:bookmarkEnd w:id="75"/>
    </w:p>
    <w:p w14:paraId="527373D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6" w:name="_Toc15396626"/>
      <w:r>
        <w:rPr>
          <w:rFonts w:hint="eastAsia" w:ascii="Times New Roman" w:hAnsi="Times New Roman" w:eastAsia="仿宋_GB2312" w:cs="仿宋_GB2312"/>
          <w:color w:val="auto"/>
          <w:sz w:val="32"/>
          <w:szCs w:val="32"/>
          <w:highlight w:val="none"/>
        </w:rPr>
        <w:t>八、一般公共预算财政拨款基本支出决算表</w:t>
      </w:r>
      <w:bookmarkEnd w:id="76"/>
    </w:p>
    <w:p w14:paraId="3D5DEF8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7" w:name="_Toc15396627"/>
      <w:r>
        <w:rPr>
          <w:rFonts w:hint="eastAsia" w:ascii="Times New Roman" w:hAnsi="Times New Roman" w:eastAsia="仿宋_GB2312" w:cs="仿宋_GB2312"/>
          <w:color w:val="auto"/>
          <w:sz w:val="32"/>
          <w:szCs w:val="32"/>
          <w:highlight w:val="none"/>
        </w:rPr>
        <w:t>九、一般公共预算财政拨款项目支出决算表</w:t>
      </w:r>
      <w:bookmarkEnd w:id="77"/>
    </w:p>
    <w:p w14:paraId="513AAF7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78" w:name="_Toc15396628"/>
      <w:r>
        <w:rPr>
          <w:rFonts w:hint="eastAsia" w:ascii="Times New Roman" w:hAnsi="Times New Roman" w:eastAsia="仿宋_GB2312" w:cs="仿宋_GB2312"/>
          <w:color w:val="auto"/>
          <w:sz w:val="32"/>
          <w:szCs w:val="32"/>
          <w:highlight w:val="none"/>
        </w:rPr>
        <w:t>十、</w:t>
      </w:r>
      <w:bookmarkEnd w:id="78"/>
      <w:r>
        <w:rPr>
          <w:rFonts w:hint="eastAsia" w:ascii="Times New Roman" w:hAnsi="Times New Roman" w:eastAsia="仿宋_GB2312" w:cs="仿宋_GB2312"/>
          <w:color w:val="auto"/>
          <w:sz w:val="32"/>
          <w:szCs w:val="32"/>
          <w:highlight w:val="none"/>
        </w:rPr>
        <w:t>政府性基金预算财政拨款收入支出决算表</w:t>
      </w:r>
      <w:r>
        <w:rPr>
          <w:rFonts w:hint="eastAsia" w:eastAsia="仿宋_GB2312" w:cs="仿宋_GB2312"/>
          <w:color w:val="auto"/>
          <w:sz w:val="32"/>
          <w:szCs w:val="32"/>
          <w:highlight w:val="none"/>
          <w:lang w:eastAsia="zh-CN"/>
        </w:rPr>
        <w:t>（此表无数据）</w:t>
      </w:r>
    </w:p>
    <w:p w14:paraId="2EE7AC0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79" w:name="_Toc15396629"/>
      <w:r>
        <w:rPr>
          <w:rFonts w:hint="eastAsia" w:ascii="Times New Roman" w:hAnsi="Times New Roman" w:eastAsia="仿宋_GB2312" w:cs="仿宋_GB2312"/>
          <w:color w:val="auto"/>
          <w:sz w:val="32"/>
          <w:szCs w:val="32"/>
          <w:highlight w:val="none"/>
        </w:rPr>
        <w:t>十一、</w:t>
      </w:r>
      <w:bookmarkEnd w:id="79"/>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支出决算表（此表无数据）</w:t>
      </w:r>
    </w:p>
    <w:p w14:paraId="4AE30E5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80" w:name="_Toc15396630"/>
      <w:r>
        <w:rPr>
          <w:rFonts w:hint="eastAsia" w:ascii="Times New Roman" w:hAnsi="Times New Roman" w:eastAsia="仿宋_GB2312" w:cs="仿宋_GB2312"/>
          <w:color w:val="auto"/>
          <w:sz w:val="32"/>
          <w:szCs w:val="32"/>
          <w:highlight w:val="none"/>
        </w:rPr>
        <w:t>十二、</w:t>
      </w:r>
      <w:bookmarkEnd w:id="80"/>
      <w:r>
        <w:rPr>
          <w:rFonts w:hint="eastAsia" w:ascii="Times New Roman" w:hAnsi="Times New Roman" w:eastAsia="仿宋_GB2312" w:cs="仿宋_GB2312"/>
          <w:color w:val="auto"/>
          <w:sz w:val="32"/>
          <w:szCs w:val="32"/>
          <w:highlight w:val="none"/>
          <w:lang w:eastAsia="zh-CN"/>
        </w:rPr>
        <w:t>国有资本经营预算财政拨款支出决算表（此表无数据）</w:t>
      </w:r>
    </w:p>
    <w:p w14:paraId="16E3A5D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81" w:name="_Toc15396631"/>
      <w:r>
        <w:rPr>
          <w:rFonts w:hint="eastAsia" w:ascii="Times New Roman" w:hAnsi="Times New Roman" w:eastAsia="仿宋_GB2312" w:cs="仿宋_GB2312"/>
          <w:color w:val="auto"/>
          <w:sz w:val="32"/>
          <w:szCs w:val="32"/>
          <w:highlight w:val="none"/>
        </w:rPr>
        <w:t>十三、</w:t>
      </w:r>
      <w:bookmarkEnd w:id="81"/>
      <w:r>
        <w:rPr>
          <w:rFonts w:hint="eastAsia" w:ascii="Times New Roman" w:hAnsi="Times New Roman" w:eastAsia="仿宋_GB2312" w:cs="仿宋_GB2312"/>
          <w:color w:val="auto"/>
          <w:sz w:val="32"/>
          <w:szCs w:val="32"/>
          <w:highlight w:val="none"/>
          <w:lang w:eastAsia="zh-CN"/>
        </w:rPr>
        <w:t>财政拨款“三公”经费支出决算表（此表无数据）</w:t>
      </w:r>
    </w:p>
    <w:p w14:paraId="733B7508">
      <w:pPr>
        <w:rPr>
          <w:rFonts w:hint="eastAsia" w:ascii="Times New Roman" w:hAnsi="Times New Roman"/>
          <w:lang w:eastAsia="zh-CN"/>
        </w:rPr>
      </w:pPr>
    </w:p>
    <w:sectPr>
      <w:footerReference r:id="rId10" w:type="firs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8490">
    <w:pPr>
      <w:pStyle w:val="11"/>
      <w:jc w:val="center"/>
    </w:pPr>
  </w:p>
  <w:p w14:paraId="1FC2DBB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FA3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9AD5">
    <w:pPr>
      <w:pStyle w:val="11"/>
      <w:jc w:val="both"/>
    </w:pPr>
  </w:p>
  <w:p w14:paraId="630EADB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3E3B">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566">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57CB3">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0057CB3">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14:paraId="06593E5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4F4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87F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7915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C67C6"/>
    <w:multiLevelType w:val="singleLevel"/>
    <w:tmpl w:val="013C67C6"/>
    <w:lvl w:ilvl="0" w:tentative="0">
      <w:start w:val="1"/>
      <w:numFmt w:val="chineseCounting"/>
      <w:suff w:val="nothing"/>
      <w:lvlText w:val="%1、"/>
      <w:lvlJc w:val="left"/>
      <w:rPr>
        <w:rFonts w:hint="eastAsia"/>
      </w:rPr>
    </w:lvl>
  </w:abstractNum>
  <w:abstractNum w:abstractNumId="1">
    <w:nsid w:val="4EF66FAC"/>
    <w:multiLevelType w:val="singleLevel"/>
    <w:tmpl w:val="4EF66F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820CEF"/>
    <w:rsid w:val="02FEBE30"/>
    <w:rsid w:val="03E77005"/>
    <w:rsid w:val="04916F1E"/>
    <w:rsid w:val="04CE22CC"/>
    <w:rsid w:val="061E35DE"/>
    <w:rsid w:val="066E0107"/>
    <w:rsid w:val="07996F6E"/>
    <w:rsid w:val="07DFD8BA"/>
    <w:rsid w:val="07E00A7E"/>
    <w:rsid w:val="085A2C71"/>
    <w:rsid w:val="09867E8F"/>
    <w:rsid w:val="0A2032A3"/>
    <w:rsid w:val="0A633C97"/>
    <w:rsid w:val="0CA8290A"/>
    <w:rsid w:val="0D110C4F"/>
    <w:rsid w:val="0D35B1ED"/>
    <w:rsid w:val="0E254B6B"/>
    <w:rsid w:val="0EF21A00"/>
    <w:rsid w:val="0F98263C"/>
    <w:rsid w:val="101860EC"/>
    <w:rsid w:val="101F47CC"/>
    <w:rsid w:val="10C055FF"/>
    <w:rsid w:val="110727F2"/>
    <w:rsid w:val="11694EBD"/>
    <w:rsid w:val="11772AA4"/>
    <w:rsid w:val="118107EC"/>
    <w:rsid w:val="12E24EE2"/>
    <w:rsid w:val="134F4A53"/>
    <w:rsid w:val="13A879AB"/>
    <w:rsid w:val="13D50BC4"/>
    <w:rsid w:val="14B17F78"/>
    <w:rsid w:val="165E0673"/>
    <w:rsid w:val="16B831D5"/>
    <w:rsid w:val="16BB723D"/>
    <w:rsid w:val="1712246D"/>
    <w:rsid w:val="17E50567"/>
    <w:rsid w:val="186504BB"/>
    <w:rsid w:val="18733E84"/>
    <w:rsid w:val="190A7209"/>
    <w:rsid w:val="19A445FC"/>
    <w:rsid w:val="1BE8440E"/>
    <w:rsid w:val="1BF41B7A"/>
    <w:rsid w:val="1CB60611"/>
    <w:rsid w:val="1D155CEE"/>
    <w:rsid w:val="1D1638FE"/>
    <w:rsid w:val="1E0D475B"/>
    <w:rsid w:val="1E312DEB"/>
    <w:rsid w:val="1E740ACF"/>
    <w:rsid w:val="1FCC08C6"/>
    <w:rsid w:val="1FF35744"/>
    <w:rsid w:val="1FF6BC77"/>
    <w:rsid w:val="207D1B7A"/>
    <w:rsid w:val="20D9162C"/>
    <w:rsid w:val="2186353C"/>
    <w:rsid w:val="22A25680"/>
    <w:rsid w:val="23860B96"/>
    <w:rsid w:val="240371BF"/>
    <w:rsid w:val="244F3473"/>
    <w:rsid w:val="24C97D99"/>
    <w:rsid w:val="256B13EC"/>
    <w:rsid w:val="25A718F0"/>
    <w:rsid w:val="25BB59F6"/>
    <w:rsid w:val="260F557C"/>
    <w:rsid w:val="26970054"/>
    <w:rsid w:val="281408E2"/>
    <w:rsid w:val="28E72B1C"/>
    <w:rsid w:val="29F756A2"/>
    <w:rsid w:val="29FD04D3"/>
    <w:rsid w:val="2AA467D8"/>
    <w:rsid w:val="2AD0185D"/>
    <w:rsid w:val="2B3B360F"/>
    <w:rsid w:val="2BFF7BC6"/>
    <w:rsid w:val="2C8A61B5"/>
    <w:rsid w:val="2D1D4A17"/>
    <w:rsid w:val="2DF04E50"/>
    <w:rsid w:val="2E586DFA"/>
    <w:rsid w:val="2F040D46"/>
    <w:rsid w:val="2F6B035B"/>
    <w:rsid w:val="2FAE5751"/>
    <w:rsid w:val="2FB1A395"/>
    <w:rsid w:val="2FD9A7D8"/>
    <w:rsid w:val="2FDBF714"/>
    <w:rsid w:val="30AB6865"/>
    <w:rsid w:val="319F7F4E"/>
    <w:rsid w:val="32BD1EF1"/>
    <w:rsid w:val="3304709D"/>
    <w:rsid w:val="33A773CB"/>
    <w:rsid w:val="349D6851"/>
    <w:rsid w:val="34F07218"/>
    <w:rsid w:val="359B3784"/>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9A77B3"/>
    <w:rsid w:val="3DEE7CF3"/>
    <w:rsid w:val="3E166C6B"/>
    <w:rsid w:val="3E740A63"/>
    <w:rsid w:val="3E78745D"/>
    <w:rsid w:val="3EE17838"/>
    <w:rsid w:val="3F55381A"/>
    <w:rsid w:val="3F7F7599"/>
    <w:rsid w:val="3FF4CAE0"/>
    <w:rsid w:val="3FF7B227"/>
    <w:rsid w:val="40181D19"/>
    <w:rsid w:val="40F053F7"/>
    <w:rsid w:val="417920A2"/>
    <w:rsid w:val="44E268DA"/>
    <w:rsid w:val="450D13D7"/>
    <w:rsid w:val="45506656"/>
    <w:rsid w:val="468B6BD0"/>
    <w:rsid w:val="476833B2"/>
    <w:rsid w:val="48684EBF"/>
    <w:rsid w:val="486A6C7A"/>
    <w:rsid w:val="496E5B8B"/>
    <w:rsid w:val="4A627F82"/>
    <w:rsid w:val="4B0E749A"/>
    <w:rsid w:val="4B2477C4"/>
    <w:rsid w:val="4B4F25DA"/>
    <w:rsid w:val="4B500246"/>
    <w:rsid w:val="4BE068DB"/>
    <w:rsid w:val="4C2548E4"/>
    <w:rsid w:val="4CC64F56"/>
    <w:rsid w:val="4D577224"/>
    <w:rsid w:val="4DBF1CEB"/>
    <w:rsid w:val="4DF0007C"/>
    <w:rsid w:val="4EAB630A"/>
    <w:rsid w:val="4EC34792"/>
    <w:rsid w:val="4ECE2238"/>
    <w:rsid w:val="4F833267"/>
    <w:rsid w:val="4FE9BD67"/>
    <w:rsid w:val="4FFB052F"/>
    <w:rsid w:val="51842E46"/>
    <w:rsid w:val="52497B10"/>
    <w:rsid w:val="52631564"/>
    <w:rsid w:val="533D4C00"/>
    <w:rsid w:val="537E6D0A"/>
    <w:rsid w:val="53F74C96"/>
    <w:rsid w:val="54BC0090"/>
    <w:rsid w:val="55170BA8"/>
    <w:rsid w:val="553218C9"/>
    <w:rsid w:val="567E1AA5"/>
    <w:rsid w:val="56E47B74"/>
    <w:rsid w:val="57175D52"/>
    <w:rsid w:val="57BA1646"/>
    <w:rsid w:val="57BD3DD4"/>
    <w:rsid w:val="57F164E0"/>
    <w:rsid w:val="5AF92295"/>
    <w:rsid w:val="5B250254"/>
    <w:rsid w:val="5BDD79E6"/>
    <w:rsid w:val="5BF561CA"/>
    <w:rsid w:val="5BFF5DFC"/>
    <w:rsid w:val="5CBD248D"/>
    <w:rsid w:val="5CC66EF0"/>
    <w:rsid w:val="5CD71FC4"/>
    <w:rsid w:val="5D1F11B5"/>
    <w:rsid w:val="5D695134"/>
    <w:rsid w:val="5DAE1B18"/>
    <w:rsid w:val="5DE7D9E5"/>
    <w:rsid w:val="5ECEC941"/>
    <w:rsid w:val="5FBF9FF3"/>
    <w:rsid w:val="5FCD4E2C"/>
    <w:rsid w:val="5FEF394A"/>
    <w:rsid w:val="5FF67715"/>
    <w:rsid w:val="60975DE2"/>
    <w:rsid w:val="60A800F7"/>
    <w:rsid w:val="62BF3928"/>
    <w:rsid w:val="63B3701E"/>
    <w:rsid w:val="647F5392"/>
    <w:rsid w:val="65E66580"/>
    <w:rsid w:val="664B1D71"/>
    <w:rsid w:val="664B4E8E"/>
    <w:rsid w:val="668636D4"/>
    <w:rsid w:val="67277B67"/>
    <w:rsid w:val="67AA3209"/>
    <w:rsid w:val="698D0931"/>
    <w:rsid w:val="6A5F268D"/>
    <w:rsid w:val="6A7FE5F3"/>
    <w:rsid w:val="6AC91545"/>
    <w:rsid w:val="6B053271"/>
    <w:rsid w:val="6BDD78B3"/>
    <w:rsid w:val="6C4A05C8"/>
    <w:rsid w:val="6C8742B8"/>
    <w:rsid w:val="6CBA14E3"/>
    <w:rsid w:val="6DBF5E93"/>
    <w:rsid w:val="6DC164CD"/>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07376FB"/>
    <w:rsid w:val="712A28F1"/>
    <w:rsid w:val="715C0E4B"/>
    <w:rsid w:val="71992E7C"/>
    <w:rsid w:val="72233669"/>
    <w:rsid w:val="72734D90"/>
    <w:rsid w:val="73160E6D"/>
    <w:rsid w:val="732D1B74"/>
    <w:rsid w:val="7332FE48"/>
    <w:rsid w:val="73AB61DA"/>
    <w:rsid w:val="73AD73D5"/>
    <w:rsid w:val="73B6EB34"/>
    <w:rsid w:val="73FA497D"/>
    <w:rsid w:val="744731E5"/>
    <w:rsid w:val="74BBD01D"/>
    <w:rsid w:val="74ED5379"/>
    <w:rsid w:val="758518B4"/>
    <w:rsid w:val="75DEEEC2"/>
    <w:rsid w:val="75E32345"/>
    <w:rsid w:val="76E3355F"/>
    <w:rsid w:val="76FF5125"/>
    <w:rsid w:val="776F6FFA"/>
    <w:rsid w:val="778769C8"/>
    <w:rsid w:val="77A75DCA"/>
    <w:rsid w:val="77DC22F5"/>
    <w:rsid w:val="77ED700C"/>
    <w:rsid w:val="77F45452"/>
    <w:rsid w:val="783E271A"/>
    <w:rsid w:val="78616DE9"/>
    <w:rsid w:val="78E84DF7"/>
    <w:rsid w:val="78E875D7"/>
    <w:rsid w:val="79086DAD"/>
    <w:rsid w:val="791E7A43"/>
    <w:rsid w:val="799D2FE5"/>
    <w:rsid w:val="79D7FD79"/>
    <w:rsid w:val="79EE5BA4"/>
    <w:rsid w:val="7A894339"/>
    <w:rsid w:val="7AA55FA4"/>
    <w:rsid w:val="7AD284E8"/>
    <w:rsid w:val="7AFF7572"/>
    <w:rsid w:val="7B6C7DFB"/>
    <w:rsid w:val="7BBFBED0"/>
    <w:rsid w:val="7BC3E394"/>
    <w:rsid w:val="7C1F3737"/>
    <w:rsid w:val="7CBFC87B"/>
    <w:rsid w:val="7CFE0F48"/>
    <w:rsid w:val="7D272ABC"/>
    <w:rsid w:val="7D3F758A"/>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7FFB590F"/>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3"/>
    <w:qFormat/>
    <w:uiPriority w:val="9"/>
    <w:rPr>
      <w:rFonts w:ascii="Times New Roman" w:hAnsi="Times New Roman"/>
      <w:b/>
      <w:bCs/>
      <w:kern w:val="44"/>
      <w:sz w:val="44"/>
      <w:szCs w:val="44"/>
    </w:rPr>
  </w:style>
  <w:style w:type="character" w:customStyle="1" w:styleId="30">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1177.7</c:v>
                </c:pt>
                <c:pt idx="1">
                  <c:v>1177.7</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965.33</c:v>
                </c:pt>
                <c:pt idx="1">
                  <c:v>965.33</c:v>
                </c:pt>
              </c:numCache>
            </c:numRef>
          </c:val>
        </c:ser>
        <c:dLbls>
          <c:showLegendKey val="0"/>
          <c:showVal val="1"/>
          <c:showCatName val="0"/>
          <c:showSerName val="0"/>
          <c:showPercent val="0"/>
          <c:showBubbleSize val="0"/>
        </c:dLbls>
        <c:gapWidth val="219"/>
        <c:overlap val="-27"/>
        <c:axId val="758069340"/>
        <c:axId val="386128868"/>
      </c:barChart>
      <c:catAx>
        <c:axId val="7580693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1"/>
        <c:lblAlgn val="ctr"/>
        <c:lblOffset val="100"/>
        <c:noMultiLvlLbl val="0"/>
      </c:catAx>
      <c:valAx>
        <c:axId val="3861288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2bf6c97-9d58-4b2f-8cfb-765b29a70c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Sheet1!$A$2</c:f>
              <c:strCache>
                <c:ptCount val="1"/>
                <c:pt idx="0">
                  <c:v>本年收入</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一般公共预算财政拨款收入</c:v>
                </c:pt>
              </c:strCache>
            </c:strRef>
          </c:cat>
          <c:val>
            <c:numRef>
              <c:f>Sheet1!$B$2</c:f>
              <c:numCache>
                <c:formatCode>General</c:formatCode>
                <c:ptCount val="1"/>
                <c:pt idx="0">
                  <c:v>273.86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045164417486242"/>
          <c:y val="0.7989749774108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f09630-9940-4dbc-a27a-fe42f9c3ec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265.54</c:v>
                </c:pt>
                <c:pt idx="1">
                  <c:v>699.8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1cf81b3-fda9-4fc9-b803-75f9ef6c885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722951680672269"/>
          <c:y val="0.147463625639009"/>
          <c:w val="0.900393907563025"/>
          <c:h val="0.666024380652772"/>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Sheet1!$B$2:$B$3</c:f>
              <c:numCache>
                <c:formatCode>General</c:formatCode>
                <c:ptCount val="2"/>
                <c:pt idx="0">
                  <c:v>1177.7</c:v>
                </c:pt>
                <c:pt idx="1">
                  <c:v>1177.7</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Sheet1!$C$2:$C$3</c:f>
              <c:numCache>
                <c:formatCode>General</c:formatCode>
                <c:ptCount val="2"/>
                <c:pt idx="0">
                  <c:v>965.33</c:v>
                </c:pt>
                <c:pt idx="1">
                  <c:v>965.33</c:v>
                </c:pt>
              </c:numCache>
            </c:numRef>
          </c:val>
        </c:ser>
        <c:dLbls>
          <c:showLegendKey val="0"/>
          <c:showVal val="1"/>
          <c:showCatName val="0"/>
          <c:showSerName val="0"/>
          <c:showPercent val="0"/>
          <c:showBubbleSize val="0"/>
        </c:dLbls>
        <c:gapWidth val="219"/>
        <c:overlap val="-27"/>
        <c:axId val="758069340"/>
        <c:axId val="386128868"/>
      </c:barChart>
      <c:catAx>
        <c:axId val="7580693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1"/>
        <c:lblAlgn val="ctr"/>
        <c:lblOffset val="100"/>
        <c:noMultiLvlLbl val="0"/>
      </c:catAx>
      <c:valAx>
        <c:axId val="3861288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37dd11-c1c8-4da6-9543-07e19d79d1c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76847020049437"/>
          <c:y val="0.21613436123348"/>
          <c:w val="0.894589398516891"/>
          <c:h val="0.590693832599119"/>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1177.7</c:v>
                </c:pt>
              </c:numCache>
            </c:numRef>
          </c:val>
        </c:ser>
        <c:ser>
          <c:idx val="1"/>
          <c:order val="1"/>
          <c:tx>
            <c:strRef>
              <c:f>Sheet1!$C$1</c:f>
              <c:strCache>
                <c:ptCount val="1"/>
                <c:pt idx="0">
                  <c:v>2024年</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965.33</c:v>
                </c:pt>
              </c:numCache>
            </c:numRef>
          </c:val>
        </c:ser>
        <c:dLbls>
          <c:showLegendKey val="0"/>
          <c:showVal val="0"/>
          <c:showCatName val="0"/>
          <c:showSerName val="0"/>
          <c:showPercent val="0"/>
          <c:showBubbleSize val="0"/>
        </c:dLbls>
        <c:gapWidth val="219"/>
        <c:overlap val="-27"/>
        <c:axId val="817357738"/>
        <c:axId val="87193509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173577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935091"/>
        <c:crosses val="autoZero"/>
        <c:auto val="1"/>
        <c:lblAlgn val="ctr"/>
        <c:lblOffset val="100"/>
        <c:noMultiLvlLbl val="0"/>
      </c:catAx>
      <c:valAx>
        <c:axId val="8719350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3577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cdf41dd-8099-49b4-a911-c24de192067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一般公共服务支出</c:v>
                </c:pt>
                <c:pt idx="2">
                  <c:v>卫生健康支出</c:v>
                </c:pt>
              </c:strCache>
            </c:strRef>
          </c:cat>
          <c:val>
            <c:numRef>
              <c:f>Sheet1!$B$2:$B$4</c:f>
              <c:numCache>
                <c:formatCode>General</c:formatCode>
                <c:ptCount val="3"/>
                <c:pt idx="0">
                  <c:v>259.77</c:v>
                </c:pt>
                <c:pt idx="1">
                  <c:v>704.69</c:v>
                </c:pt>
                <c:pt idx="2">
                  <c:v>0.87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7ab614e-85c2-4494-b139-caea3c1e9b1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4060</Words>
  <Characters>4448</Characters>
  <Lines>61</Lines>
  <Paragraphs>17</Paragraphs>
  <TotalTime>79</TotalTime>
  <ScaleCrop>false</ScaleCrop>
  <LinksUpToDate>false</LinksUpToDate>
  <CharactersWithSpaces>4516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夏琳稀</cp:lastModifiedBy>
  <cp:lastPrinted>2025-08-06T17:34:00Z</cp:lastPrinted>
  <dcterms:modified xsi:type="dcterms:W3CDTF">2025-09-15T00:47:39Z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eyJoZGlkIjoiOGM1OWMxMDNjN2VjMGI4NjkyZTgyZjNhOGZkNGQ3MzgiLCJ1c2VySWQiOiIxNDQyNTg2NzE4In0=</vt:lpwstr>
  </property>
</Properties>
</file>