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FD575">
      <w:pPr>
        <w:rPr>
          <w:rFonts w:ascii="Times New Roman" w:hAnsi="Times New Roman"/>
        </w:rPr>
      </w:pPr>
      <w:bookmarkStart w:id="0" w:name="_Toc15377425"/>
      <w:bookmarkStart w:id="1" w:name="_Toc15396475"/>
      <w:bookmarkStart w:id="2" w:name="_Toc15396597"/>
      <w:bookmarkStart w:id="3" w:name="_Toc15377193"/>
      <w:bookmarkStart w:id="4" w:name="_Toc15378441"/>
      <w:bookmarkStart w:id="5" w:name="_Toc15306267"/>
    </w:p>
    <w:p w14:paraId="38E3C7BF">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621687DB">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7E40360C">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54A95F52">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5022481D">
      <w:pPr>
        <w:pStyle w:val="8"/>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96598"/>
      <w:bookmarkStart w:id="7" w:name="_Toc15377426"/>
      <w:bookmarkStart w:id="8" w:name="_Toc15396476"/>
      <w:bookmarkStart w:id="9" w:name="_Toc15378442"/>
      <w:bookmarkStart w:id="10" w:name="_Toc15377194"/>
      <w:r>
        <w:rPr>
          <w:rFonts w:hint="eastAsia" w:ascii="Times New Roman" w:hAnsi="Times New Roman" w:eastAsia="方正小标宋简体" w:cs="Times New Roman"/>
          <w:color w:val="auto"/>
          <w:kern w:val="2"/>
          <w:sz w:val="44"/>
          <w:szCs w:val="44"/>
          <w:highlight w:val="none"/>
          <w:lang w:val="en-US" w:eastAsia="zh-CN" w:bidi="ar-SA"/>
        </w:rPr>
        <w:t>2024年度</w:t>
      </w:r>
      <w:bookmarkEnd w:id="5"/>
      <w:bookmarkStart w:id="11" w:name="_Toc15306268"/>
    </w:p>
    <w:p w14:paraId="6C968907">
      <w:pPr>
        <w:pStyle w:val="8"/>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攀枝花市成都干部休养所</w:t>
      </w:r>
    </w:p>
    <w:p w14:paraId="1670A30F">
      <w:pPr>
        <w:pStyle w:val="8"/>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单位</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p>
    <w:p w14:paraId="406E3132">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14:paraId="33A37061">
      <w:pPr>
        <w:widowControl/>
        <w:jc w:val="center"/>
        <w:rPr>
          <w:rFonts w:ascii="Times New Roman" w:hAnsi="Times New Roman" w:eastAsia="黑体" w:cstheme="minorBidi"/>
          <w:color w:val="auto"/>
          <w:sz w:val="28"/>
          <w:szCs w:val="28"/>
          <w:highlight w:val="none"/>
        </w:rPr>
      </w:pPr>
    </w:p>
    <w:p w14:paraId="57AFE3FB">
      <w:pPr>
        <w:pStyle w:val="14"/>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12</w:t>
      </w:r>
      <w:r>
        <w:rPr>
          <w:rFonts w:hint="eastAsia" w:ascii="Times New Roman" w:hAnsi="Times New Roman" w:eastAsia="仿宋_GB2312" w:cs="仿宋_GB2312"/>
          <w:color w:val="auto"/>
          <w:sz w:val="32"/>
          <w:szCs w:val="32"/>
          <w:highlight w:val="none"/>
        </w:rPr>
        <w:t>日</w:t>
      </w:r>
    </w:p>
    <w:p w14:paraId="67925C26">
      <w:pPr>
        <w:rPr>
          <w:rFonts w:ascii="Times New Roman" w:hAnsi="Times New Roman"/>
          <w:color w:val="auto"/>
          <w:highlight w:val="none"/>
        </w:rPr>
      </w:pPr>
    </w:p>
    <w:sdt>
      <w:sdtPr>
        <w:rPr>
          <w:rFonts w:ascii="宋体" w:hAnsi="宋体" w:eastAsia="宋体" w:cs="Times New Roman"/>
          <w:kern w:val="2"/>
          <w:sz w:val="21"/>
          <w:szCs w:val="24"/>
          <w:lang w:val="en-US" w:eastAsia="zh-CN" w:bidi="ar-SA"/>
        </w:rPr>
        <w:id w:val="147479719"/>
        <w15:color w:val="DBDBDB"/>
        <w:docPartObj>
          <w:docPartGallery w:val="Table of Contents"/>
          <w:docPartUnique/>
        </w:docPartObj>
      </w:sdtPr>
      <w:sdtEndPr>
        <w:rPr>
          <w:rFonts w:hint="eastAsia" w:ascii="Times New Roman" w:hAnsi="Times New Roman" w:eastAsia="宋体" w:cs="Times New Roman"/>
          <w:b/>
          <w:kern w:val="2"/>
          <w:sz w:val="21"/>
          <w:szCs w:val="24"/>
          <w:lang w:val="en-US" w:eastAsia="zh-CN" w:bidi="ar-SA"/>
        </w:rPr>
      </w:sdtEndPr>
      <w:sdtContent>
        <w:p w14:paraId="7D3F6380">
          <w:pPr>
            <w:pStyle w:val="36"/>
            <w:tabs>
              <w:tab w:val="right" w:leader="dot" w:pos="8400"/>
            </w:tabs>
            <w:rPr>
              <w:rFonts w:hint="default" w:ascii="Times New Roman" w:hAnsi="Times New Roman" w:cs="Times New Roman"/>
              <w:b/>
            </w:rPr>
          </w:pPr>
          <w:r>
            <w:rPr>
              <w:rFonts w:hint="eastAsia"/>
              <w:lang w:eastAsia="zh-CN"/>
            </w:rPr>
            <w:fldChar w:fldCharType="begin"/>
          </w:r>
          <w:r>
            <w:rPr>
              <w:rFonts w:hint="eastAsia"/>
              <w:lang w:eastAsia="zh-CN"/>
            </w:rPr>
            <w:instrText xml:space="preserve">TOC \o "1-2" \h \u </w:instrText>
          </w:r>
          <w:r>
            <w:rPr>
              <w:rFonts w:hint="eastAsia"/>
              <w:lang w:eastAsia="zh-CN"/>
            </w:rPr>
            <w:fldChar w:fldCharType="separate"/>
          </w:r>
          <w:r>
            <w:rPr>
              <w:rFonts w:hint="default" w:ascii="Times New Roman" w:hAnsi="Times New Roman" w:eastAsia="黑体" w:cs="Times New Roman"/>
              <w:color w:val="auto"/>
              <w:kern w:val="2"/>
              <w:sz w:val="32"/>
              <w:szCs w:val="32"/>
              <w:highlight w:val="none"/>
              <w:lang w:val="en-US" w:eastAsia="zh-CN" w:bidi="ar-SA"/>
            </w:rPr>
            <w:fldChar w:fldCharType="begin"/>
          </w:r>
          <w:r>
            <w:rPr>
              <w:rFonts w:hint="default" w:ascii="Times New Roman" w:hAnsi="Times New Roman" w:eastAsia="黑体" w:cs="Times New Roman"/>
              <w:color w:val="auto"/>
              <w:kern w:val="2"/>
              <w:sz w:val="32"/>
              <w:szCs w:val="32"/>
              <w:highlight w:val="none"/>
              <w:lang w:val="en-US" w:eastAsia="zh-CN" w:bidi="ar-SA"/>
            </w:rPr>
            <w:instrText xml:space="preserve"> HYPERLINK \l _Toc17543 </w:instrText>
          </w:r>
          <w:r>
            <w:rPr>
              <w:rFonts w:hint="default" w:ascii="Times New Roman" w:hAnsi="Times New Roman" w:eastAsia="黑体" w:cs="Times New Roman"/>
              <w:color w:val="auto"/>
              <w:kern w:val="2"/>
              <w:sz w:val="32"/>
              <w:szCs w:val="32"/>
              <w:highlight w:val="none"/>
              <w:lang w:val="en-US" w:eastAsia="zh-CN" w:bidi="ar-SA"/>
            </w:rPr>
            <w:fldChar w:fldCharType="separate"/>
          </w:r>
          <w:r>
            <w:rPr>
              <w:rFonts w:hint="default" w:ascii="Times New Roman" w:hAnsi="Times New Roman" w:eastAsia="黑体" w:cs="Times New Roman"/>
              <w:color w:val="auto"/>
              <w:kern w:val="2"/>
              <w:sz w:val="32"/>
              <w:szCs w:val="32"/>
              <w:highlight w:val="none"/>
              <w:lang w:val="en-US" w:eastAsia="zh-CN" w:bidi="ar-SA"/>
            </w:rPr>
            <w:t>第一部分  单位概况</w:t>
          </w:r>
          <w:r>
            <w:rPr>
              <w:rFonts w:hint="default" w:ascii="Times New Roman" w:hAnsi="Times New Roman" w:eastAsia="黑体" w:cs="Times New Roman"/>
              <w:color w:val="auto"/>
              <w:kern w:val="2"/>
              <w:sz w:val="32"/>
              <w:szCs w:val="32"/>
              <w:highlight w:val="none"/>
              <w:lang w:val="en-US" w:eastAsia="zh-CN" w:bidi="ar-SA"/>
            </w:rPr>
            <w:tab/>
          </w:r>
          <w:r>
            <w:rPr>
              <w:rFonts w:hint="default" w:ascii="Times New Roman" w:hAnsi="Times New Roman" w:eastAsia="黑体" w:cs="Times New Roman"/>
              <w:color w:val="auto"/>
              <w:kern w:val="2"/>
              <w:sz w:val="32"/>
              <w:szCs w:val="32"/>
              <w:highlight w:val="none"/>
              <w:lang w:val="en-US" w:eastAsia="zh-CN" w:bidi="ar-SA"/>
            </w:rPr>
            <w:fldChar w:fldCharType="begin"/>
          </w:r>
          <w:r>
            <w:rPr>
              <w:rFonts w:hint="default" w:ascii="Times New Roman" w:hAnsi="Times New Roman" w:eastAsia="黑体" w:cs="Times New Roman"/>
              <w:color w:val="auto"/>
              <w:kern w:val="2"/>
              <w:sz w:val="32"/>
              <w:szCs w:val="32"/>
              <w:highlight w:val="none"/>
              <w:lang w:val="en-US" w:eastAsia="zh-CN" w:bidi="ar-SA"/>
            </w:rPr>
            <w:instrText xml:space="preserve"> PAGEREF _Toc17543 \h </w:instrText>
          </w:r>
          <w:r>
            <w:rPr>
              <w:rFonts w:hint="default" w:ascii="Times New Roman" w:hAnsi="Times New Roman" w:eastAsia="黑体" w:cs="Times New Roman"/>
              <w:color w:val="auto"/>
              <w:kern w:val="2"/>
              <w:sz w:val="32"/>
              <w:szCs w:val="32"/>
              <w:highlight w:val="none"/>
              <w:lang w:val="en-US" w:eastAsia="zh-CN" w:bidi="ar-SA"/>
            </w:rPr>
            <w:fldChar w:fldCharType="separate"/>
          </w:r>
          <w:r>
            <w:rPr>
              <w:rFonts w:hint="default" w:ascii="Times New Roman" w:hAnsi="Times New Roman" w:eastAsia="黑体" w:cs="Times New Roman"/>
              <w:color w:val="auto"/>
              <w:kern w:val="2"/>
              <w:sz w:val="32"/>
              <w:szCs w:val="32"/>
              <w:highlight w:val="none"/>
              <w:lang w:val="en-US" w:eastAsia="zh-CN" w:bidi="ar-SA"/>
            </w:rPr>
            <w:t>1</w:t>
          </w:r>
          <w:r>
            <w:rPr>
              <w:rFonts w:hint="default" w:ascii="Times New Roman" w:hAnsi="Times New Roman" w:eastAsia="黑体" w:cs="Times New Roman"/>
              <w:color w:val="auto"/>
              <w:kern w:val="2"/>
              <w:sz w:val="32"/>
              <w:szCs w:val="32"/>
              <w:highlight w:val="none"/>
              <w:lang w:val="en-US" w:eastAsia="zh-CN" w:bidi="ar-SA"/>
            </w:rPr>
            <w:fldChar w:fldCharType="end"/>
          </w:r>
          <w:r>
            <w:rPr>
              <w:rFonts w:hint="default" w:ascii="Times New Roman" w:hAnsi="Times New Roman" w:eastAsia="黑体" w:cs="Times New Roman"/>
              <w:color w:val="auto"/>
              <w:kern w:val="2"/>
              <w:sz w:val="32"/>
              <w:szCs w:val="32"/>
              <w:highlight w:val="none"/>
              <w:lang w:val="en-US" w:eastAsia="zh-CN" w:bidi="ar-SA"/>
            </w:rPr>
            <w:fldChar w:fldCharType="end"/>
          </w:r>
        </w:p>
        <w:p w14:paraId="01E3FD10">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fldChar w:fldCharType="begin"/>
          </w:r>
          <w:r>
            <w:rPr>
              <w:rFonts w:hint="default" w:ascii="Times New Roman" w:hAnsi="Times New Roman" w:eastAsia="仿宋_GB2312" w:cs="Times New Roman"/>
              <w:color w:val="auto"/>
              <w:sz w:val="32"/>
              <w:szCs w:val="32"/>
              <w:highlight w:val="none"/>
              <w:lang w:eastAsia="zh-CN"/>
            </w:rPr>
            <w:instrText xml:space="preserve"> HYPERLINK \l _Toc1694 </w:instrText>
          </w:r>
          <w:r>
            <w:rPr>
              <w:rFonts w:hint="default" w:ascii="Times New Roman" w:hAnsi="Times New Roman" w:eastAsia="仿宋_GB2312" w:cs="Times New Roman"/>
              <w:color w:val="auto"/>
              <w:sz w:val="32"/>
              <w:szCs w:val="32"/>
              <w:highlight w:val="none"/>
              <w:lang w:eastAsia="zh-CN"/>
            </w:rPr>
            <w:fldChar w:fldCharType="separate"/>
          </w:r>
          <w:r>
            <w:rPr>
              <w:rFonts w:hint="default" w:ascii="Times New Roman" w:hAnsi="Times New Roman" w:eastAsia="仿宋_GB2312" w:cs="Times New Roman"/>
              <w:color w:val="auto"/>
              <w:sz w:val="32"/>
              <w:szCs w:val="32"/>
              <w:highlight w:val="none"/>
              <w:lang w:eastAsia="zh-CN"/>
            </w:rPr>
            <w:t>一、单位职责</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_Toc1694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lang w:eastAsia="zh-CN"/>
            </w:rPr>
            <w:fldChar w:fldCharType="end"/>
          </w:r>
        </w:p>
        <w:p w14:paraId="45AF2E9B">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highlight w:val="none"/>
              <w:lang w:eastAsia="zh-CN"/>
            </w:rPr>
            <w:fldChar w:fldCharType="begin"/>
          </w:r>
          <w:r>
            <w:rPr>
              <w:rFonts w:hint="default" w:ascii="Times New Roman" w:hAnsi="Times New Roman" w:eastAsia="仿宋_GB2312" w:cs="Times New Roman"/>
              <w:color w:val="auto"/>
              <w:sz w:val="32"/>
              <w:szCs w:val="32"/>
              <w:highlight w:val="none"/>
              <w:lang w:eastAsia="zh-CN"/>
            </w:rPr>
            <w:instrText xml:space="preserve"> HYPERLINK \l _Toc28800 </w:instrText>
          </w:r>
          <w:r>
            <w:rPr>
              <w:rFonts w:hint="default" w:ascii="Times New Roman" w:hAnsi="Times New Roman" w:eastAsia="仿宋_GB2312" w:cs="Times New Roman"/>
              <w:color w:val="auto"/>
              <w:sz w:val="32"/>
              <w:szCs w:val="32"/>
              <w:highlight w:val="none"/>
              <w:lang w:eastAsia="zh-CN"/>
            </w:rPr>
            <w:fldChar w:fldCharType="separate"/>
          </w:r>
          <w:r>
            <w:rPr>
              <w:rFonts w:hint="default" w:ascii="Times New Roman" w:hAnsi="Times New Roman" w:eastAsia="仿宋_GB2312" w:cs="Times New Roman"/>
              <w:color w:val="auto"/>
              <w:sz w:val="32"/>
              <w:szCs w:val="32"/>
              <w:highlight w:val="none"/>
            </w:rPr>
            <w:t>二、机构设置</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_Toc28800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lang w:eastAsia="zh-CN"/>
            </w:rPr>
            <w:fldChar w:fldCharType="end"/>
          </w:r>
        </w:p>
        <w:p w14:paraId="2099F01D">
          <w:pPr>
            <w:pStyle w:val="14"/>
            <w:keepNext w:val="0"/>
            <w:keepLines w:val="0"/>
            <w:pageBreakBefore w:val="0"/>
            <w:tabs>
              <w:tab w:val="right" w:leader="dot" w:pos="8400"/>
              <w:tab w:val="clear" w:pos="8296"/>
            </w:tabs>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fldChar w:fldCharType="begin"/>
          </w:r>
          <w:r>
            <w:rPr>
              <w:rFonts w:hint="default" w:ascii="Times New Roman" w:hAnsi="Times New Roman" w:eastAsia="黑体" w:cs="Times New Roman"/>
              <w:color w:val="auto"/>
              <w:sz w:val="32"/>
              <w:szCs w:val="32"/>
              <w:highlight w:val="none"/>
              <w:lang w:eastAsia="zh-CN"/>
            </w:rPr>
            <w:instrText xml:space="preserve"> HYPERLINK \l _Toc17625 </w:instrText>
          </w:r>
          <w:r>
            <w:rPr>
              <w:rFonts w:hint="default" w:ascii="Times New Roman" w:hAnsi="Times New Roman" w:eastAsia="黑体" w:cs="Times New Roman"/>
              <w:color w:val="auto"/>
              <w:sz w:val="32"/>
              <w:szCs w:val="32"/>
              <w:highlight w:val="none"/>
              <w:lang w:eastAsia="zh-CN"/>
            </w:rPr>
            <w:fldChar w:fldCharType="separate"/>
          </w:r>
          <w:r>
            <w:rPr>
              <w:rFonts w:hint="default" w:ascii="Times New Roman" w:hAnsi="Times New Roman" w:eastAsia="黑体" w:cs="Times New Roman"/>
              <w:color w:val="auto"/>
              <w:sz w:val="32"/>
              <w:szCs w:val="32"/>
              <w:highlight w:val="none"/>
            </w:rPr>
            <w:t>第二部分</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黑体" w:cs="Times New Roman"/>
              <w:color w:val="auto"/>
              <w:sz w:val="32"/>
              <w:szCs w:val="32"/>
              <w:highlight w:val="none"/>
              <w:lang w:val="en-US" w:eastAsia="zh-CN"/>
            </w:rPr>
            <w:t>2024年度</w:t>
          </w:r>
          <w:r>
            <w:rPr>
              <w:rFonts w:hint="default" w:ascii="Times New Roman" w:hAnsi="Times New Roman" w:eastAsia="黑体" w:cs="Times New Roman"/>
              <w:color w:val="auto"/>
              <w:sz w:val="32"/>
              <w:szCs w:val="32"/>
              <w:highlight w:val="none"/>
            </w:rPr>
            <w:t>部门决算情况说明</w:t>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color w:val="auto"/>
              <w:sz w:val="32"/>
              <w:szCs w:val="32"/>
              <w:highlight w:val="none"/>
            </w:rPr>
            <w:instrText xml:space="preserve"> PAGEREF _Toc17625 \h </w:instrText>
          </w:r>
          <w:r>
            <w:rPr>
              <w:rFonts w:hint="default" w:ascii="Times New Roman" w:hAnsi="Times New Roman" w:eastAsia="黑体" w:cs="Times New Roman"/>
              <w:color w:val="auto"/>
              <w:sz w:val="32"/>
              <w:szCs w:val="32"/>
              <w:highlight w:val="none"/>
            </w:rPr>
            <w:fldChar w:fldCharType="separate"/>
          </w:r>
          <w:r>
            <w:rPr>
              <w:rFonts w:hint="default" w:ascii="Times New Roman" w:hAnsi="Times New Roman" w:eastAsia="黑体" w:cs="Times New Roman"/>
              <w:color w:val="auto"/>
              <w:sz w:val="32"/>
              <w:szCs w:val="32"/>
              <w:highlight w:val="none"/>
            </w:rPr>
            <w:t>4</w:t>
          </w:r>
          <w:r>
            <w:rPr>
              <w:rFonts w:hint="default" w:ascii="Times New Roman" w:hAnsi="Times New Roman" w:eastAsia="黑体" w:cs="Times New Roman"/>
              <w:color w:val="auto"/>
              <w:sz w:val="32"/>
              <w:szCs w:val="32"/>
              <w:highlight w:val="none"/>
            </w:rPr>
            <w:fldChar w:fldCharType="end"/>
          </w:r>
          <w:r>
            <w:rPr>
              <w:rFonts w:hint="default" w:ascii="Times New Roman" w:hAnsi="Times New Roman" w:eastAsia="黑体" w:cs="Times New Roman"/>
              <w:color w:val="auto"/>
              <w:sz w:val="32"/>
              <w:szCs w:val="32"/>
              <w:highlight w:val="none"/>
              <w:lang w:eastAsia="zh-CN"/>
            </w:rPr>
            <w:fldChar w:fldCharType="end"/>
          </w:r>
        </w:p>
        <w:p w14:paraId="5175FFFC">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fldChar w:fldCharType="begin"/>
          </w:r>
          <w:r>
            <w:rPr>
              <w:rFonts w:hint="default" w:ascii="Times New Roman" w:hAnsi="Times New Roman" w:eastAsia="仿宋_GB2312" w:cs="Times New Roman"/>
              <w:color w:val="auto"/>
              <w:sz w:val="32"/>
              <w:szCs w:val="32"/>
              <w:highlight w:val="none"/>
              <w:lang w:eastAsia="zh-CN"/>
            </w:rPr>
            <w:instrText xml:space="preserve"> HYPERLINK \l _Toc27266 </w:instrText>
          </w:r>
          <w:r>
            <w:rPr>
              <w:rFonts w:hint="default" w:ascii="Times New Roman" w:hAnsi="Times New Roman" w:eastAsia="仿宋_GB2312" w:cs="Times New Roman"/>
              <w:color w:val="auto"/>
              <w:sz w:val="32"/>
              <w:szCs w:val="32"/>
              <w:highlight w:val="none"/>
              <w:lang w:eastAsia="zh-CN"/>
            </w:rPr>
            <w:fldChar w:fldCharType="separate"/>
          </w: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收入支出决算总体情况说明</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_Toc27266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lang w:eastAsia="zh-CN"/>
            </w:rPr>
            <w:fldChar w:fldCharType="end"/>
          </w:r>
        </w:p>
        <w:p w14:paraId="318DE929">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fldChar w:fldCharType="begin"/>
          </w:r>
          <w:r>
            <w:rPr>
              <w:rFonts w:hint="default" w:ascii="Times New Roman" w:hAnsi="Times New Roman" w:eastAsia="仿宋_GB2312" w:cs="Times New Roman"/>
              <w:color w:val="auto"/>
              <w:sz w:val="32"/>
              <w:szCs w:val="32"/>
              <w:highlight w:val="none"/>
              <w:lang w:eastAsia="zh-CN"/>
            </w:rPr>
            <w:instrText xml:space="preserve"> HYPERLINK \l _Toc25998 </w:instrText>
          </w:r>
          <w:r>
            <w:rPr>
              <w:rFonts w:hint="default" w:ascii="Times New Roman" w:hAnsi="Times New Roman" w:eastAsia="仿宋_GB2312" w:cs="Times New Roman"/>
              <w:color w:val="auto"/>
              <w:sz w:val="32"/>
              <w:szCs w:val="32"/>
              <w:highlight w:val="none"/>
              <w:lang w:eastAsia="zh-CN"/>
            </w:rPr>
            <w:fldChar w:fldCharType="separate"/>
          </w:r>
          <w:r>
            <w:rPr>
              <w:rFonts w:hint="default" w:ascii="Times New Roman" w:hAnsi="Times New Roman" w:eastAsia="仿宋_GB2312" w:cs="Times New Roman"/>
              <w:color w:val="auto"/>
              <w:sz w:val="32"/>
              <w:szCs w:val="32"/>
              <w:highlight w:val="none"/>
              <w:lang w:eastAsia="zh-CN"/>
            </w:rPr>
            <w:t>二、收入决算情况说明</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_Toc25998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lang w:eastAsia="zh-CN"/>
            </w:rPr>
            <w:fldChar w:fldCharType="end"/>
          </w:r>
        </w:p>
        <w:p w14:paraId="76AC6BAD">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fldChar w:fldCharType="begin"/>
          </w:r>
          <w:r>
            <w:rPr>
              <w:rFonts w:hint="default" w:ascii="Times New Roman" w:hAnsi="Times New Roman" w:eastAsia="仿宋_GB2312" w:cs="Times New Roman"/>
              <w:color w:val="auto"/>
              <w:sz w:val="32"/>
              <w:szCs w:val="32"/>
              <w:highlight w:val="none"/>
              <w:lang w:eastAsia="zh-CN"/>
            </w:rPr>
            <w:instrText xml:space="preserve"> HYPERLINK \l _Toc17977 </w:instrText>
          </w:r>
          <w:r>
            <w:rPr>
              <w:rFonts w:hint="default" w:ascii="Times New Roman" w:hAnsi="Times New Roman" w:eastAsia="仿宋_GB2312" w:cs="Times New Roman"/>
              <w:color w:val="auto"/>
              <w:sz w:val="32"/>
              <w:szCs w:val="32"/>
              <w:highlight w:val="none"/>
              <w:lang w:eastAsia="zh-CN"/>
            </w:rPr>
            <w:fldChar w:fldCharType="separate"/>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支出决算情况说明</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_Toc17977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lang w:eastAsia="zh-CN"/>
            </w:rPr>
            <w:fldChar w:fldCharType="end"/>
          </w:r>
        </w:p>
        <w:p w14:paraId="2A67E732">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fldChar w:fldCharType="begin"/>
          </w:r>
          <w:r>
            <w:rPr>
              <w:rFonts w:hint="default" w:ascii="Times New Roman" w:hAnsi="Times New Roman" w:eastAsia="仿宋_GB2312" w:cs="Times New Roman"/>
              <w:color w:val="auto"/>
              <w:sz w:val="32"/>
              <w:szCs w:val="32"/>
              <w:highlight w:val="none"/>
              <w:lang w:eastAsia="zh-CN"/>
            </w:rPr>
            <w:instrText xml:space="preserve"> HYPERLINK \l _Toc7155 </w:instrText>
          </w:r>
          <w:r>
            <w:rPr>
              <w:rFonts w:hint="default" w:ascii="Times New Roman" w:hAnsi="Times New Roman" w:eastAsia="仿宋_GB2312" w:cs="Times New Roman"/>
              <w:color w:val="auto"/>
              <w:sz w:val="32"/>
              <w:szCs w:val="32"/>
              <w:highlight w:val="none"/>
              <w:lang w:eastAsia="zh-CN"/>
            </w:rPr>
            <w:fldChar w:fldCharType="separate"/>
          </w:r>
          <w:r>
            <w:rPr>
              <w:rFonts w:hint="default" w:ascii="Times New Roman" w:hAnsi="Times New Roman" w:eastAsia="仿宋_GB2312" w:cs="Times New Roman"/>
              <w:color w:val="auto"/>
              <w:sz w:val="32"/>
              <w:szCs w:val="32"/>
              <w:highlight w:val="none"/>
            </w:rPr>
            <w:t>四、财政拨款收入支出决算总体情况说明</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_Toc7155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6</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lang w:eastAsia="zh-CN"/>
            </w:rPr>
            <w:fldChar w:fldCharType="end"/>
          </w:r>
        </w:p>
        <w:p w14:paraId="16A925A8">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fldChar w:fldCharType="begin"/>
          </w:r>
          <w:r>
            <w:rPr>
              <w:rFonts w:hint="default" w:ascii="Times New Roman" w:hAnsi="Times New Roman" w:eastAsia="仿宋_GB2312" w:cs="Times New Roman"/>
              <w:color w:val="auto"/>
              <w:sz w:val="32"/>
              <w:szCs w:val="32"/>
              <w:highlight w:val="none"/>
              <w:lang w:eastAsia="zh-CN"/>
            </w:rPr>
            <w:instrText xml:space="preserve"> HYPERLINK \l _Toc7403 </w:instrText>
          </w:r>
          <w:r>
            <w:rPr>
              <w:rFonts w:hint="default" w:ascii="Times New Roman" w:hAnsi="Times New Roman" w:eastAsia="仿宋_GB2312" w:cs="Times New Roman"/>
              <w:color w:val="auto"/>
              <w:sz w:val="32"/>
              <w:szCs w:val="32"/>
              <w:highlight w:val="none"/>
              <w:lang w:eastAsia="zh-CN"/>
            </w:rPr>
            <w:fldChar w:fldCharType="separate"/>
          </w:r>
          <w:r>
            <w:rPr>
              <w:rFonts w:hint="default" w:ascii="Times New Roman" w:hAnsi="Times New Roman" w:eastAsia="仿宋_GB2312" w:cs="Times New Roman"/>
              <w:color w:val="auto"/>
              <w:sz w:val="32"/>
              <w:szCs w:val="32"/>
              <w:highlight w:val="none"/>
            </w:rPr>
            <w:t>五、一般公共预算财政拨款支出决算情况说明</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_Toc7403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6</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lang w:eastAsia="zh-CN"/>
            </w:rPr>
            <w:fldChar w:fldCharType="end"/>
          </w:r>
        </w:p>
        <w:p w14:paraId="73087B15">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fldChar w:fldCharType="begin"/>
          </w:r>
          <w:r>
            <w:rPr>
              <w:rFonts w:hint="default" w:ascii="Times New Roman" w:hAnsi="Times New Roman" w:eastAsia="仿宋_GB2312" w:cs="Times New Roman"/>
              <w:color w:val="auto"/>
              <w:sz w:val="32"/>
              <w:szCs w:val="32"/>
              <w:highlight w:val="none"/>
              <w:lang w:eastAsia="zh-CN"/>
            </w:rPr>
            <w:instrText xml:space="preserve"> HYPERLINK \l _Toc18827 </w:instrText>
          </w:r>
          <w:r>
            <w:rPr>
              <w:rFonts w:hint="default" w:ascii="Times New Roman" w:hAnsi="Times New Roman" w:eastAsia="仿宋_GB2312" w:cs="Times New Roman"/>
              <w:color w:val="auto"/>
              <w:sz w:val="32"/>
              <w:szCs w:val="32"/>
              <w:highlight w:val="none"/>
              <w:lang w:eastAsia="zh-CN"/>
            </w:rPr>
            <w:fldChar w:fldCharType="separate"/>
          </w:r>
          <w:r>
            <w:rPr>
              <w:rFonts w:hint="default" w:ascii="Times New Roman" w:hAnsi="Times New Roman" w:eastAsia="仿宋_GB2312" w:cs="Times New Roman"/>
              <w:color w:val="auto"/>
              <w:sz w:val="32"/>
              <w:szCs w:val="32"/>
              <w:highlight w:val="none"/>
            </w:rPr>
            <w:t>六、一般公共预算财政拨款基本支出决算情况说明</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_Toc18827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9</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lang w:eastAsia="zh-CN"/>
            </w:rPr>
            <w:fldChar w:fldCharType="end"/>
          </w:r>
        </w:p>
        <w:p w14:paraId="4D568ECB">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fldChar w:fldCharType="begin"/>
          </w:r>
          <w:r>
            <w:rPr>
              <w:rFonts w:hint="default" w:ascii="Times New Roman" w:hAnsi="Times New Roman" w:eastAsia="仿宋_GB2312" w:cs="Times New Roman"/>
              <w:color w:val="auto"/>
              <w:sz w:val="32"/>
              <w:szCs w:val="32"/>
              <w:highlight w:val="none"/>
              <w:lang w:eastAsia="zh-CN"/>
            </w:rPr>
            <w:instrText xml:space="preserve"> HYPERLINK \l _Toc4359 </w:instrText>
          </w:r>
          <w:r>
            <w:rPr>
              <w:rFonts w:hint="default" w:ascii="Times New Roman" w:hAnsi="Times New Roman" w:eastAsia="仿宋_GB2312" w:cs="Times New Roman"/>
              <w:color w:val="auto"/>
              <w:sz w:val="32"/>
              <w:szCs w:val="32"/>
              <w:highlight w:val="none"/>
              <w:lang w:eastAsia="zh-CN"/>
            </w:rPr>
            <w:fldChar w:fldCharType="separate"/>
          </w:r>
          <w:r>
            <w:rPr>
              <w:rFonts w:hint="default" w:ascii="Times New Roman" w:hAnsi="Times New Roman" w:eastAsia="仿宋_GB2312" w:cs="Times New Roman"/>
              <w:color w:val="auto"/>
              <w:sz w:val="32"/>
              <w:szCs w:val="32"/>
              <w:highlight w:val="none"/>
            </w:rPr>
            <w:t>七、财政拨款“三公”经费支出决算情况说明</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_Toc4359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9</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lang w:eastAsia="zh-CN"/>
            </w:rPr>
            <w:fldChar w:fldCharType="end"/>
          </w:r>
        </w:p>
        <w:p w14:paraId="64670D79">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fldChar w:fldCharType="begin"/>
          </w:r>
          <w:r>
            <w:rPr>
              <w:rFonts w:hint="default" w:ascii="Times New Roman" w:hAnsi="Times New Roman" w:eastAsia="仿宋_GB2312" w:cs="Times New Roman"/>
              <w:color w:val="auto"/>
              <w:sz w:val="32"/>
              <w:szCs w:val="32"/>
              <w:highlight w:val="none"/>
              <w:lang w:eastAsia="zh-CN"/>
            </w:rPr>
            <w:instrText xml:space="preserve"> HYPERLINK \l _Toc32426 </w:instrText>
          </w:r>
          <w:r>
            <w:rPr>
              <w:rFonts w:hint="default" w:ascii="Times New Roman" w:hAnsi="Times New Roman" w:eastAsia="仿宋_GB2312" w:cs="Times New Roman"/>
              <w:color w:val="auto"/>
              <w:sz w:val="32"/>
              <w:szCs w:val="32"/>
              <w:highlight w:val="none"/>
              <w:lang w:eastAsia="zh-CN"/>
            </w:rPr>
            <w:fldChar w:fldCharType="separate"/>
          </w:r>
          <w:r>
            <w:rPr>
              <w:rFonts w:hint="default" w:ascii="Times New Roman" w:hAnsi="Times New Roman" w:eastAsia="仿宋_GB2312" w:cs="Times New Roman"/>
              <w:color w:val="auto"/>
              <w:sz w:val="32"/>
              <w:szCs w:val="32"/>
              <w:highlight w:val="none"/>
            </w:rPr>
            <w:t>八、政府性基金预算支出决算情况说明</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_Toc32426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11</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lang w:eastAsia="zh-CN"/>
            </w:rPr>
            <w:fldChar w:fldCharType="end"/>
          </w:r>
        </w:p>
        <w:p w14:paraId="7F9617F0">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fldChar w:fldCharType="begin"/>
          </w:r>
          <w:r>
            <w:rPr>
              <w:rFonts w:hint="default" w:ascii="Times New Roman" w:hAnsi="Times New Roman" w:eastAsia="仿宋_GB2312" w:cs="Times New Roman"/>
              <w:color w:val="auto"/>
              <w:sz w:val="32"/>
              <w:szCs w:val="32"/>
              <w:highlight w:val="none"/>
              <w:lang w:eastAsia="zh-CN"/>
            </w:rPr>
            <w:instrText xml:space="preserve"> HYPERLINK \l _Toc9450 </w:instrText>
          </w:r>
          <w:r>
            <w:rPr>
              <w:rFonts w:hint="default" w:ascii="Times New Roman" w:hAnsi="Times New Roman" w:eastAsia="仿宋_GB2312" w:cs="Times New Roman"/>
              <w:color w:val="auto"/>
              <w:sz w:val="32"/>
              <w:szCs w:val="32"/>
              <w:highlight w:val="none"/>
              <w:lang w:eastAsia="zh-CN"/>
            </w:rPr>
            <w:fldChar w:fldCharType="separate"/>
          </w:r>
          <w:r>
            <w:rPr>
              <w:rFonts w:hint="default" w:ascii="Times New Roman" w:hAnsi="Times New Roman" w:eastAsia="仿宋_GB2312" w:cs="Times New Roman"/>
              <w:color w:val="auto"/>
              <w:sz w:val="32"/>
              <w:szCs w:val="32"/>
              <w:highlight w:val="none"/>
              <w:lang w:eastAsia="zh-CN"/>
            </w:rPr>
            <w:t>九、</w:t>
          </w:r>
          <w:r>
            <w:rPr>
              <w:rFonts w:hint="default" w:ascii="Times New Roman" w:hAnsi="Times New Roman" w:eastAsia="仿宋_GB2312" w:cs="Times New Roman"/>
              <w:color w:val="auto"/>
              <w:sz w:val="32"/>
              <w:szCs w:val="32"/>
              <w:highlight w:val="none"/>
            </w:rPr>
            <w:t>国有资本经营预算支出决算情况说明</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_Toc9450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11</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lang w:eastAsia="zh-CN"/>
            </w:rPr>
            <w:fldChar w:fldCharType="end"/>
          </w:r>
        </w:p>
        <w:p w14:paraId="61098488">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highlight w:val="none"/>
              <w:lang w:eastAsia="zh-CN"/>
            </w:rPr>
            <w:fldChar w:fldCharType="begin"/>
          </w:r>
          <w:r>
            <w:rPr>
              <w:rFonts w:hint="default" w:ascii="Times New Roman" w:hAnsi="Times New Roman" w:eastAsia="仿宋_GB2312" w:cs="Times New Roman"/>
              <w:color w:val="auto"/>
              <w:sz w:val="32"/>
              <w:szCs w:val="32"/>
              <w:highlight w:val="none"/>
              <w:lang w:eastAsia="zh-CN"/>
            </w:rPr>
            <w:instrText xml:space="preserve"> HYPERLINK \l _Toc29282 </w:instrText>
          </w:r>
          <w:r>
            <w:rPr>
              <w:rFonts w:hint="default" w:ascii="Times New Roman" w:hAnsi="Times New Roman" w:eastAsia="仿宋_GB2312" w:cs="Times New Roman"/>
              <w:color w:val="auto"/>
              <w:sz w:val="32"/>
              <w:szCs w:val="32"/>
              <w:highlight w:val="none"/>
              <w:lang w:eastAsia="zh-CN"/>
            </w:rPr>
            <w:fldChar w:fldCharType="separate"/>
          </w: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rPr>
            <w:t>其他重要事项的情况说明</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PAGEREF _Toc29282 \h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12</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lang w:eastAsia="zh-CN"/>
            </w:rPr>
            <w:fldChar w:fldCharType="end"/>
          </w:r>
        </w:p>
        <w:p w14:paraId="11F1EF78">
          <w:pPr>
            <w:pStyle w:val="14"/>
            <w:keepNext w:val="0"/>
            <w:keepLines w:val="0"/>
            <w:pageBreakBefore w:val="0"/>
            <w:tabs>
              <w:tab w:val="right" w:leader="dot" w:pos="8400"/>
              <w:tab w:val="clear" w:pos="8296"/>
            </w:tabs>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cs="Times New Roman"/>
            </w:rPr>
          </w:pPr>
          <w:r>
            <w:rPr>
              <w:rFonts w:hint="default" w:ascii="Times New Roman" w:hAnsi="Times New Roman" w:eastAsia="黑体" w:cs="Times New Roman"/>
              <w:color w:val="auto"/>
              <w:sz w:val="32"/>
              <w:szCs w:val="32"/>
              <w:highlight w:val="none"/>
              <w:lang w:eastAsia="zh-CN"/>
            </w:rPr>
            <w:fldChar w:fldCharType="begin"/>
          </w:r>
          <w:r>
            <w:rPr>
              <w:rFonts w:hint="default" w:ascii="Times New Roman" w:hAnsi="Times New Roman" w:eastAsia="黑体" w:cs="Times New Roman"/>
              <w:color w:val="auto"/>
              <w:sz w:val="32"/>
              <w:szCs w:val="32"/>
              <w:highlight w:val="none"/>
              <w:lang w:eastAsia="zh-CN"/>
            </w:rPr>
            <w:instrText xml:space="preserve"> HYPERLINK \l _Toc24640 </w:instrText>
          </w:r>
          <w:r>
            <w:rPr>
              <w:rFonts w:hint="default" w:ascii="Times New Roman" w:hAnsi="Times New Roman" w:eastAsia="黑体" w:cs="Times New Roman"/>
              <w:color w:val="auto"/>
              <w:sz w:val="32"/>
              <w:szCs w:val="32"/>
              <w:highlight w:val="none"/>
              <w:lang w:eastAsia="zh-CN"/>
            </w:rPr>
            <w:fldChar w:fldCharType="separate"/>
          </w: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部分</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名词解释</w:t>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color w:val="auto"/>
              <w:sz w:val="32"/>
              <w:szCs w:val="32"/>
              <w:highlight w:val="none"/>
            </w:rPr>
            <w:instrText xml:space="preserve"> PAGEREF _Toc24640 \h </w:instrText>
          </w:r>
          <w:r>
            <w:rPr>
              <w:rFonts w:hint="default" w:ascii="Times New Roman" w:hAnsi="Times New Roman" w:eastAsia="黑体" w:cs="Times New Roman"/>
              <w:color w:val="auto"/>
              <w:sz w:val="32"/>
              <w:szCs w:val="32"/>
              <w:highlight w:val="none"/>
            </w:rPr>
            <w:fldChar w:fldCharType="separate"/>
          </w:r>
          <w:r>
            <w:rPr>
              <w:rFonts w:hint="default" w:ascii="Times New Roman" w:hAnsi="Times New Roman" w:eastAsia="黑体" w:cs="Times New Roman"/>
              <w:color w:val="auto"/>
              <w:sz w:val="32"/>
              <w:szCs w:val="32"/>
              <w:highlight w:val="none"/>
            </w:rPr>
            <w:t>13</w:t>
          </w:r>
          <w:r>
            <w:rPr>
              <w:rFonts w:hint="default" w:ascii="Times New Roman" w:hAnsi="Times New Roman" w:eastAsia="黑体" w:cs="Times New Roman"/>
              <w:color w:val="auto"/>
              <w:sz w:val="32"/>
              <w:szCs w:val="32"/>
              <w:highlight w:val="none"/>
            </w:rPr>
            <w:fldChar w:fldCharType="end"/>
          </w:r>
          <w:r>
            <w:rPr>
              <w:rFonts w:hint="default" w:ascii="Times New Roman" w:hAnsi="Times New Roman" w:eastAsia="黑体" w:cs="Times New Roman"/>
              <w:color w:val="auto"/>
              <w:sz w:val="32"/>
              <w:szCs w:val="32"/>
              <w:highlight w:val="none"/>
              <w:lang w:eastAsia="zh-CN"/>
            </w:rPr>
            <w:fldChar w:fldCharType="end"/>
          </w:r>
        </w:p>
        <w:p w14:paraId="5E8B7A41">
          <w:pPr>
            <w:pStyle w:val="14"/>
            <w:keepNext w:val="0"/>
            <w:keepLines w:val="0"/>
            <w:pageBreakBefore w:val="0"/>
            <w:tabs>
              <w:tab w:val="right" w:leader="dot" w:pos="8400"/>
              <w:tab w:val="clear" w:pos="8296"/>
            </w:tabs>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第四部分 附件</w:t>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lang w:val="en-US" w:eastAsia="zh-CN"/>
            </w:rPr>
            <w:t>16</w:t>
          </w:r>
        </w:p>
        <w:p w14:paraId="08E02530">
          <w:pPr>
            <w:pStyle w:val="14"/>
            <w:keepNext w:val="0"/>
            <w:keepLines w:val="0"/>
            <w:pageBreakBefore w:val="0"/>
            <w:tabs>
              <w:tab w:val="right" w:leader="dot" w:pos="8400"/>
              <w:tab w:val="clear" w:pos="8296"/>
            </w:tabs>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fldChar w:fldCharType="begin"/>
          </w:r>
          <w:r>
            <w:rPr>
              <w:rFonts w:hint="default" w:ascii="Times New Roman" w:hAnsi="Times New Roman" w:eastAsia="黑体" w:cs="Times New Roman"/>
              <w:color w:val="auto"/>
              <w:sz w:val="32"/>
              <w:szCs w:val="32"/>
              <w:highlight w:val="none"/>
              <w:lang w:eastAsia="zh-CN"/>
            </w:rPr>
            <w:instrText xml:space="preserve"> HYPERLINK \l _Toc486 </w:instrText>
          </w:r>
          <w:r>
            <w:rPr>
              <w:rFonts w:hint="default" w:ascii="Times New Roman" w:hAnsi="Times New Roman" w:eastAsia="黑体" w:cs="Times New Roman"/>
              <w:color w:val="auto"/>
              <w:sz w:val="32"/>
              <w:szCs w:val="32"/>
              <w:highlight w:val="none"/>
              <w:lang w:eastAsia="zh-CN"/>
            </w:rPr>
            <w:fldChar w:fldCharType="separate"/>
          </w:r>
          <w:r>
            <w:rPr>
              <w:rFonts w:hint="default" w:ascii="Times New Roman" w:hAnsi="Times New Roman" w:eastAsia="黑体" w:cs="Times New Roman"/>
              <w:color w:val="auto"/>
              <w:sz w:val="32"/>
              <w:szCs w:val="32"/>
              <w:highlight w:val="none"/>
            </w:rPr>
            <w:t>第五部分 附表</w:t>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color w:val="auto"/>
              <w:sz w:val="32"/>
              <w:szCs w:val="32"/>
              <w:highlight w:val="none"/>
            </w:rPr>
            <w:instrText xml:space="preserve"> PAGEREF _Toc486 \h </w:instrText>
          </w:r>
          <w:r>
            <w:rPr>
              <w:rFonts w:hint="default" w:ascii="Times New Roman" w:hAnsi="Times New Roman" w:eastAsia="黑体" w:cs="Times New Roman"/>
              <w:color w:val="auto"/>
              <w:sz w:val="32"/>
              <w:szCs w:val="32"/>
              <w:highlight w:val="none"/>
            </w:rPr>
            <w:fldChar w:fldCharType="separate"/>
          </w:r>
          <w:r>
            <w:rPr>
              <w:rFonts w:hint="default" w:ascii="Times New Roman" w:hAnsi="Times New Roman" w:eastAsia="黑体" w:cs="Times New Roman"/>
              <w:color w:val="auto"/>
              <w:sz w:val="32"/>
              <w:szCs w:val="32"/>
              <w:highlight w:val="none"/>
            </w:rPr>
            <w:t>17</w:t>
          </w:r>
          <w:r>
            <w:rPr>
              <w:rFonts w:hint="default" w:ascii="Times New Roman" w:hAnsi="Times New Roman" w:eastAsia="黑体" w:cs="Times New Roman"/>
              <w:color w:val="auto"/>
              <w:sz w:val="32"/>
              <w:szCs w:val="32"/>
              <w:highlight w:val="none"/>
            </w:rPr>
            <w:fldChar w:fldCharType="end"/>
          </w:r>
          <w:r>
            <w:rPr>
              <w:rFonts w:hint="default" w:ascii="Times New Roman" w:hAnsi="Times New Roman" w:eastAsia="黑体" w:cs="Times New Roman"/>
              <w:color w:val="auto"/>
              <w:sz w:val="32"/>
              <w:szCs w:val="32"/>
              <w:highlight w:val="none"/>
              <w:lang w:eastAsia="zh-CN"/>
            </w:rPr>
            <w:fldChar w:fldCharType="end"/>
          </w:r>
        </w:p>
        <w:p w14:paraId="00E308F9">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一、收入支出决算总表</w:t>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color w:val="auto"/>
              <w:sz w:val="32"/>
              <w:szCs w:val="32"/>
              <w:highlight w:val="none"/>
            </w:rPr>
            <w:instrText xml:space="preserve"> PAGEREF _Toc486 \h </w:instrText>
          </w:r>
          <w:r>
            <w:rPr>
              <w:rFonts w:hint="default" w:ascii="Times New Roman" w:hAnsi="Times New Roman" w:eastAsia="黑体" w:cs="Times New Roman"/>
              <w:color w:val="auto"/>
              <w:sz w:val="32"/>
              <w:szCs w:val="32"/>
              <w:highlight w:val="none"/>
            </w:rPr>
            <w:fldChar w:fldCharType="separate"/>
          </w:r>
          <w:r>
            <w:rPr>
              <w:rFonts w:hint="default" w:ascii="Times New Roman" w:hAnsi="Times New Roman" w:eastAsia="黑体" w:cs="Times New Roman"/>
              <w:color w:val="auto"/>
              <w:sz w:val="32"/>
              <w:szCs w:val="32"/>
              <w:highlight w:val="none"/>
            </w:rPr>
            <w:t>17</w:t>
          </w:r>
          <w:r>
            <w:rPr>
              <w:rFonts w:hint="default" w:ascii="Times New Roman" w:hAnsi="Times New Roman" w:eastAsia="黑体" w:cs="Times New Roman"/>
              <w:color w:val="auto"/>
              <w:sz w:val="32"/>
              <w:szCs w:val="32"/>
              <w:highlight w:val="none"/>
            </w:rPr>
            <w:fldChar w:fldCharType="end"/>
          </w:r>
        </w:p>
        <w:p w14:paraId="2969ABAF">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二、收入决算表</w:t>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color w:val="auto"/>
              <w:sz w:val="32"/>
              <w:szCs w:val="32"/>
              <w:highlight w:val="none"/>
            </w:rPr>
            <w:instrText xml:space="preserve"> PAGEREF _Toc486 \h </w:instrText>
          </w:r>
          <w:r>
            <w:rPr>
              <w:rFonts w:hint="default" w:ascii="Times New Roman" w:hAnsi="Times New Roman" w:eastAsia="黑体" w:cs="Times New Roman"/>
              <w:color w:val="auto"/>
              <w:sz w:val="32"/>
              <w:szCs w:val="32"/>
              <w:highlight w:val="none"/>
            </w:rPr>
            <w:fldChar w:fldCharType="separate"/>
          </w:r>
          <w:r>
            <w:rPr>
              <w:rFonts w:hint="default" w:ascii="Times New Roman" w:hAnsi="Times New Roman" w:eastAsia="黑体" w:cs="Times New Roman"/>
              <w:color w:val="auto"/>
              <w:sz w:val="32"/>
              <w:szCs w:val="32"/>
              <w:highlight w:val="none"/>
            </w:rPr>
            <w:t>17</w:t>
          </w:r>
          <w:r>
            <w:rPr>
              <w:rFonts w:hint="default" w:ascii="Times New Roman" w:hAnsi="Times New Roman" w:eastAsia="黑体" w:cs="Times New Roman"/>
              <w:color w:val="auto"/>
              <w:sz w:val="32"/>
              <w:szCs w:val="32"/>
              <w:highlight w:val="none"/>
            </w:rPr>
            <w:fldChar w:fldCharType="end"/>
          </w:r>
        </w:p>
        <w:p w14:paraId="118B58B3">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三、支出决算表</w:t>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color w:val="auto"/>
              <w:sz w:val="32"/>
              <w:szCs w:val="32"/>
              <w:highlight w:val="none"/>
            </w:rPr>
            <w:instrText xml:space="preserve"> PAGEREF _Toc486 \h </w:instrText>
          </w:r>
          <w:r>
            <w:rPr>
              <w:rFonts w:hint="default" w:ascii="Times New Roman" w:hAnsi="Times New Roman" w:eastAsia="黑体" w:cs="Times New Roman"/>
              <w:color w:val="auto"/>
              <w:sz w:val="32"/>
              <w:szCs w:val="32"/>
              <w:highlight w:val="none"/>
            </w:rPr>
            <w:fldChar w:fldCharType="separate"/>
          </w:r>
          <w:r>
            <w:rPr>
              <w:rFonts w:hint="default" w:ascii="Times New Roman" w:hAnsi="Times New Roman" w:eastAsia="黑体" w:cs="Times New Roman"/>
              <w:color w:val="auto"/>
              <w:sz w:val="32"/>
              <w:szCs w:val="32"/>
              <w:highlight w:val="none"/>
            </w:rPr>
            <w:t>17</w:t>
          </w:r>
          <w:r>
            <w:rPr>
              <w:rFonts w:hint="default" w:ascii="Times New Roman" w:hAnsi="Times New Roman" w:eastAsia="黑体" w:cs="Times New Roman"/>
              <w:color w:val="auto"/>
              <w:sz w:val="32"/>
              <w:szCs w:val="32"/>
              <w:highlight w:val="none"/>
            </w:rPr>
            <w:fldChar w:fldCharType="end"/>
          </w:r>
        </w:p>
        <w:p w14:paraId="594553A4">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四、财政拨款收入支出决算总表</w:t>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color w:val="auto"/>
              <w:sz w:val="32"/>
              <w:szCs w:val="32"/>
              <w:highlight w:val="none"/>
            </w:rPr>
            <w:instrText xml:space="preserve"> PAGEREF _Toc486 \h </w:instrText>
          </w:r>
          <w:r>
            <w:rPr>
              <w:rFonts w:hint="default" w:ascii="Times New Roman" w:hAnsi="Times New Roman" w:eastAsia="黑体" w:cs="Times New Roman"/>
              <w:color w:val="auto"/>
              <w:sz w:val="32"/>
              <w:szCs w:val="32"/>
              <w:highlight w:val="none"/>
            </w:rPr>
            <w:fldChar w:fldCharType="separate"/>
          </w:r>
          <w:r>
            <w:rPr>
              <w:rFonts w:hint="default" w:ascii="Times New Roman" w:hAnsi="Times New Roman" w:eastAsia="黑体" w:cs="Times New Roman"/>
              <w:color w:val="auto"/>
              <w:sz w:val="32"/>
              <w:szCs w:val="32"/>
              <w:highlight w:val="none"/>
            </w:rPr>
            <w:t>17</w:t>
          </w:r>
          <w:r>
            <w:rPr>
              <w:rFonts w:hint="default" w:ascii="Times New Roman" w:hAnsi="Times New Roman" w:eastAsia="黑体" w:cs="Times New Roman"/>
              <w:color w:val="auto"/>
              <w:sz w:val="32"/>
              <w:szCs w:val="32"/>
              <w:highlight w:val="none"/>
            </w:rPr>
            <w:fldChar w:fldCharType="end"/>
          </w:r>
        </w:p>
        <w:p w14:paraId="02A02AE3">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五、财政拨款支出决算明细表</w:t>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color w:val="auto"/>
              <w:sz w:val="32"/>
              <w:szCs w:val="32"/>
              <w:highlight w:val="none"/>
            </w:rPr>
            <w:instrText xml:space="preserve"> PAGEREF _Toc486 \h </w:instrText>
          </w:r>
          <w:r>
            <w:rPr>
              <w:rFonts w:hint="default" w:ascii="Times New Roman" w:hAnsi="Times New Roman" w:eastAsia="黑体" w:cs="Times New Roman"/>
              <w:color w:val="auto"/>
              <w:sz w:val="32"/>
              <w:szCs w:val="32"/>
              <w:highlight w:val="none"/>
            </w:rPr>
            <w:fldChar w:fldCharType="separate"/>
          </w:r>
          <w:r>
            <w:rPr>
              <w:rFonts w:hint="default" w:ascii="Times New Roman" w:hAnsi="Times New Roman" w:eastAsia="黑体" w:cs="Times New Roman"/>
              <w:color w:val="auto"/>
              <w:sz w:val="32"/>
              <w:szCs w:val="32"/>
              <w:highlight w:val="none"/>
            </w:rPr>
            <w:t>17</w:t>
          </w:r>
          <w:r>
            <w:rPr>
              <w:rFonts w:hint="default" w:ascii="Times New Roman" w:hAnsi="Times New Roman" w:eastAsia="黑体" w:cs="Times New Roman"/>
              <w:color w:val="auto"/>
              <w:sz w:val="32"/>
              <w:szCs w:val="32"/>
              <w:highlight w:val="none"/>
            </w:rPr>
            <w:fldChar w:fldCharType="end"/>
          </w:r>
        </w:p>
        <w:p w14:paraId="0BAEA63B">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六、一般公共预算财政拨款支出决算表</w:t>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color w:val="auto"/>
              <w:sz w:val="32"/>
              <w:szCs w:val="32"/>
              <w:highlight w:val="none"/>
            </w:rPr>
            <w:instrText xml:space="preserve"> PAGEREF _Toc486 \h </w:instrText>
          </w:r>
          <w:r>
            <w:rPr>
              <w:rFonts w:hint="default" w:ascii="Times New Roman" w:hAnsi="Times New Roman" w:eastAsia="黑体" w:cs="Times New Roman"/>
              <w:color w:val="auto"/>
              <w:sz w:val="32"/>
              <w:szCs w:val="32"/>
              <w:highlight w:val="none"/>
            </w:rPr>
            <w:fldChar w:fldCharType="separate"/>
          </w:r>
          <w:r>
            <w:rPr>
              <w:rFonts w:hint="default" w:ascii="Times New Roman" w:hAnsi="Times New Roman" w:eastAsia="黑体" w:cs="Times New Roman"/>
              <w:color w:val="auto"/>
              <w:sz w:val="32"/>
              <w:szCs w:val="32"/>
              <w:highlight w:val="none"/>
            </w:rPr>
            <w:t>17</w:t>
          </w:r>
          <w:r>
            <w:rPr>
              <w:rFonts w:hint="default" w:ascii="Times New Roman" w:hAnsi="Times New Roman" w:eastAsia="黑体" w:cs="Times New Roman"/>
              <w:color w:val="auto"/>
              <w:sz w:val="32"/>
              <w:szCs w:val="32"/>
              <w:highlight w:val="none"/>
            </w:rPr>
            <w:fldChar w:fldCharType="end"/>
          </w:r>
        </w:p>
        <w:p w14:paraId="09FB935E">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七、一般公共预算财政拨款支出决算明细表</w:t>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color w:val="auto"/>
              <w:sz w:val="32"/>
              <w:szCs w:val="32"/>
              <w:highlight w:val="none"/>
            </w:rPr>
            <w:instrText xml:space="preserve"> PAGEREF _Toc486 \h </w:instrText>
          </w:r>
          <w:r>
            <w:rPr>
              <w:rFonts w:hint="default" w:ascii="Times New Roman" w:hAnsi="Times New Roman" w:eastAsia="黑体" w:cs="Times New Roman"/>
              <w:color w:val="auto"/>
              <w:sz w:val="32"/>
              <w:szCs w:val="32"/>
              <w:highlight w:val="none"/>
            </w:rPr>
            <w:fldChar w:fldCharType="separate"/>
          </w:r>
          <w:r>
            <w:rPr>
              <w:rFonts w:hint="default" w:ascii="Times New Roman" w:hAnsi="Times New Roman" w:eastAsia="黑体" w:cs="Times New Roman"/>
              <w:color w:val="auto"/>
              <w:sz w:val="32"/>
              <w:szCs w:val="32"/>
              <w:highlight w:val="none"/>
            </w:rPr>
            <w:t>17</w:t>
          </w:r>
          <w:r>
            <w:rPr>
              <w:rFonts w:hint="default" w:ascii="Times New Roman" w:hAnsi="Times New Roman" w:eastAsia="黑体" w:cs="Times New Roman"/>
              <w:color w:val="auto"/>
              <w:sz w:val="32"/>
              <w:szCs w:val="32"/>
              <w:highlight w:val="none"/>
            </w:rPr>
            <w:fldChar w:fldCharType="end"/>
          </w:r>
        </w:p>
        <w:p w14:paraId="08BBFC06">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八、一般公共预算财政拨款基本支出决算</w:t>
          </w:r>
          <w:r>
            <w:rPr>
              <w:rFonts w:hint="default" w:ascii="Times New Roman" w:hAnsi="Times New Roman" w:eastAsia="仿宋_GB2312" w:cs="Times New Roman"/>
              <w:color w:val="auto"/>
              <w:sz w:val="32"/>
              <w:szCs w:val="32"/>
              <w:highlight w:val="none"/>
              <w:lang w:eastAsia="zh-CN"/>
            </w:rPr>
            <w:t>明细</w:t>
          </w:r>
          <w:r>
            <w:rPr>
              <w:rFonts w:hint="default" w:ascii="Times New Roman" w:hAnsi="Times New Roman" w:eastAsia="仿宋_GB2312" w:cs="Times New Roman"/>
              <w:color w:val="auto"/>
              <w:sz w:val="32"/>
              <w:szCs w:val="32"/>
              <w:highlight w:val="none"/>
            </w:rPr>
            <w:t>表</w:t>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color w:val="auto"/>
              <w:sz w:val="32"/>
              <w:szCs w:val="32"/>
              <w:highlight w:val="none"/>
            </w:rPr>
            <w:instrText xml:space="preserve"> PAGEREF _Toc486 \h </w:instrText>
          </w:r>
          <w:r>
            <w:rPr>
              <w:rFonts w:hint="default" w:ascii="Times New Roman" w:hAnsi="Times New Roman" w:eastAsia="黑体" w:cs="Times New Roman"/>
              <w:color w:val="auto"/>
              <w:sz w:val="32"/>
              <w:szCs w:val="32"/>
              <w:highlight w:val="none"/>
            </w:rPr>
            <w:fldChar w:fldCharType="separate"/>
          </w:r>
          <w:r>
            <w:rPr>
              <w:rFonts w:hint="default" w:ascii="Times New Roman" w:hAnsi="Times New Roman" w:eastAsia="黑体" w:cs="Times New Roman"/>
              <w:color w:val="auto"/>
              <w:sz w:val="32"/>
              <w:szCs w:val="32"/>
              <w:highlight w:val="none"/>
            </w:rPr>
            <w:t>17</w:t>
          </w:r>
          <w:r>
            <w:rPr>
              <w:rFonts w:hint="default" w:ascii="Times New Roman" w:hAnsi="Times New Roman" w:eastAsia="黑体" w:cs="Times New Roman"/>
              <w:color w:val="auto"/>
              <w:sz w:val="32"/>
              <w:szCs w:val="32"/>
              <w:highlight w:val="none"/>
            </w:rPr>
            <w:fldChar w:fldCharType="end"/>
          </w:r>
        </w:p>
        <w:p w14:paraId="561F5A75">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九、一般公共预算财政拨款项目支出决算表</w:t>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color w:val="auto"/>
              <w:sz w:val="32"/>
              <w:szCs w:val="32"/>
              <w:highlight w:val="none"/>
            </w:rPr>
            <w:instrText xml:space="preserve"> PAGEREF _Toc486 \h </w:instrText>
          </w:r>
          <w:r>
            <w:rPr>
              <w:rFonts w:hint="default" w:ascii="Times New Roman" w:hAnsi="Times New Roman" w:eastAsia="黑体" w:cs="Times New Roman"/>
              <w:color w:val="auto"/>
              <w:sz w:val="32"/>
              <w:szCs w:val="32"/>
              <w:highlight w:val="none"/>
            </w:rPr>
            <w:fldChar w:fldCharType="separate"/>
          </w:r>
          <w:r>
            <w:rPr>
              <w:rFonts w:hint="default" w:ascii="Times New Roman" w:hAnsi="Times New Roman" w:eastAsia="黑体" w:cs="Times New Roman"/>
              <w:color w:val="auto"/>
              <w:sz w:val="32"/>
              <w:szCs w:val="32"/>
              <w:highlight w:val="none"/>
            </w:rPr>
            <w:t>17</w:t>
          </w:r>
          <w:r>
            <w:rPr>
              <w:rFonts w:hint="default" w:ascii="Times New Roman" w:hAnsi="Times New Roman" w:eastAsia="黑体" w:cs="Times New Roman"/>
              <w:color w:val="auto"/>
              <w:sz w:val="32"/>
              <w:szCs w:val="32"/>
              <w:highlight w:val="none"/>
            </w:rPr>
            <w:fldChar w:fldCharType="end"/>
          </w:r>
        </w:p>
        <w:p w14:paraId="3C20DABA">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十、政府性基金预算财政拨款收入支出决算表</w:t>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color w:val="auto"/>
              <w:sz w:val="32"/>
              <w:szCs w:val="32"/>
              <w:highlight w:val="none"/>
            </w:rPr>
            <w:instrText xml:space="preserve"> PAGEREF _Toc486 \h </w:instrText>
          </w:r>
          <w:r>
            <w:rPr>
              <w:rFonts w:hint="default" w:ascii="Times New Roman" w:hAnsi="Times New Roman" w:eastAsia="黑体" w:cs="Times New Roman"/>
              <w:color w:val="auto"/>
              <w:sz w:val="32"/>
              <w:szCs w:val="32"/>
              <w:highlight w:val="none"/>
            </w:rPr>
            <w:fldChar w:fldCharType="separate"/>
          </w:r>
          <w:r>
            <w:rPr>
              <w:rFonts w:hint="default" w:ascii="Times New Roman" w:hAnsi="Times New Roman" w:eastAsia="黑体" w:cs="Times New Roman"/>
              <w:color w:val="auto"/>
              <w:sz w:val="32"/>
              <w:szCs w:val="32"/>
              <w:highlight w:val="none"/>
            </w:rPr>
            <w:t>17</w:t>
          </w:r>
          <w:r>
            <w:rPr>
              <w:rFonts w:hint="default" w:ascii="Times New Roman" w:hAnsi="Times New Roman" w:eastAsia="黑体" w:cs="Times New Roman"/>
              <w:color w:val="auto"/>
              <w:sz w:val="32"/>
              <w:szCs w:val="32"/>
              <w:highlight w:val="none"/>
            </w:rPr>
            <w:fldChar w:fldCharType="end"/>
          </w:r>
        </w:p>
        <w:p w14:paraId="221C181E">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十一、国有资本经营预算财政拨款收入支出决算表</w:t>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color w:val="auto"/>
              <w:sz w:val="32"/>
              <w:szCs w:val="32"/>
              <w:highlight w:val="none"/>
            </w:rPr>
            <w:instrText xml:space="preserve"> PAGEREF _Toc486 \h </w:instrText>
          </w:r>
          <w:r>
            <w:rPr>
              <w:rFonts w:hint="default" w:ascii="Times New Roman" w:hAnsi="Times New Roman" w:eastAsia="黑体" w:cs="Times New Roman"/>
              <w:color w:val="auto"/>
              <w:sz w:val="32"/>
              <w:szCs w:val="32"/>
              <w:highlight w:val="none"/>
            </w:rPr>
            <w:fldChar w:fldCharType="separate"/>
          </w:r>
          <w:r>
            <w:rPr>
              <w:rFonts w:hint="default" w:ascii="Times New Roman" w:hAnsi="Times New Roman" w:eastAsia="黑体" w:cs="Times New Roman"/>
              <w:color w:val="auto"/>
              <w:sz w:val="32"/>
              <w:szCs w:val="32"/>
              <w:highlight w:val="none"/>
            </w:rPr>
            <w:t>17</w:t>
          </w:r>
          <w:r>
            <w:rPr>
              <w:rFonts w:hint="default" w:ascii="Times New Roman" w:hAnsi="Times New Roman" w:eastAsia="黑体" w:cs="Times New Roman"/>
              <w:color w:val="auto"/>
              <w:sz w:val="32"/>
              <w:szCs w:val="32"/>
              <w:highlight w:val="none"/>
            </w:rPr>
            <w:fldChar w:fldCharType="end"/>
          </w:r>
        </w:p>
        <w:p w14:paraId="4982E6DE">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十二、</w:t>
          </w:r>
          <w:r>
            <w:rPr>
              <w:rFonts w:hint="default" w:ascii="Times New Roman" w:hAnsi="Times New Roman" w:eastAsia="仿宋_GB2312" w:cs="Times New Roman"/>
              <w:color w:val="auto"/>
              <w:sz w:val="32"/>
              <w:szCs w:val="32"/>
              <w:highlight w:val="none"/>
              <w:lang w:val="en-US" w:eastAsia="zh-CN"/>
            </w:rPr>
            <w:t>国有资本经营预算财政拨款支出决算表</w:t>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color w:val="auto"/>
              <w:sz w:val="32"/>
              <w:szCs w:val="32"/>
              <w:highlight w:val="none"/>
            </w:rPr>
            <w:instrText xml:space="preserve"> PAGEREF _Toc486 \h </w:instrText>
          </w:r>
          <w:r>
            <w:rPr>
              <w:rFonts w:hint="default" w:ascii="Times New Roman" w:hAnsi="Times New Roman" w:eastAsia="黑体" w:cs="Times New Roman"/>
              <w:color w:val="auto"/>
              <w:sz w:val="32"/>
              <w:szCs w:val="32"/>
              <w:highlight w:val="none"/>
            </w:rPr>
            <w:fldChar w:fldCharType="separate"/>
          </w:r>
          <w:r>
            <w:rPr>
              <w:rFonts w:hint="default" w:ascii="Times New Roman" w:hAnsi="Times New Roman" w:eastAsia="黑体" w:cs="Times New Roman"/>
              <w:color w:val="auto"/>
              <w:sz w:val="32"/>
              <w:szCs w:val="32"/>
              <w:highlight w:val="none"/>
            </w:rPr>
            <w:t>17</w:t>
          </w:r>
          <w:r>
            <w:rPr>
              <w:rFonts w:hint="default" w:ascii="Times New Roman" w:hAnsi="Times New Roman" w:eastAsia="黑体" w:cs="Times New Roman"/>
              <w:color w:val="auto"/>
              <w:sz w:val="32"/>
              <w:szCs w:val="32"/>
              <w:highlight w:val="none"/>
            </w:rPr>
            <w:fldChar w:fldCharType="end"/>
          </w:r>
        </w:p>
        <w:p w14:paraId="5BE4D55E">
          <w:pPr>
            <w:pStyle w:val="15"/>
            <w:keepNext w:val="0"/>
            <w:keepLines w:val="0"/>
            <w:pageBreakBefore w:val="0"/>
            <w:widowControl w:val="0"/>
            <w:tabs>
              <w:tab w:val="right" w:leader="dot" w:pos="8400"/>
              <w:tab w:val="clear" w:pos="8296"/>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十三、财政拨款“三公”经费支出决算表</w:t>
          </w:r>
          <w:r>
            <w:rPr>
              <w:rFonts w:hint="default" w:ascii="Times New Roman" w:hAnsi="Times New Roman" w:eastAsia="黑体" w:cs="Times New Roman"/>
              <w:color w:val="auto"/>
              <w:sz w:val="32"/>
              <w:szCs w:val="32"/>
              <w:highlight w:val="none"/>
            </w:rPr>
            <w:tab/>
          </w:r>
          <w:r>
            <w:rPr>
              <w:rFonts w:hint="default" w:ascii="Times New Roman" w:hAnsi="Times New Roman" w:eastAsia="黑体" w:cs="Times New Roman"/>
              <w:color w:val="auto"/>
              <w:sz w:val="32"/>
              <w:szCs w:val="32"/>
              <w:highlight w:val="none"/>
            </w:rPr>
            <w:fldChar w:fldCharType="begin"/>
          </w:r>
          <w:r>
            <w:rPr>
              <w:rFonts w:hint="default" w:ascii="Times New Roman" w:hAnsi="Times New Roman" w:eastAsia="黑体" w:cs="Times New Roman"/>
              <w:color w:val="auto"/>
              <w:sz w:val="32"/>
              <w:szCs w:val="32"/>
              <w:highlight w:val="none"/>
            </w:rPr>
            <w:instrText xml:space="preserve"> PAGEREF _Toc486 \h </w:instrText>
          </w:r>
          <w:r>
            <w:rPr>
              <w:rFonts w:hint="default" w:ascii="Times New Roman" w:hAnsi="Times New Roman" w:eastAsia="黑体" w:cs="Times New Roman"/>
              <w:color w:val="auto"/>
              <w:sz w:val="32"/>
              <w:szCs w:val="32"/>
              <w:highlight w:val="none"/>
            </w:rPr>
            <w:fldChar w:fldCharType="separate"/>
          </w:r>
          <w:r>
            <w:rPr>
              <w:rFonts w:hint="default" w:ascii="Times New Roman" w:hAnsi="Times New Roman" w:eastAsia="黑体" w:cs="Times New Roman"/>
              <w:color w:val="auto"/>
              <w:sz w:val="32"/>
              <w:szCs w:val="32"/>
              <w:highlight w:val="none"/>
            </w:rPr>
            <w:t>17</w:t>
          </w:r>
          <w:r>
            <w:rPr>
              <w:rFonts w:hint="default" w:ascii="Times New Roman" w:hAnsi="Times New Roman" w:eastAsia="黑体" w:cs="Times New Roman"/>
              <w:color w:val="auto"/>
              <w:sz w:val="32"/>
              <w:szCs w:val="32"/>
              <w:highlight w:val="none"/>
            </w:rPr>
            <w:fldChar w:fldCharType="end"/>
          </w:r>
        </w:p>
        <w:p w14:paraId="3DB97FAF"/>
        <w:p w14:paraId="47D5533C">
          <w:pPr>
            <w:rPr>
              <w:rFonts w:hint="eastAsia" w:ascii="Times New Roman" w:hAnsi="Times New Roman" w:eastAsia="宋体" w:cs="Times New Roman"/>
              <w:b/>
              <w:kern w:val="2"/>
              <w:sz w:val="21"/>
              <w:szCs w:val="24"/>
              <w:lang w:val="en-US" w:eastAsia="zh-CN" w:bidi="ar-SA"/>
            </w:rPr>
          </w:pPr>
          <w:r>
            <w:rPr>
              <w:rFonts w:hint="eastAsia"/>
              <w:b/>
              <w:lang w:eastAsia="zh-CN"/>
            </w:rPr>
            <w:fldChar w:fldCharType="end"/>
          </w:r>
        </w:p>
      </w:sdtContent>
    </w:sdt>
    <w:p w14:paraId="1A780370">
      <w:pPr>
        <w:pStyle w:val="8"/>
        <w:rPr>
          <w:rFonts w:hint="eastAsia"/>
          <w:lang w:eastAsia="zh-CN"/>
        </w:rPr>
      </w:pPr>
    </w:p>
    <w:p w14:paraId="63353575">
      <w:pPr>
        <w:pStyle w:val="5"/>
        <w:jc w:val="center"/>
        <w:rPr>
          <w:rFonts w:hint="default" w:ascii="Times New Roman" w:hAnsi="Times New Roman" w:eastAsia="方正小标宋简体" w:cs="Times New Roman"/>
          <w:b w:val="0"/>
          <w:color w:val="auto"/>
          <w:highlight w:val="none"/>
        </w:rPr>
        <w:sectPr>
          <w:footerReference r:id="rId5" w:type="first"/>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bookmarkStart w:id="12" w:name="_Toc15396599"/>
      <w:bookmarkStart w:id="13" w:name="_Toc15377196"/>
      <w:bookmarkStart w:id="14" w:name="_Toc17543"/>
    </w:p>
    <w:p w14:paraId="4936A6D9">
      <w:pPr>
        <w:pStyle w:val="5"/>
        <w:jc w:val="center"/>
        <w:rPr>
          <w:rStyle w:val="29"/>
          <w:rFonts w:hint="default" w:ascii="Times New Roman" w:hAnsi="Times New Roman" w:eastAsia="方正小标宋简体" w:cs="Times New Roman"/>
          <w:b/>
          <w:bCs w:val="0"/>
          <w:color w:val="auto"/>
          <w:highlight w:val="none"/>
        </w:rPr>
      </w:pPr>
      <w:r>
        <w:rPr>
          <w:rFonts w:hint="default" w:ascii="Times New Roman" w:hAnsi="Times New Roman" w:eastAsia="方正小标宋简体" w:cs="Times New Roman"/>
          <w:b w:val="0"/>
          <w:color w:val="auto"/>
          <w:highlight w:val="none"/>
        </w:rPr>
        <w:t>第一部分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eastAsia="zh-CN"/>
        </w:rPr>
        <w:t>单位</w:t>
      </w:r>
      <w:r>
        <w:rPr>
          <w:rStyle w:val="29"/>
          <w:rFonts w:hint="default" w:ascii="Times New Roman" w:hAnsi="Times New Roman" w:eastAsia="方正小标宋简体" w:cs="Times New Roman"/>
          <w:b w:val="0"/>
          <w:bCs w:val="0"/>
          <w:color w:val="auto"/>
          <w:highlight w:val="none"/>
        </w:rPr>
        <w:t>概况</w:t>
      </w:r>
      <w:bookmarkEnd w:id="12"/>
      <w:bookmarkEnd w:id="13"/>
      <w:bookmarkEnd w:id="14"/>
    </w:p>
    <w:p w14:paraId="37F7D9F0">
      <w:pPr>
        <w:widowControl/>
        <w:jc w:val="left"/>
        <w:rPr>
          <w:rFonts w:hint="default" w:ascii="Times New Roman" w:hAnsi="Times New Roman" w:eastAsia="黑体" w:cs="Times New Roman"/>
          <w:color w:val="auto"/>
          <w:sz w:val="32"/>
          <w:szCs w:val="32"/>
          <w:highlight w:val="none"/>
        </w:rPr>
      </w:pPr>
    </w:p>
    <w:p w14:paraId="4FA36335">
      <w:pPr>
        <w:pStyle w:val="6"/>
        <w:rPr>
          <w:rFonts w:hint="default" w:ascii="Times New Roman" w:hAnsi="Times New Roman" w:eastAsia="黑体"/>
          <w:b w:val="0"/>
          <w:color w:val="auto"/>
          <w:highlight w:val="none"/>
          <w:lang w:eastAsia="zh-CN"/>
        </w:rPr>
      </w:pPr>
      <w:bookmarkStart w:id="15" w:name="_Toc1694"/>
      <w:r>
        <w:rPr>
          <w:rFonts w:hint="eastAsia" w:ascii="Times New Roman" w:hAnsi="Times New Roman" w:eastAsia="黑体"/>
          <w:b w:val="0"/>
          <w:color w:val="auto"/>
          <w:highlight w:val="none"/>
          <w:lang w:eastAsia="zh-CN"/>
        </w:rPr>
        <w:t>一</w:t>
      </w:r>
      <w:r>
        <w:rPr>
          <w:rFonts w:hint="default" w:ascii="Times New Roman" w:hAnsi="Times New Roman" w:eastAsia="黑体"/>
          <w:b w:val="0"/>
          <w:color w:val="auto"/>
          <w:highlight w:val="none"/>
          <w:lang w:eastAsia="zh-CN"/>
        </w:rPr>
        <w:t>、单位职责</w:t>
      </w:r>
      <w:bookmarkEnd w:id="15"/>
    </w:p>
    <w:p w14:paraId="4C23A509">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主要职能：（1）加强离退休干部党支部建设，指导离退休干部党支部开展工作，做好老干部的思想政治工作。（2）组织学习走访慰问，落实好老干部们的政治待遇和生活待遇。（3）做好老同志日常生活管理，保障用车，为老干部提供看病就医送药服务。（4）妥善办理离休干部逝世后的相关丧葬事宜，协助供养单位，照顾好离休干部的遗孀配偶。（5）各项保运转工作：车辆运维保养；旧房维护维修；水电气户表改造；两栋小院和办公场所内外的绿化、卫生、消防、安全等工作。（6）积极协调配合当地政府做好相关工作。</w:t>
      </w:r>
    </w:p>
    <w:p w14:paraId="230A1A51">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事业成效：（1）政治上关心，让老干部紧跟新时代。一是坚定老干部理想信念。采取“送学习上门”、“送资料到手”等方式，为老干部送达学习资料，灵活开展习近平新时代中国特色社会主义思想主题教育和党纪学习教育等活动。二是定期向老干部通报攀枝花发展建设情况并征求老干部的意见和建议。三是积极反映、协调解决老干部切身利益的问题。今年以来，干休所先后做好了陈樵、刘培元等老干部提高医疗待遇、提高离休干部护理费标准和增加离休干部离休费等政策的跟踪落实，深受广大老干部的好评。</w:t>
      </w:r>
    </w:p>
    <w:p w14:paraId="65F3D6FC">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生活上精准服务，积极为老干部办实事。一是坚持亲情化服务。让老干部时时处处感受到家庭般的温暖和亲情般的慰藉，积极主动为离退休老干部办实事做好事解难事，积极协调帮助生病老干部解决入院难、床位安排等实际问题。二是坚持精细化服务。为充分保障老干部的生活待遇，干休所坚持“带着问题去走访，带着办法去沟通，带着措施去落实”的工作原则，逐一上门详细了解老干部的思想、生活、健康、家庭状况和所需所盼，全面建立了老干部“一人一册”健康档案，做到底数清、情况熟、动向明，为分类施策、精准服务提供有力支撑。三是坚持个性化服务。针对老干部的不同需求，注意区分对象，不断提高服务保障工作的精细化水平，使老干部和遗属在心理上得到足够的幸福感、安全感和获得感。</w:t>
      </w:r>
    </w:p>
    <w:p w14:paraId="685C6D92">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精神上关注，认真做好走访慰问工作。认真落实“五必访”制度。坚持生病住院必访、特殊困难必访、整生寿庆必访、重大节日必访、邻里纠纷必访“五必访”制度，做好老干部日常管理、看病就医等服务。重大节假日前，对老干部及遗属开展全覆盖上门慰问，及时了解他们身体生活情况，并送去慰问金、慰问物品，听取他们的意见和建议。平时对每位生病住院的老干部都要及时到病区进行床前慰问，送去党组织的关怀和温暖。今年以来，帮助老干部看病就医、集体体检、组织活动、上门慰问176人次，其中往返住地与医院接送96人次。</w:t>
      </w:r>
    </w:p>
    <w:p w14:paraId="4F381F77">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4）积极参与主动配合市委老干部局，做好在蓉退休老干部的服务工作。协助市委老干部局完成了老干部赴西昌学习考察、成都世博园参观学习、退休老干部集中学习等重大学习活动的服务保障，圆满完成了老干部年度体检服务，完成了市政府驻成都办事处安排的西锦</w:t>
      </w:r>
      <w:bookmarkStart w:id="86" w:name="_GoBack"/>
      <w:r>
        <w:rPr>
          <w:rFonts w:hint="default" w:ascii="Times New Roman" w:hAnsi="Times New Roman" w:eastAsia="仿宋" w:cs="Times New Roman"/>
          <w:color w:val="auto"/>
          <w:sz w:val="32"/>
          <w:szCs w:val="32"/>
          <w:highlight w:val="none"/>
          <w:lang w:val="en-US" w:eastAsia="zh-CN"/>
        </w:rPr>
        <w:t>·</w:t>
      </w:r>
      <w:bookmarkEnd w:id="86"/>
      <w:r>
        <w:rPr>
          <w:rFonts w:hint="default" w:ascii="Times New Roman" w:hAnsi="Times New Roman" w:eastAsia="仿宋" w:cs="Times New Roman"/>
          <w:color w:val="auto"/>
          <w:sz w:val="32"/>
          <w:szCs w:val="32"/>
          <w:highlight w:val="none"/>
          <w:lang w:val="en-US" w:eastAsia="zh-CN"/>
        </w:rPr>
        <w:t>渡退休老干部的服务工作。</w:t>
      </w:r>
    </w:p>
    <w:p w14:paraId="5643FB0A">
      <w:pPr>
        <w:pStyle w:val="6"/>
        <w:rPr>
          <w:rFonts w:hint="default" w:ascii="Times New Roman" w:hAnsi="Times New Roman" w:eastAsia="黑体"/>
          <w:b w:val="0"/>
          <w:color w:val="auto"/>
          <w:highlight w:val="none"/>
          <w:lang w:eastAsia="zh-CN"/>
        </w:rPr>
      </w:pPr>
      <w:bookmarkStart w:id="16" w:name="_Toc15377200"/>
      <w:bookmarkStart w:id="17" w:name="_Toc15396601"/>
      <w:bookmarkStart w:id="18" w:name="_Toc28800"/>
      <w:r>
        <w:rPr>
          <w:rFonts w:hint="default" w:ascii="Times New Roman" w:hAnsi="Times New Roman" w:eastAsia="黑体"/>
          <w:b w:val="0"/>
          <w:color w:val="auto"/>
          <w:highlight w:val="none"/>
          <w:lang w:eastAsia="zh-CN"/>
        </w:rPr>
        <w:t>二、机构设置</w:t>
      </w:r>
      <w:bookmarkEnd w:id="16"/>
      <w:bookmarkEnd w:id="17"/>
      <w:bookmarkEnd w:id="18"/>
    </w:p>
    <w:p w14:paraId="4CFAD8F1">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机构情况：干休所内设机构有办公室、财务室和医务室，2024年未发生变化。</w:t>
      </w:r>
    </w:p>
    <w:p w14:paraId="0313B4DB">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人员情况：截止2024年12月31日干休所有参公管理事业人员3人、按照攀委办〔2012〕86号文管理的聘用驾驶员1人共4人；退休返聘人员2人（会计1人、医生1人）；另外还有长期聘用人员4人：门卫（临时工）2人，因离休干部身体的原因，一直临聘了有护理经验的护工2人，帮助物业管理部门做好管理及小区房屋、公共设施的维护保养工作。</w:t>
      </w:r>
    </w:p>
    <w:p w14:paraId="377009CA">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br w:type="page"/>
      </w:r>
    </w:p>
    <w:p w14:paraId="64F4F51D">
      <w:pPr>
        <w:pStyle w:val="5"/>
        <w:jc w:val="center"/>
        <w:rPr>
          <w:rFonts w:hint="default" w:ascii="Times New Roman" w:hAnsi="Times New Roman" w:eastAsia="方正小标宋简体" w:cs="Times New Roman"/>
          <w:b w:val="0"/>
          <w:color w:val="auto"/>
          <w:highlight w:val="none"/>
        </w:rPr>
      </w:pPr>
      <w:bookmarkStart w:id="19" w:name="_Toc15377204"/>
      <w:bookmarkStart w:id="20" w:name="_Toc17625"/>
      <w:bookmarkStart w:id="21" w:name="_Toc15396602"/>
      <w:r>
        <w:rPr>
          <w:rFonts w:hint="default" w:ascii="Times New Roman" w:hAnsi="Times New Roman" w:eastAsia="方正小标宋简体" w:cs="Times New Roman"/>
          <w:b w:val="0"/>
          <w:color w:val="auto"/>
          <w:highlight w:val="none"/>
        </w:rPr>
        <w:t>第二部分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val="en-US" w:eastAsia="zh-CN"/>
        </w:rPr>
        <w:t>2024年度</w:t>
      </w:r>
      <w:r>
        <w:rPr>
          <w:rFonts w:hint="default" w:ascii="Times New Roman" w:hAnsi="Times New Roman" w:eastAsia="方正小标宋简体" w:cs="Times New Roman"/>
          <w:b w:val="0"/>
          <w:color w:val="auto"/>
          <w:highlight w:val="none"/>
        </w:rPr>
        <w:t>部门决算情况说明</w:t>
      </w:r>
      <w:bookmarkEnd w:id="19"/>
      <w:bookmarkEnd w:id="20"/>
      <w:bookmarkEnd w:id="21"/>
    </w:p>
    <w:p w14:paraId="02F30E6A">
      <w:pPr>
        <w:rPr>
          <w:rFonts w:hint="default" w:ascii="Times New Roman" w:hAnsi="Times New Roman" w:cs="Times New Roman"/>
          <w:color w:val="auto"/>
          <w:highlight w:val="none"/>
        </w:rPr>
      </w:pPr>
    </w:p>
    <w:p w14:paraId="6A3A2A70">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default" w:ascii="Times New Roman" w:hAnsi="Times New Roman" w:eastAsia="黑体" w:cs="Times New Roman"/>
          <w:b w:val="0"/>
          <w:color w:val="auto"/>
          <w:highlight w:val="none"/>
        </w:rPr>
      </w:pPr>
      <w:bookmarkStart w:id="22" w:name="_Toc27266"/>
      <w:bookmarkStart w:id="23" w:name="_Toc15377205"/>
      <w:bookmarkStart w:id="24" w:name="_Toc15396603"/>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30"/>
          <w:rFonts w:hint="default" w:ascii="Times New Roman" w:hAnsi="Times New Roman" w:eastAsia="黑体" w:cs="Times New Roman"/>
          <w:b w:val="0"/>
          <w:color w:val="auto"/>
          <w:highlight w:val="none"/>
        </w:rPr>
        <w:t>入支出决算总体情况说明</w:t>
      </w:r>
      <w:bookmarkEnd w:id="22"/>
      <w:bookmarkEnd w:id="23"/>
      <w:bookmarkEnd w:id="24"/>
    </w:p>
    <w:p w14:paraId="681F8407">
      <w:pPr>
        <w:spacing w:line="600" w:lineRule="exact"/>
        <w:ind w:firstLine="640" w:firstLineChars="200"/>
        <w:rPr>
          <w:rFonts w:hint="default" w:ascii="Times New Roman" w:hAnsi="Times New Roman" w:eastAsia="仿宋_GB2312" w:cs="Times New Roman"/>
          <w:color w:val="auto"/>
          <w:sz w:val="32"/>
          <w:szCs w:val="32"/>
          <w:highlight w:val="none"/>
          <w:lang w:eastAsia="zh-CN"/>
        </w:rPr>
      </w:pPr>
      <w:bookmarkStart w:id="25" w:name="_Toc18265"/>
      <w:r>
        <w:rPr>
          <w:rFonts w:hint="default" w:ascii="Times New Roman" w:hAnsi="Times New Roman" w:eastAsia="仿宋" w:cs="Times New Roman"/>
          <w:color w:val="auto"/>
          <w:sz w:val="32"/>
          <w:szCs w:val="32"/>
          <w:highlight w:val="none"/>
          <w:lang w:val="en-US" w:eastAsia="zh-CN"/>
        </w:rPr>
        <w:t>2024年度收入、支出总计均为145.13万元。与2023年度相比，收入、支出总计各减少16.30万元，下降10.10%。主要变动原因是财政紧张，经费减少。</w:t>
      </w:r>
      <w:bookmarkEnd w:id="25"/>
    </w:p>
    <w:p w14:paraId="217511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drawing>
          <wp:inline distT="0" distB="0" distL="114300" distR="114300">
            <wp:extent cx="4656455" cy="2807335"/>
            <wp:effectExtent l="4445" t="4445" r="6350" b="7620"/>
            <wp:docPr id="1" name="图表 1" title="收入、支出决算总计变动情况图"/>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4A9C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（图1：</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决算总计变动情况图）</w:t>
      </w:r>
    </w:p>
    <w:p w14:paraId="7E6552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p>
    <w:p w14:paraId="762007B1">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color w:val="auto"/>
          <w:sz w:val="32"/>
          <w:szCs w:val="32"/>
          <w:highlight w:val="none"/>
          <w:lang w:eastAsia="zh-CN"/>
        </w:rPr>
      </w:pPr>
      <w:bookmarkStart w:id="26" w:name="_Toc25998"/>
      <w:bookmarkStart w:id="27" w:name="_Toc15396604"/>
      <w:bookmarkStart w:id="28" w:name="_Toc15377206"/>
      <w:r>
        <w:rPr>
          <w:rFonts w:hint="default" w:ascii="Times New Roman" w:hAnsi="Times New Roman" w:eastAsia="黑体" w:cs="Times New Roman"/>
          <w:color w:val="auto"/>
          <w:sz w:val="32"/>
          <w:szCs w:val="32"/>
          <w:highlight w:val="none"/>
          <w:lang w:eastAsia="zh-CN"/>
        </w:rPr>
        <w:t>二、收入决算情况说明</w:t>
      </w:r>
      <w:bookmarkEnd w:id="26"/>
      <w:bookmarkEnd w:id="27"/>
      <w:bookmarkEnd w:id="28"/>
    </w:p>
    <w:p w14:paraId="384115F0">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bookmarkStart w:id="29" w:name="_Toc21040"/>
      <w:r>
        <w:rPr>
          <w:rFonts w:hint="default" w:ascii="Times New Roman" w:hAnsi="Times New Roman" w:eastAsia="仿宋" w:cs="Times New Roman"/>
          <w:color w:val="auto"/>
          <w:sz w:val="32"/>
          <w:szCs w:val="32"/>
          <w:highlight w:val="none"/>
          <w:lang w:val="en-US" w:eastAsia="zh-CN"/>
        </w:rPr>
        <w:t>2024年度本年收入合计145.13万元，其中：一般公共预算财政拨款收入145.13万元，占100%；政府性基金预算财政拨款收入0万元，占0%；国有资本经营预算财政拨款收入0万元，占0%；上级补助收入0万元，占0%；事业收入0万元，占0%；经营收入0万元，占0%；附属单位上缴收入0万元，占0%；其他收入0万元，占0%。</w:t>
      </w:r>
      <w:bookmarkEnd w:id="29"/>
    </w:p>
    <w:p w14:paraId="26DDC5E5">
      <w:pPr>
        <w:keepNext w:val="0"/>
        <w:keepLines w:val="0"/>
        <w:pageBreakBefore w:val="0"/>
        <w:widowControl w:val="0"/>
        <w:kinsoku/>
        <w:wordWrap/>
        <w:overflowPunct/>
        <w:topLinePunct w:val="0"/>
        <w:autoSpaceDE/>
        <w:autoSpaceDN/>
        <w:bidi w:val="0"/>
        <w:adjustRightInd/>
        <w:snapToGrid/>
        <w:ind w:left="0" w:leftChars="0" w:firstLine="217" w:firstLineChars="68"/>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drawing>
          <wp:inline distT="0" distB="0" distL="114300" distR="114300">
            <wp:extent cx="4497070" cy="2311400"/>
            <wp:effectExtent l="4445" t="4445" r="9525" b="15875"/>
            <wp:docPr id="3" name="图表 3" title="收入、支出决算总计变动情况图"/>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E086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（图2：收入决算结构图）</w:t>
      </w:r>
    </w:p>
    <w:p w14:paraId="31E30C3F">
      <w:pPr>
        <w:ind w:firstLine="800" w:firstLineChars="250"/>
        <w:rPr>
          <w:rFonts w:hint="default" w:ascii="Times New Roman" w:hAnsi="Times New Roman" w:eastAsia="仿宋_GB2312" w:cs="Times New Roman"/>
          <w:color w:val="auto"/>
          <w:sz w:val="32"/>
          <w:szCs w:val="32"/>
          <w:highlight w:val="none"/>
          <w:lang w:eastAsia="zh-CN"/>
        </w:rPr>
      </w:pPr>
    </w:p>
    <w:p w14:paraId="14CE5D00">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default" w:ascii="Times New Roman" w:hAnsi="Times New Roman" w:eastAsia="黑体" w:cs="Times New Roman"/>
          <w:b w:val="0"/>
          <w:color w:val="auto"/>
          <w:highlight w:val="none"/>
        </w:rPr>
      </w:pPr>
      <w:bookmarkStart w:id="30" w:name="_Toc17977"/>
      <w:bookmarkStart w:id="31" w:name="_Toc15377207"/>
      <w:bookmarkStart w:id="32" w:name="_Toc15396605"/>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30"/>
          <w:rFonts w:hint="default" w:ascii="Times New Roman" w:hAnsi="Times New Roman" w:eastAsia="黑体" w:cs="Times New Roman"/>
          <w:b w:val="0"/>
          <w:color w:val="auto"/>
          <w:highlight w:val="none"/>
        </w:rPr>
        <w:t>出决算情况说明</w:t>
      </w:r>
      <w:bookmarkEnd w:id="30"/>
      <w:bookmarkEnd w:id="31"/>
      <w:bookmarkEnd w:id="32"/>
    </w:p>
    <w:p w14:paraId="66BD74AA">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bookmarkStart w:id="33" w:name="_Toc19777"/>
      <w:r>
        <w:rPr>
          <w:rFonts w:hint="default" w:ascii="Times New Roman" w:hAnsi="Times New Roman" w:eastAsia="仿宋" w:cs="Times New Roman"/>
          <w:color w:val="auto"/>
          <w:sz w:val="32"/>
          <w:szCs w:val="32"/>
          <w:highlight w:val="none"/>
          <w:lang w:val="en-US" w:eastAsia="zh-CN"/>
        </w:rPr>
        <w:t>2024年度本年支出合计145.13万元，其中：基本支出115.13万元，占79.32%；项目支出30万元，占20.67%；上缴上级支出0万元，占0%；经营支出0万元，占0%；对附属单位补助支出0万元，占0%。</w:t>
      </w:r>
      <w:bookmarkEnd w:id="33"/>
    </w:p>
    <w:p w14:paraId="4D3194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drawing>
          <wp:inline distT="0" distB="0" distL="114300" distR="114300">
            <wp:extent cx="4551680" cy="2370455"/>
            <wp:effectExtent l="4445" t="4445" r="15875" b="6350"/>
            <wp:docPr id="4" name="图表 4" title="收入、支出决算总计变动情况图"/>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B22A21">
      <w:pPr>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（图3：支出决算结构图）</w:t>
      </w:r>
    </w:p>
    <w:p w14:paraId="41C8012D">
      <w:pPr>
        <w:ind w:firstLine="800" w:firstLineChars="250"/>
        <w:rPr>
          <w:rFonts w:hint="default" w:ascii="Times New Roman" w:hAnsi="Times New Roman" w:eastAsia="仿宋_GB2312" w:cs="Times New Roman"/>
          <w:color w:val="auto"/>
          <w:sz w:val="32"/>
          <w:szCs w:val="32"/>
          <w:highlight w:val="none"/>
          <w:lang w:eastAsia="zh-CN"/>
        </w:rPr>
      </w:pPr>
    </w:p>
    <w:p w14:paraId="45B51706">
      <w:pPr>
        <w:spacing w:line="600" w:lineRule="exact"/>
        <w:ind w:firstLine="640" w:firstLineChars="200"/>
        <w:outlineLvl w:val="1"/>
        <w:rPr>
          <w:rStyle w:val="30"/>
          <w:rFonts w:hint="default" w:ascii="Times New Roman" w:hAnsi="Times New Roman" w:eastAsia="黑体" w:cs="Times New Roman"/>
          <w:b w:val="0"/>
          <w:color w:val="auto"/>
          <w:highlight w:val="none"/>
        </w:rPr>
      </w:pPr>
      <w:bookmarkStart w:id="34" w:name="_Toc15396606"/>
      <w:bookmarkStart w:id="35" w:name="_Toc15377208"/>
      <w:bookmarkStart w:id="36" w:name="_Toc7155"/>
      <w:r>
        <w:rPr>
          <w:rFonts w:hint="default" w:ascii="Times New Roman" w:hAnsi="Times New Roman" w:eastAsia="黑体" w:cs="Times New Roman"/>
          <w:color w:val="auto"/>
          <w:sz w:val="32"/>
          <w:szCs w:val="32"/>
          <w:highlight w:val="none"/>
        </w:rPr>
        <w:t>四、财</w:t>
      </w:r>
      <w:r>
        <w:rPr>
          <w:rStyle w:val="30"/>
          <w:rFonts w:hint="default" w:ascii="Times New Roman" w:hAnsi="Times New Roman" w:eastAsia="黑体" w:cs="Times New Roman"/>
          <w:b w:val="0"/>
          <w:color w:val="auto"/>
          <w:highlight w:val="none"/>
        </w:rPr>
        <w:t>政拨款收入支出决算总体情况说明</w:t>
      </w:r>
      <w:bookmarkEnd w:id="34"/>
      <w:bookmarkEnd w:id="35"/>
      <w:bookmarkEnd w:id="36"/>
    </w:p>
    <w:p w14:paraId="2995120F">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2024年度财政拨款收入、支出总计均为145.13万元。与2023年度相比，财政拨款收入总计、支出总计各减少16.30万元，下降10.10%。主要变动原因是财政紧张，经费减少。</w:t>
      </w:r>
    </w:p>
    <w:p w14:paraId="0E6CE615">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highlight w:val="none"/>
          <w:lang w:eastAsia="zh-CN"/>
        </w:rPr>
        <w:drawing>
          <wp:inline distT="0" distB="0" distL="114300" distR="114300">
            <wp:extent cx="4656455" cy="2582545"/>
            <wp:effectExtent l="4445" t="4445" r="17780" b="19050"/>
            <wp:docPr id="5" name="图表 5" title="收入、支出决算总计变动情况图"/>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7F7D0B">
      <w:pPr>
        <w:spacing w:line="600" w:lineRule="exact"/>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（图4：财政拨款收、支决算总计变动情况）</w:t>
      </w:r>
    </w:p>
    <w:p w14:paraId="01733916">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10DD389E">
      <w:pPr>
        <w:spacing w:line="600" w:lineRule="exact"/>
        <w:ind w:firstLine="640" w:firstLineChars="200"/>
        <w:outlineLvl w:val="1"/>
        <w:rPr>
          <w:rStyle w:val="30"/>
          <w:rFonts w:hint="default" w:ascii="Times New Roman" w:hAnsi="Times New Roman" w:eastAsia="黑体" w:cs="Times New Roman"/>
          <w:b w:val="0"/>
          <w:color w:val="auto"/>
          <w:highlight w:val="none"/>
        </w:rPr>
      </w:pPr>
      <w:bookmarkStart w:id="37" w:name="_Toc7403"/>
      <w:bookmarkStart w:id="38" w:name="_Toc15396607"/>
      <w:bookmarkStart w:id="39" w:name="_Toc15377209"/>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30"/>
          <w:rFonts w:hint="default" w:ascii="Times New Roman" w:hAnsi="Times New Roman" w:eastAsia="黑体" w:cs="Times New Roman"/>
          <w:b w:val="0"/>
          <w:color w:val="auto"/>
          <w:highlight w:val="none"/>
        </w:rPr>
        <w:t>般公共预算财政拨款支出决算情况说明</w:t>
      </w:r>
      <w:bookmarkEnd w:id="37"/>
      <w:bookmarkEnd w:id="38"/>
      <w:bookmarkEnd w:id="39"/>
    </w:p>
    <w:p w14:paraId="76523F65">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0"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40"/>
    </w:p>
    <w:p w14:paraId="1E9AF927">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2024年度一般公共预算财政拨款支出145.13万元，占本年支出合计的100%。与2023年度相比，一般公共预算财政拨款支出减少16.30万元，下降10.10%。主要变动原因是财政紧张，经费减少。</w:t>
      </w:r>
    </w:p>
    <w:p w14:paraId="4D4288CD">
      <w:pPr>
        <w:pStyle w:val="8"/>
        <w:ind w:left="0" w:leftChars="0" w:firstLine="640" w:firstLineChars="200"/>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highlight w:val="none"/>
          <w:lang w:eastAsia="zh-CN"/>
        </w:rPr>
        <w:drawing>
          <wp:inline distT="0" distB="0" distL="114300" distR="114300">
            <wp:extent cx="4645025" cy="2340610"/>
            <wp:effectExtent l="4445" t="4445" r="13970" b="17145"/>
            <wp:docPr id="6" name="图表 6" title="收入、支出决算总计变动情况图"/>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085476">
      <w:pPr>
        <w:spacing w:line="600" w:lineRule="exact"/>
        <w:ind w:firstLine="640"/>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（图5：一般公共预算财政拨款支出决算变动情况）</w:t>
      </w:r>
    </w:p>
    <w:p w14:paraId="45362852">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1" w:name="_Toc15377211"/>
      <w:r>
        <w:rPr>
          <w:rFonts w:hint="default" w:ascii="Times New Roman" w:hAnsi="Times New Roman" w:eastAsia="楷体_GB2312" w:cs="Times New Roman"/>
          <w:b/>
          <w:color w:val="auto"/>
          <w:sz w:val="32"/>
          <w:szCs w:val="32"/>
          <w:highlight w:val="none"/>
        </w:rPr>
        <w:t>（二）一般公共预算财政拨款支出决算结构情况</w:t>
      </w:r>
      <w:bookmarkEnd w:id="41"/>
    </w:p>
    <w:p w14:paraId="10E5E604">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2024年度一般公共预算财政拨款支出145.13万元，主要用于以下方面：一般公共服务支出98.37万元，占67.78%；教育支出0万元，占0%；科学技术支出0万元，占0%；文化旅游体育与传媒支出0万元，占0%；社会保障和就业支出33.21万元，占22.89%；卫生健康支出7.03万元，占4.84%；住房保障支出6.52万元，占4.49%。</w:t>
      </w:r>
    </w:p>
    <w:p w14:paraId="62208AF3">
      <w:pPr>
        <w:pStyle w:val="8"/>
        <w:ind w:left="0" w:leftChars="0" w:firstLine="640" w:firstLineChars="200"/>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highlight w:val="none"/>
          <w:lang w:eastAsia="zh-CN"/>
        </w:rPr>
        <w:drawing>
          <wp:inline distT="0" distB="0" distL="114300" distR="114300">
            <wp:extent cx="4610735" cy="2418715"/>
            <wp:effectExtent l="4445" t="4445" r="17780" b="15240"/>
            <wp:docPr id="7" name="图表 7" title="收入、支出决算总计变动情况图"/>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3EAF2D">
      <w:pPr>
        <w:spacing w:line="600" w:lineRule="exact"/>
        <w:ind w:firstLine="640"/>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（图6：一般公共预算财政拨款支出决算结构）</w:t>
      </w:r>
    </w:p>
    <w:p w14:paraId="4A47B39C">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2" w:name="_Toc15377212"/>
      <w:r>
        <w:rPr>
          <w:rFonts w:hint="default" w:ascii="Times New Roman" w:hAnsi="Times New Roman" w:eastAsia="楷体_GB2312" w:cs="Times New Roman"/>
          <w:b/>
          <w:color w:val="auto"/>
          <w:sz w:val="32"/>
          <w:szCs w:val="32"/>
          <w:highlight w:val="none"/>
        </w:rPr>
        <w:t>（三）一般公共预算财政拨款支出决算具体情况</w:t>
      </w:r>
      <w:bookmarkEnd w:id="42"/>
    </w:p>
    <w:p w14:paraId="27126F9D">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bookmarkStart w:id="43" w:name="_Toc15377213"/>
      <w:bookmarkStart w:id="44" w:name="_Toc15378460"/>
      <w:bookmarkStart w:id="45" w:name="_Toc15377444"/>
      <w:r>
        <w:rPr>
          <w:rFonts w:hint="default" w:ascii="Times New Roman" w:hAnsi="Times New Roman" w:eastAsia="仿宋" w:cs="Times New Roman"/>
          <w:color w:val="auto"/>
          <w:sz w:val="32"/>
          <w:szCs w:val="32"/>
          <w:highlight w:val="none"/>
          <w:lang w:val="en-US" w:eastAsia="zh-CN"/>
        </w:rPr>
        <w:t>2024年度一般公共预算财政拨款支出决算数为145.13，完成预算100%。其中：</w:t>
      </w:r>
      <w:bookmarkEnd w:id="43"/>
      <w:bookmarkEnd w:id="44"/>
      <w:bookmarkEnd w:id="45"/>
    </w:p>
    <w:p w14:paraId="6A295168">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1.一般公共服务（类）政府办公厅（室）及相关机构事务（款）行政运行（项）</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支出决算为68.37万元，完成预算100%，决算数等于预算数。</w:t>
      </w:r>
    </w:p>
    <w:p w14:paraId="40A2E133">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2.一般公共服务（类）政府办公厅（室）及相关机构事务（款）一般行政管理事务（项）</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支出决算为30.00万元，完成预算100%，决算数等于预算数。</w:t>
      </w:r>
    </w:p>
    <w:p w14:paraId="14CBB3AB">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3.社会保障和就业（类）行政事业单位养老支出（款）行政单位离退休（项）</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支出决算为24.86万元，完成预算100%，决算数等于预算数。</w:t>
      </w:r>
    </w:p>
    <w:p w14:paraId="5F502282">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4.社会保障和就业（类）行政事业单位养老支出（款）机关事业单位基本养老保险缴费支出（项）</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支出决算为8.35万元，完成预算100%，决算数等于预算数。</w:t>
      </w:r>
    </w:p>
    <w:p w14:paraId="4316F0B1">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5.卫生健康（类）行政事业单位医疗（款）行政单位医疗（项）</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支出决算为4.18万元，完成预算100%，决算数等于预算数。</w:t>
      </w:r>
    </w:p>
    <w:p w14:paraId="3D1C6C00">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6.卫生健康（类）行政事业单位医疗（款）公务员医疗补助（项）</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支出决算为0.36万元，完成预算100%，决算数等于预算数。</w:t>
      </w:r>
    </w:p>
    <w:p w14:paraId="4B897A33">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7.卫生健康（类）行政事业单位医疗（款）其他行政事业单位医疗支出（项）</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支出决算为0.48万元，完成预算100%，决算数等于预算数。</w:t>
      </w:r>
    </w:p>
    <w:p w14:paraId="34D7B050">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8.卫生健康（类）其他卫生健康支出（款）其他卫生健康支出（项）</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支出决算为2.01万元，完成预算100%，决算数等于预算数。</w:t>
      </w:r>
    </w:p>
    <w:p w14:paraId="4C47D031">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9.住房保障支出（类）住房改革支出（款）住房公积金（项）</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支出决算为6.52万元，完成预算100%，决算数等于预算数。</w:t>
      </w:r>
    </w:p>
    <w:p w14:paraId="69B1C119">
      <w:pPr>
        <w:tabs>
          <w:tab w:val="right" w:pos="8306"/>
        </w:tabs>
        <w:spacing w:line="600" w:lineRule="exact"/>
        <w:ind w:firstLine="640"/>
        <w:outlineLvl w:val="1"/>
        <w:rPr>
          <w:rStyle w:val="30"/>
          <w:rFonts w:hint="default" w:ascii="Times New Roman" w:hAnsi="Times New Roman" w:cs="Times New Roman"/>
          <w:color w:val="auto"/>
          <w:highlight w:val="none"/>
        </w:rPr>
      </w:pPr>
      <w:bookmarkStart w:id="46" w:name="_Toc15396608"/>
      <w:bookmarkStart w:id="47" w:name="_Toc15377214"/>
      <w:bookmarkStart w:id="48" w:name="_Toc18827"/>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30"/>
          <w:rFonts w:hint="default" w:ascii="Times New Roman" w:hAnsi="Times New Roman" w:eastAsia="黑体" w:cs="Times New Roman"/>
          <w:b w:val="0"/>
          <w:color w:val="auto"/>
          <w:highlight w:val="none"/>
        </w:rPr>
        <w:t>般公共预算财政拨款基本支出决算情况说明</w:t>
      </w:r>
      <w:bookmarkEnd w:id="46"/>
      <w:bookmarkEnd w:id="47"/>
      <w:bookmarkEnd w:id="48"/>
      <w:r>
        <w:rPr>
          <w:rStyle w:val="30"/>
          <w:rFonts w:hint="default" w:ascii="Times New Roman" w:hAnsi="Times New Roman" w:eastAsia="黑体" w:cs="Times New Roman"/>
          <w:b w:val="0"/>
          <w:color w:val="auto"/>
          <w:highlight w:val="none"/>
        </w:rPr>
        <w:tab/>
      </w:r>
    </w:p>
    <w:p w14:paraId="5E56371F">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2024年度一般公共预算财政拨款基本支出115.13万元，其中：</w:t>
      </w:r>
    </w:p>
    <w:p w14:paraId="678353FD">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人员经费100.94万元，主要包括：基本工资、津贴补贴、奖金、机关事业单位基本养老保险缴费、职工基本医疗保险缴费、公务员医疗补助缴费、其他社会保障缴费、住房公积金、其他工资福利支出、生活补助、医疗费补助、其他对个人和家庭的补助支出。</w:t>
      </w:r>
      <w:r>
        <w:rPr>
          <w:rFonts w:hint="default" w:ascii="Times New Roman" w:hAnsi="Times New Roman" w:eastAsia="仿宋" w:cs="Times New Roman"/>
          <w:color w:val="auto"/>
          <w:sz w:val="32"/>
          <w:szCs w:val="32"/>
          <w:highlight w:val="none"/>
          <w:lang w:val="en-US" w:eastAsia="zh-CN"/>
        </w:rPr>
        <w:br w:type="textWrapping"/>
      </w:r>
      <w:r>
        <w:rPr>
          <w:rFonts w:hint="default" w:ascii="Times New Roman" w:hAnsi="Times New Roman" w:eastAsia="仿宋" w:cs="Times New Roman"/>
          <w:color w:val="auto"/>
          <w:sz w:val="32"/>
          <w:szCs w:val="32"/>
          <w:highlight w:val="none"/>
          <w:lang w:val="en-US" w:eastAsia="zh-CN"/>
        </w:rPr>
        <w:t>　　公用经费14.18万元，主要包括：办公费、水费、电费、邮电费、差旅费、维修（护）费、租赁费、公务接待费、劳务费、工会经费、福利费、公务用车运行维护费、其他交通费、其他商品和服务支出。</w:t>
      </w:r>
    </w:p>
    <w:p w14:paraId="258E0053">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p>
    <w:p w14:paraId="005F62B1">
      <w:pPr>
        <w:spacing w:line="600" w:lineRule="exact"/>
        <w:ind w:firstLine="640"/>
        <w:outlineLvl w:val="1"/>
        <w:rPr>
          <w:rStyle w:val="30"/>
          <w:rFonts w:hint="default" w:ascii="Times New Roman" w:hAnsi="Times New Roman" w:eastAsia="黑体" w:cs="Times New Roman"/>
          <w:b w:val="0"/>
          <w:color w:val="auto"/>
          <w:highlight w:val="none"/>
        </w:rPr>
      </w:pPr>
      <w:bookmarkStart w:id="49" w:name="_Toc15377215"/>
      <w:bookmarkStart w:id="50" w:name="_Toc15396609"/>
      <w:bookmarkStart w:id="51" w:name="_Toc4359"/>
      <w:r>
        <w:rPr>
          <w:rFonts w:hint="default" w:ascii="Times New Roman" w:hAnsi="Times New Roman" w:eastAsia="黑体" w:cs="Times New Roman"/>
          <w:color w:val="auto"/>
          <w:sz w:val="32"/>
          <w:szCs w:val="32"/>
          <w:highlight w:val="none"/>
        </w:rPr>
        <w:t>七、</w:t>
      </w:r>
      <w:r>
        <w:rPr>
          <w:rStyle w:val="30"/>
          <w:rFonts w:hint="default" w:ascii="Times New Roman" w:hAnsi="Times New Roman" w:eastAsia="黑体" w:cs="Times New Roman"/>
          <w:b w:val="0"/>
          <w:color w:val="auto"/>
          <w:highlight w:val="none"/>
        </w:rPr>
        <w:t>财政拨款</w:t>
      </w:r>
      <w:r>
        <w:rPr>
          <w:rStyle w:val="30"/>
          <w:rFonts w:hint="default" w:ascii="Times New Roman" w:hAnsi="Times New Roman" w:eastAsia="黑体" w:cs="Times New Roman"/>
          <w:color w:val="auto"/>
          <w:highlight w:val="none"/>
        </w:rPr>
        <w:t>“</w:t>
      </w:r>
      <w:r>
        <w:rPr>
          <w:rStyle w:val="30"/>
          <w:rFonts w:hint="default" w:ascii="Times New Roman" w:hAnsi="Times New Roman" w:eastAsia="黑体" w:cs="Times New Roman"/>
          <w:b w:val="0"/>
          <w:color w:val="auto"/>
          <w:highlight w:val="none"/>
        </w:rPr>
        <w:t>三公”经费支出决算情况说明</w:t>
      </w:r>
      <w:bookmarkEnd w:id="49"/>
      <w:bookmarkEnd w:id="50"/>
      <w:bookmarkEnd w:id="51"/>
    </w:p>
    <w:p w14:paraId="1205C0E9">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52"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52"/>
    </w:p>
    <w:p w14:paraId="16081573">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2024年度“三公”经费财政拨款支出决算为3.52万元，完成预算100%，较上年度减少0.10万元，下降2.69%。决算数与预算数持平。</w:t>
      </w:r>
    </w:p>
    <w:p w14:paraId="5582FE60">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53"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53"/>
    </w:p>
    <w:p w14:paraId="09F443C6">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2024年度“三公”经费财政拨款支出决算中，因公出国（境）费支出决算0万元，占0%；公务用车购置及运行维护费支出决算3.4万元，占96.77%；公务接待费支出决算0.11万元，占3.23%。具体情况如下：</w:t>
      </w:r>
    </w:p>
    <w:p w14:paraId="28A85545">
      <w:pPr>
        <w:pStyle w:val="8"/>
        <w:ind w:left="0" w:leftChars="0" w:firstLine="640" w:firstLineChars="200"/>
        <w:jc w:val="center"/>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highlight w:val="none"/>
          <w:lang w:eastAsia="zh-CN"/>
        </w:rPr>
        <w:drawing>
          <wp:inline distT="0" distB="0" distL="114300" distR="114300">
            <wp:extent cx="4697095" cy="2332355"/>
            <wp:effectExtent l="4445" t="4445" r="7620" b="10160"/>
            <wp:docPr id="8" name="图表 8" title="收入、支出决算总计变动情况图"/>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BADB5E">
      <w:pPr>
        <w:spacing w:line="600" w:lineRule="exact"/>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（图7：“三公”经费财政拨款支出结构）</w:t>
      </w:r>
    </w:p>
    <w:p w14:paraId="107284BB">
      <w:pPr>
        <w:spacing w:line="600" w:lineRule="exact"/>
        <w:ind w:firstLine="64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1.因公出国（境）经费支出0万元，完成预算0%。</w:t>
      </w:r>
      <w:r>
        <w:rPr>
          <w:rFonts w:hint="default" w:ascii="Times New Roman" w:hAnsi="Times New Roman" w:eastAsia="仿宋" w:cs="Times New Roman"/>
          <w:color w:val="auto"/>
          <w:sz w:val="32"/>
          <w:szCs w:val="32"/>
          <w:highlight w:val="none"/>
          <w:lang w:val="en-US" w:eastAsia="zh-CN"/>
        </w:rPr>
        <w:t>全年安排因公出国（境）团组0次，出国（境）0人。因公出国（境）支出决算与2023年持平。</w:t>
      </w:r>
    </w:p>
    <w:p w14:paraId="7FCB98EC">
      <w:pPr>
        <w:spacing w:line="600" w:lineRule="exact"/>
        <w:ind w:firstLine="643"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2.公务用车购置及运行维护费支出3.4万元，完成预算100%。</w:t>
      </w:r>
      <w:r>
        <w:rPr>
          <w:rFonts w:hint="default" w:ascii="Times New Roman" w:hAnsi="Times New Roman" w:eastAsia="仿宋" w:cs="Times New Roman"/>
          <w:color w:val="auto"/>
          <w:sz w:val="32"/>
          <w:szCs w:val="32"/>
          <w:highlight w:val="none"/>
          <w:lang w:val="en-US" w:eastAsia="zh-CN"/>
        </w:rPr>
        <w:t>公务用车购置及运行维护费支出决算比2023年度减少0.10万元，下降2.69%。</w:t>
      </w:r>
    </w:p>
    <w:p w14:paraId="77ABD971">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其中：公务用车购置支出0万元。全年按规定更新购置公务用车0辆，其中：轿车0辆、金额0万元，越野车0辆、金额0万元，载客汽车0辆、金额0万元。截至2024年12月31日，单位共有公务用车3，其中：轿车2辆、越野车0辆、载客汽车1辆。</w:t>
      </w:r>
    </w:p>
    <w:p w14:paraId="18D38AC5">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公务用车运行维护费支出3.4万元。接送老干部外出就医、活动等所需的公务用车燃料费、维修费、过路过桥费、保险费等支出。</w:t>
      </w:r>
    </w:p>
    <w:p w14:paraId="35B24359">
      <w:pPr>
        <w:spacing w:line="600" w:lineRule="exact"/>
        <w:ind w:firstLine="643"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3.公务接待费支出0.11万元，完成预算100%。</w:t>
      </w:r>
      <w:r>
        <w:rPr>
          <w:rFonts w:hint="default" w:ascii="Times New Roman" w:hAnsi="Times New Roman" w:eastAsia="仿宋" w:cs="Times New Roman"/>
          <w:color w:val="auto"/>
          <w:sz w:val="32"/>
          <w:szCs w:val="32"/>
          <w:highlight w:val="none"/>
          <w:lang w:val="en-US" w:eastAsia="zh-CN"/>
        </w:rPr>
        <w:t>公务接待费支出决算与2023年持平。其中：</w:t>
      </w:r>
    </w:p>
    <w:p w14:paraId="04FF063A">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国内公务接待支出0.11万元，主要用于开展业务活动开支的用餐费等。国内公务接待1批次，8人次（不包括陪同人员），共计支出0.11万元，具体内容包括：陪同攀枝花市委老干部局开展在蓉离退休老干部成立党委前期调研工作的用餐费。</w:t>
      </w:r>
    </w:p>
    <w:p w14:paraId="455070F6">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外事接待支出0万元。外事接待0批次，0人次（不包括陪同人员），共计支出0万元。</w:t>
      </w:r>
    </w:p>
    <w:p w14:paraId="583457AD">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bookmarkStart w:id="54" w:name="_Toc15377218"/>
      <w:bookmarkStart w:id="55" w:name="_Toc15396610"/>
    </w:p>
    <w:p w14:paraId="4BF1ACDD">
      <w:pPr>
        <w:spacing w:line="600" w:lineRule="exact"/>
        <w:ind w:firstLine="640"/>
        <w:outlineLvl w:val="1"/>
        <w:rPr>
          <w:rStyle w:val="30"/>
          <w:rFonts w:hint="default" w:ascii="Times New Roman" w:hAnsi="Times New Roman" w:eastAsia="黑体" w:cs="Times New Roman"/>
          <w:color w:val="auto"/>
          <w:highlight w:val="none"/>
        </w:rPr>
      </w:pPr>
      <w:bookmarkStart w:id="56" w:name="_Toc32426"/>
      <w:r>
        <w:rPr>
          <w:rFonts w:hint="default" w:ascii="Times New Roman" w:hAnsi="Times New Roman" w:eastAsia="黑体" w:cs="Times New Roman"/>
          <w:color w:val="auto"/>
          <w:sz w:val="32"/>
          <w:szCs w:val="32"/>
          <w:highlight w:val="none"/>
        </w:rPr>
        <w:t>八、</w:t>
      </w:r>
      <w:r>
        <w:rPr>
          <w:rStyle w:val="30"/>
          <w:rFonts w:hint="default" w:ascii="Times New Roman" w:hAnsi="Times New Roman" w:eastAsia="黑体" w:cs="Times New Roman"/>
          <w:b w:val="0"/>
          <w:color w:val="auto"/>
          <w:highlight w:val="none"/>
        </w:rPr>
        <w:t>政府性基金预算支出决算情况说明</w:t>
      </w:r>
      <w:bookmarkEnd w:id="54"/>
      <w:bookmarkEnd w:id="55"/>
      <w:bookmarkEnd w:id="56"/>
    </w:p>
    <w:p w14:paraId="4438E4E9">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2024年度政府性基金预算财政拨款支出0万元，占本年支出合计的0%。与2023年度持平。</w:t>
      </w:r>
    </w:p>
    <w:p w14:paraId="00F8EA11">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p>
    <w:p w14:paraId="751D479C">
      <w:pPr>
        <w:numPr>
          <w:ilvl w:val="0"/>
          <w:numId w:val="0"/>
        </w:numPr>
        <w:spacing w:line="600" w:lineRule="exact"/>
        <w:ind w:left="630" w:leftChars="0"/>
        <w:outlineLvl w:val="1"/>
        <w:rPr>
          <w:rStyle w:val="30"/>
          <w:rFonts w:hint="default" w:ascii="Times New Roman" w:hAnsi="Times New Roman" w:eastAsia="黑体" w:cs="Times New Roman"/>
          <w:b w:val="0"/>
          <w:color w:val="auto"/>
          <w:highlight w:val="none"/>
        </w:rPr>
      </w:pPr>
      <w:bookmarkStart w:id="57" w:name="_Toc15396611"/>
      <w:bookmarkStart w:id="58" w:name="_Toc9450"/>
      <w:bookmarkStart w:id="59" w:name="_Toc15377219"/>
      <w:r>
        <w:rPr>
          <w:rStyle w:val="30"/>
          <w:rFonts w:hint="default" w:ascii="Times New Roman" w:hAnsi="Times New Roman" w:eastAsia="黑体" w:cs="Times New Roman"/>
          <w:b w:val="0"/>
          <w:color w:val="auto"/>
          <w:highlight w:val="none"/>
          <w:lang w:eastAsia="zh-CN"/>
        </w:rPr>
        <w:t>九、</w:t>
      </w:r>
      <w:r>
        <w:rPr>
          <w:rStyle w:val="30"/>
          <w:rFonts w:hint="default" w:ascii="Times New Roman" w:hAnsi="Times New Roman" w:eastAsia="黑体" w:cs="Times New Roman"/>
          <w:b w:val="0"/>
          <w:color w:val="auto"/>
          <w:highlight w:val="none"/>
        </w:rPr>
        <w:t>国有资本经营预算支出决算情况说明</w:t>
      </w:r>
      <w:bookmarkEnd w:id="57"/>
      <w:bookmarkEnd w:id="58"/>
      <w:bookmarkEnd w:id="59"/>
    </w:p>
    <w:p w14:paraId="71FA0CE7">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2024年度国有资本经营预算财政拨款支出0万元，占本年支出合计的0%。与2023年度持平。</w:t>
      </w:r>
    </w:p>
    <w:p w14:paraId="21F1AFC8">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p>
    <w:p w14:paraId="062E0FF9">
      <w:pPr>
        <w:numPr>
          <w:ilvl w:val="0"/>
          <w:numId w:val="0"/>
        </w:numPr>
        <w:spacing w:line="600" w:lineRule="exact"/>
        <w:ind w:left="630" w:leftChars="0"/>
        <w:outlineLvl w:val="1"/>
        <w:rPr>
          <w:rStyle w:val="30"/>
          <w:rFonts w:hint="default" w:ascii="Times New Roman" w:hAnsi="Times New Roman" w:eastAsia="黑体" w:cs="Times New Roman"/>
          <w:b w:val="0"/>
          <w:color w:val="auto"/>
          <w:highlight w:val="none"/>
        </w:rPr>
      </w:pPr>
      <w:bookmarkStart w:id="60" w:name="_Toc15377221"/>
      <w:bookmarkStart w:id="61" w:name="_Toc29282"/>
      <w:bookmarkStart w:id="62" w:name="_Toc15396612"/>
      <w:r>
        <w:rPr>
          <w:rStyle w:val="30"/>
          <w:rFonts w:hint="default" w:ascii="Times New Roman" w:hAnsi="Times New Roman" w:eastAsia="黑体" w:cs="Times New Roman"/>
          <w:b w:val="0"/>
          <w:color w:val="auto"/>
          <w:highlight w:val="none"/>
          <w:lang w:eastAsia="zh-CN"/>
        </w:rPr>
        <w:t>十、</w:t>
      </w:r>
      <w:r>
        <w:rPr>
          <w:rStyle w:val="30"/>
          <w:rFonts w:hint="default" w:ascii="Times New Roman" w:hAnsi="Times New Roman" w:eastAsia="黑体" w:cs="Times New Roman"/>
          <w:b w:val="0"/>
          <w:color w:val="auto"/>
          <w:highlight w:val="none"/>
        </w:rPr>
        <w:t>其他重要事项的情况说明</w:t>
      </w:r>
      <w:bookmarkEnd w:id="60"/>
      <w:bookmarkEnd w:id="61"/>
      <w:bookmarkEnd w:id="62"/>
    </w:p>
    <w:p w14:paraId="02B04AFF">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63" w:name="_Toc15377222"/>
      <w:r>
        <w:rPr>
          <w:rFonts w:hint="default" w:ascii="Times New Roman" w:hAnsi="Times New Roman" w:eastAsia="楷体_GB2312" w:cs="Times New Roman"/>
          <w:b/>
          <w:color w:val="auto"/>
          <w:sz w:val="32"/>
          <w:szCs w:val="32"/>
          <w:highlight w:val="none"/>
        </w:rPr>
        <w:t>（一）机关运行经费支出情况</w:t>
      </w:r>
      <w:bookmarkEnd w:id="63"/>
    </w:p>
    <w:p w14:paraId="5F9A5032">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2024年度，四川省攀枝花市成都干部休养所机关运行经费支出14.18万元，比2023年度减少2.33万元，下降14.11%。主要变动原因是财政紧张，经费减少。</w:t>
      </w:r>
    </w:p>
    <w:p w14:paraId="1F46FFAC">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64" w:name="_Toc15377223"/>
      <w:r>
        <w:rPr>
          <w:rFonts w:hint="default" w:ascii="Times New Roman" w:hAnsi="Times New Roman" w:eastAsia="楷体_GB2312" w:cs="Times New Roman"/>
          <w:b/>
          <w:color w:val="auto"/>
          <w:sz w:val="32"/>
          <w:szCs w:val="32"/>
          <w:highlight w:val="none"/>
        </w:rPr>
        <w:t>（二）政府采购支出情况</w:t>
      </w:r>
      <w:bookmarkEnd w:id="64"/>
    </w:p>
    <w:p w14:paraId="0815330D">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2024年度，四川省攀枝花市成都干部休养所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2EED753E">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65" w:name="_Toc15377224"/>
      <w:r>
        <w:rPr>
          <w:rFonts w:hint="default" w:ascii="Times New Roman" w:hAnsi="Times New Roman" w:eastAsia="楷体_GB2312" w:cs="Times New Roman"/>
          <w:b/>
          <w:color w:val="auto"/>
          <w:sz w:val="32"/>
          <w:szCs w:val="32"/>
          <w:highlight w:val="none"/>
        </w:rPr>
        <w:t>（三）国有资产占有使用情况</w:t>
      </w:r>
      <w:bookmarkEnd w:id="65"/>
    </w:p>
    <w:p w14:paraId="040C279B">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截至2024年12月31日，四川省攀枝花市成都干部休养所共有车辆3辆，其中：主要领导干部用车0辆、机要通信用车0辆、应急保障用车0辆、其他用车3辆，其他用车主要是用于必要的公务活动和业务用车。单价50万元以上通用设备0台（套），单价100万元以上专用设备（不含车辆）0台（套）。</w:t>
      </w:r>
    </w:p>
    <w:p w14:paraId="63FF1054">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（四）预算绩效管理情况</w:t>
      </w:r>
    </w:p>
    <w:p w14:paraId="58FA1A86">
      <w:pPr>
        <w:spacing w:line="60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lang w:val="en-US" w:eastAsia="zh-CN"/>
        </w:rPr>
        <w:t>根据预算绩效管理要求，本单位在2024年度预算编制阶段，组织对干休所管理离休干部楼栋运转经费等2个项目开展了预算事前绩效评估，对2个项目编制了绩效目标，预算执行过程中，选取2个项目开展绩效监控。</w:t>
      </w:r>
      <w:r>
        <w:rPr>
          <w:rFonts w:hint="default" w:ascii="Times New Roman" w:hAnsi="Times New Roman" w:eastAsia="仿宋" w:cs="Times New Roman"/>
          <w:color w:val="auto"/>
          <w:sz w:val="32"/>
          <w:szCs w:val="32"/>
          <w:highlight w:val="none"/>
          <w:lang w:val="zh-CN" w:eastAsia="zh-CN"/>
        </w:rPr>
        <w:br w:type="page"/>
      </w:r>
    </w:p>
    <w:p w14:paraId="6E00B0AE">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bookmarkStart w:id="66" w:name="_Toc15396613"/>
      <w:bookmarkStart w:id="67" w:name="_Toc24640"/>
      <w:bookmarkStart w:id="68" w:name="_Toc15377225"/>
      <w:r>
        <w:rPr>
          <w:rFonts w:hint="default" w:ascii="Times New Roman" w:hAnsi="Times New Roman" w:eastAsia="黑体" w:cs="Times New Roman"/>
          <w:color w:val="auto"/>
          <w:sz w:val="44"/>
          <w:szCs w:val="44"/>
          <w:highlight w:val="none"/>
        </w:rPr>
        <w:t>第</w:t>
      </w:r>
      <w:r>
        <w:rPr>
          <w:rFonts w:hint="default" w:ascii="Times New Roman" w:hAnsi="Times New Roman" w:eastAsia="黑体" w:cs="Times New Roman"/>
          <w:color w:val="auto"/>
          <w:sz w:val="44"/>
          <w:szCs w:val="44"/>
          <w:highlight w:val="none"/>
          <w:lang w:eastAsia="zh-CN"/>
        </w:rPr>
        <w:t>三</w:t>
      </w:r>
      <w:r>
        <w:rPr>
          <w:rFonts w:hint="default" w:ascii="Times New Roman" w:hAnsi="Times New Roman" w:eastAsia="黑体" w:cs="Times New Roman"/>
          <w:color w:val="auto"/>
          <w:sz w:val="44"/>
          <w:szCs w:val="44"/>
          <w:highlight w:val="none"/>
        </w:rPr>
        <w:t>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名词解释</w:t>
      </w:r>
      <w:bookmarkEnd w:id="66"/>
      <w:bookmarkEnd w:id="67"/>
      <w:bookmarkEnd w:id="68"/>
    </w:p>
    <w:p w14:paraId="45FDC530">
      <w:pPr>
        <w:spacing w:line="600" w:lineRule="exact"/>
        <w:jc w:val="left"/>
        <w:rPr>
          <w:rFonts w:hint="default" w:ascii="Times New Roman" w:hAnsi="Times New Roman" w:cs="Times New Roman"/>
          <w:b/>
          <w:color w:val="auto"/>
          <w:sz w:val="44"/>
          <w:szCs w:val="44"/>
          <w:highlight w:val="none"/>
        </w:rPr>
      </w:pPr>
    </w:p>
    <w:p w14:paraId="6D57BA3B">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1.一般公共预算拨款收入：指市级财政当年拨付的资金。</w:t>
      </w:r>
    </w:p>
    <w:p w14:paraId="1B902E78">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2.一般公共服务支出（类）政府办公厅（室）及相关机构事务（款）一般行政管理事务（政府）（项）：指行政单位（包括实行公务员管理的事业单位）未单独设置项级科目的其他项目支出。</w:t>
      </w:r>
    </w:p>
    <w:p w14:paraId="60414EB0">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3.一般公共服务支出（类）政府办公厅（室）及相关机构事务（款）行政运行（政府）（项）：指行政单位的基本支出。</w:t>
      </w:r>
    </w:p>
    <w:p w14:paraId="13675BAB">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4.社会保障和就业支出（类）行政事业单位养老支出（款）行政单位离退休（项）</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指实行归口管理的行政单位开支的离退休经费。</w:t>
      </w:r>
    </w:p>
    <w:p w14:paraId="60DA22B8">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5.社会保障和就业支出（类）行政事业单位养老支出（款）机关事业单位基本养老保险缴费支出（项）：指机关事业单位实施养老保险制度由单位缴纳的基本养老保险费支出。</w:t>
      </w:r>
    </w:p>
    <w:p w14:paraId="3D2D646F">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6.卫生健康支出（类）行政事业单位医疗（款）行政单位医疗（项）：反映财政部门安排的行政单位医疗保险缴费经费，未参加医疗保险的行政单位的公费医疗经费，按国家规定享受离休人员待遇的医疗经费。</w:t>
      </w:r>
    </w:p>
    <w:p w14:paraId="4253EC3D">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7.卫生健康支出（类）行政事业单位医疗（款）公务员医疗补助（项）：反映财政部门安排的公务员医疗补助经费。</w:t>
      </w:r>
    </w:p>
    <w:p w14:paraId="27630E0D">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8.卫生健康支出（类）行政事业单位医疗（款）其他行政事业单位医疗支出（项）：反映其他用于行政事业单位医疗方面的支出。</w:t>
      </w:r>
    </w:p>
    <w:p w14:paraId="18ADDFED">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9.住房保障支出（类）住房改革支出（款）住房公积金（项）：指行政事业单位按人力资源和社会保障部、财政部规定的基本工资和津贴补贴以及规定比例为职工缴纳的住房公积金。</w:t>
      </w:r>
    </w:p>
    <w:p w14:paraId="6E616A57">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10.基本支出：指为保障机构正常运转、完成日常工作任务而发生的人员支出和公用支出。</w:t>
      </w:r>
    </w:p>
    <w:p w14:paraId="38509A94">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11.项目支出：指在基本支出之外为完成特定行政任务和事业发展目标所发生的支出。 </w:t>
      </w:r>
    </w:p>
    <w:p w14:paraId="1493A6CF">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12.“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8264090">
      <w:pPr>
        <w:spacing w:line="600" w:lineRule="exact"/>
        <w:ind w:firstLine="640" w:firstLineChars="200"/>
        <w:rPr>
          <w:rFonts w:hint="default" w:ascii="Times New Roman" w:hAnsi="Times New Roman" w:eastAsia="仿宋" w:cs="Times New Roman"/>
          <w:color w:val="auto"/>
          <w:sz w:val="32"/>
          <w:szCs w:val="32"/>
          <w:highlight w:val="none"/>
          <w:lang w:val="zh-CN" w:eastAsia="zh-CN"/>
        </w:rPr>
      </w:pPr>
      <w:r>
        <w:rPr>
          <w:rFonts w:hint="default" w:ascii="Times New Roman" w:hAnsi="Times New Roman" w:eastAsia="仿宋" w:cs="Times New Roman"/>
          <w:color w:val="auto"/>
          <w:sz w:val="32"/>
          <w:szCs w:val="32"/>
          <w:highlight w:val="none"/>
          <w:lang w:val="en-US" w:eastAsia="zh-CN"/>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69" w:name="_Toc15377226"/>
      <w:r>
        <w:rPr>
          <w:rFonts w:hint="default" w:ascii="Times New Roman" w:hAnsi="Times New Roman" w:eastAsia="仿宋" w:cs="Times New Roman"/>
          <w:color w:val="auto"/>
          <w:sz w:val="32"/>
          <w:szCs w:val="32"/>
          <w:highlight w:val="none"/>
          <w:lang w:val="zh-CN" w:eastAsia="zh-CN"/>
        </w:rPr>
        <w:br w:type="page"/>
      </w:r>
    </w:p>
    <w:p w14:paraId="08F6BE5C">
      <w:pPr>
        <w:jc w:val="center"/>
        <w:rPr>
          <w:rFonts w:hint="default" w:ascii="Times New Roman" w:hAnsi="Times New Roman" w:eastAsia="黑体" w:cs="Times New Roman"/>
          <w:color w:val="auto"/>
          <w:sz w:val="44"/>
          <w:szCs w:val="44"/>
          <w:highlight w:val="none"/>
          <w:lang w:eastAsia="zh-CN"/>
        </w:rPr>
      </w:pPr>
      <w:bookmarkStart w:id="70" w:name="_Toc15396614"/>
      <w:r>
        <w:rPr>
          <w:rStyle w:val="29"/>
          <w:rFonts w:hint="default" w:ascii="Times New Roman" w:hAnsi="Times New Roman" w:eastAsia="黑体" w:cs="Times New Roman"/>
          <w:b w:val="0"/>
          <w:color w:val="auto"/>
          <w:highlight w:val="none"/>
        </w:rPr>
        <w:t>第四部分</w:t>
      </w:r>
      <w:r>
        <w:rPr>
          <w:rStyle w:val="29"/>
          <w:rFonts w:hint="default" w:ascii="Times New Roman" w:hAnsi="Times New Roman" w:eastAsia="黑体" w:cs="Times New Roman"/>
          <w:b w:val="0"/>
          <w:color w:val="auto"/>
          <w:highlight w:val="none"/>
          <w:lang w:val="en-US" w:eastAsia="zh-CN"/>
        </w:rPr>
        <w:t xml:space="preserve"> </w:t>
      </w:r>
      <w:r>
        <w:rPr>
          <w:rStyle w:val="29"/>
          <w:rFonts w:hint="default" w:ascii="Times New Roman" w:hAnsi="Times New Roman" w:eastAsia="黑体" w:cs="Times New Roman"/>
          <w:b w:val="0"/>
          <w:color w:val="auto"/>
          <w:highlight w:val="none"/>
        </w:rPr>
        <w:t xml:space="preserve"> 附件</w:t>
      </w:r>
      <w:bookmarkEnd w:id="70"/>
    </w:p>
    <w:p w14:paraId="206BC1BF">
      <w:pPr>
        <w:keepNext w:val="0"/>
        <w:keepLines w:val="0"/>
        <w:pageBreakBefore w:val="0"/>
        <w:kinsoku/>
        <w:wordWrap/>
        <w:overflowPunct/>
        <w:topLinePunct w:val="0"/>
        <w:autoSpaceDE/>
        <w:autoSpaceDN/>
        <w:bidi w:val="0"/>
        <w:spacing w:line="572" w:lineRule="exact"/>
        <w:jc w:val="left"/>
        <w:textAlignment w:val="auto"/>
        <w:outlineLvl w:val="9"/>
        <w:rPr>
          <w:rFonts w:hint="default" w:ascii="Times New Roman" w:hAnsi="Times New Roman" w:eastAsia="黑体" w:cs="Times New Roman"/>
          <w:color w:val="FF0000"/>
          <w:sz w:val="32"/>
          <w:szCs w:val="32"/>
          <w:highlight w:val="none"/>
        </w:rPr>
      </w:pPr>
    </w:p>
    <w:p w14:paraId="72E20307">
      <w:pPr>
        <w:jc w:val="center"/>
        <w:rPr>
          <w:rFonts w:hint="default" w:ascii="Times New Roman" w:hAnsi="Times New Roman" w:eastAsia="黑体" w:cs="Times New Roman"/>
          <w:color w:val="auto"/>
          <w:kern w:val="0"/>
          <w:sz w:val="32"/>
          <w:szCs w:val="32"/>
          <w:highlight w:val="none"/>
          <w:shd w:val="clear" w:color="auto" w:fill="FFFFFF"/>
          <w:lang w:val="zh-CN"/>
        </w:rPr>
      </w:pPr>
      <w:r>
        <w:rPr>
          <w:rFonts w:hint="default" w:ascii="Times New Roman" w:hAnsi="Times New Roman" w:cs="Times New Roman"/>
          <w:sz w:val="32"/>
          <w:szCs w:val="32"/>
          <w:highlight w:val="none"/>
          <w:lang w:val="en-US" w:eastAsia="zh-CN"/>
        </w:rPr>
        <w:t>部门预算项目支出绩效自评表（2024年度）见附件3</w:t>
      </w:r>
      <w:r>
        <w:rPr>
          <w:rFonts w:hint="default" w:ascii="Times New Roman" w:hAnsi="Times New Roman" w:eastAsia="黑体" w:cs="Times New Roman"/>
          <w:color w:val="auto"/>
          <w:kern w:val="0"/>
          <w:sz w:val="32"/>
          <w:szCs w:val="32"/>
          <w:highlight w:val="none"/>
          <w:shd w:val="clear" w:color="auto" w:fill="FFFFFF"/>
          <w:lang w:val="zh-CN"/>
        </w:rPr>
        <w:br w:type="page"/>
      </w:r>
    </w:p>
    <w:p w14:paraId="7A5915B1">
      <w:pPr>
        <w:widowControl/>
        <w:jc w:val="center"/>
        <w:outlineLvl w:val="0"/>
        <w:rPr>
          <w:rFonts w:hint="default" w:ascii="Times New Roman" w:hAnsi="Times New Roman" w:eastAsia="仿宋" w:cs="Times New Roman"/>
          <w:b w:val="0"/>
          <w:color w:val="auto"/>
          <w:highlight w:val="none"/>
        </w:rPr>
      </w:pPr>
      <w:bookmarkStart w:id="71" w:name="_Toc15396618"/>
      <w:bookmarkStart w:id="72" w:name="_Toc486"/>
      <w:r>
        <w:rPr>
          <w:rFonts w:hint="default" w:ascii="Times New Roman" w:hAnsi="Times New Roman" w:eastAsia="黑体" w:cs="Times New Roman"/>
          <w:color w:val="auto"/>
          <w:sz w:val="44"/>
          <w:szCs w:val="44"/>
          <w:highlight w:val="none"/>
        </w:rPr>
        <w:t>第</w:t>
      </w:r>
      <w:r>
        <w:rPr>
          <w:rStyle w:val="29"/>
          <w:rFonts w:hint="default" w:ascii="Times New Roman" w:hAnsi="Times New Roman" w:eastAsia="黑体" w:cs="Times New Roman"/>
          <w:b w:val="0"/>
          <w:color w:val="auto"/>
          <w:highlight w:val="none"/>
        </w:rPr>
        <w:t>五部分 附表</w:t>
      </w:r>
      <w:bookmarkEnd w:id="69"/>
      <w:bookmarkEnd w:id="71"/>
      <w:bookmarkEnd w:id="72"/>
      <w:bookmarkStart w:id="73" w:name="_Toc15396619"/>
    </w:p>
    <w:p w14:paraId="1EA0FB0E">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p>
    <w:p w14:paraId="522CFB54">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一、收入支出决算总表</w:t>
      </w:r>
      <w:bookmarkEnd w:id="73"/>
    </w:p>
    <w:p w14:paraId="75D598F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74" w:name="_Toc15396620"/>
      <w:r>
        <w:rPr>
          <w:rFonts w:hint="default" w:ascii="Times New Roman" w:hAnsi="Times New Roman" w:eastAsia="仿宋_GB2312" w:cs="Times New Roman"/>
          <w:color w:val="auto"/>
          <w:sz w:val="32"/>
          <w:szCs w:val="32"/>
          <w:highlight w:val="none"/>
        </w:rPr>
        <w:t>二、收入决算表</w:t>
      </w:r>
      <w:bookmarkEnd w:id="74"/>
    </w:p>
    <w:p w14:paraId="50CCF472">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75" w:name="_Toc15396621"/>
      <w:r>
        <w:rPr>
          <w:rFonts w:hint="default" w:ascii="Times New Roman" w:hAnsi="Times New Roman" w:eastAsia="仿宋_GB2312" w:cs="Times New Roman"/>
          <w:color w:val="auto"/>
          <w:sz w:val="32"/>
          <w:szCs w:val="32"/>
          <w:highlight w:val="none"/>
        </w:rPr>
        <w:t>三、支出决算表</w:t>
      </w:r>
      <w:bookmarkEnd w:id="75"/>
    </w:p>
    <w:p w14:paraId="1C8848D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76" w:name="_Toc15396622"/>
      <w:r>
        <w:rPr>
          <w:rFonts w:hint="default" w:ascii="Times New Roman" w:hAnsi="Times New Roman" w:eastAsia="仿宋_GB2312" w:cs="Times New Roman"/>
          <w:color w:val="auto"/>
          <w:sz w:val="32"/>
          <w:szCs w:val="32"/>
          <w:highlight w:val="none"/>
        </w:rPr>
        <w:t>四、财政拨款收入支出决算总表</w:t>
      </w:r>
      <w:bookmarkEnd w:id="76"/>
    </w:p>
    <w:p w14:paraId="76ECF725">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77" w:name="_Toc15396623"/>
      <w:r>
        <w:rPr>
          <w:rFonts w:hint="default" w:ascii="Times New Roman" w:hAnsi="Times New Roman" w:eastAsia="仿宋_GB2312" w:cs="Times New Roman"/>
          <w:color w:val="auto"/>
          <w:sz w:val="32"/>
          <w:szCs w:val="32"/>
          <w:highlight w:val="none"/>
        </w:rPr>
        <w:t>五、财政拨款支出决算明细表</w:t>
      </w:r>
      <w:bookmarkEnd w:id="77"/>
      <w:bookmarkStart w:id="78" w:name="_Toc15396624"/>
    </w:p>
    <w:p w14:paraId="7666E7B8">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六、一般公共预算财政拨款支出决算表</w:t>
      </w:r>
      <w:bookmarkEnd w:id="78"/>
    </w:p>
    <w:p w14:paraId="562E8D99">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79" w:name="_Toc15396625"/>
      <w:r>
        <w:rPr>
          <w:rFonts w:hint="default" w:ascii="Times New Roman" w:hAnsi="Times New Roman" w:eastAsia="仿宋_GB2312" w:cs="Times New Roman"/>
          <w:color w:val="auto"/>
          <w:sz w:val="32"/>
          <w:szCs w:val="32"/>
          <w:highlight w:val="none"/>
        </w:rPr>
        <w:t>七、一般公共预算财政拨款支出决算明细表</w:t>
      </w:r>
      <w:bookmarkEnd w:id="79"/>
    </w:p>
    <w:p w14:paraId="6A7A1D9F">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80" w:name="_Toc15396626"/>
      <w:r>
        <w:rPr>
          <w:rFonts w:hint="default" w:ascii="Times New Roman" w:hAnsi="Times New Roman" w:eastAsia="仿宋_GB2312" w:cs="Times New Roman"/>
          <w:color w:val="auto"/>
          <w:sz w:val="32"/>
          <w:szCs w:val="32"/>
          <w:highlight w:val="none"/>
        </w:rPr>
        <w:t>八、一般公共预算财政拨款基本支出决算表</w:t>
      </w:r>
      <w:bookmarkEnd w:id="80"/>
    </w:p>
    <w:p w14:paraId="325ECD6D">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81" w:name="_Toc15396627"/>
      <w:r>
        <w:rPr>
          <w:rFonts w:hint="default" w:ascii="Times New Roman" w:hAnsi="Times New Roman" w:eastAsia="仿宋_GB2312" w:cs="Times New Roman"/>
          <w:color w:val="auto"/>
          <w:sz w:val="32"/>
          <w:szCs w:val="32"/>
          <w:highlight w:val="none"/>
        </w:rPr>
        <w:t>九、一般公共预算财政拨款项目支出决算表</w:t>
      </w:r>
      <w:bookmarkEnd w:id="81"/>
    </w:p>
    <w:p w14:paraId="5BE7FA1F">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82" w:name="_Toc15396628"/>
      <w:r>
        <w:rPr>
          <w:rFonts w:hint="default" w:ascii="Times New Roman" w:hAnsi="Times New Roman" w:eastAsia="仿宋_GB2312" w:cs="Times New Roman"/>
          <w:color w:val="auto"/>
          <w:sz w:val="32"/>
          <w:szCs w:val="32"/>
          <w:highlight w:val="none"/>
        </w:rPr>
        <w:t>十、</w:t>
      </w:r>
      <w:bookmarkEnd w:id="82"/>
      <w:r>
        <w:rPr>
          <w:rFonts w:hint="default" w:ascii="Times New Roman" w:hAnsi="Times New Roman" w:eastAsia="仿宋_GB2312" w:cs="Times New Roman"/>
          <w:color w:val="auto"/>
          <w:sz w:val="32"/>
          <w:szCs w:val="32"/>
          <w:highlight w:val="none"/>
        </w:rPr>
        <w:t>政府性基金预算财政拨款收入支出决算表</w:t>
      </w:r>
    </w:p>
    <w:p w14:paraId="1128E6ED">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83" w:name="_Toc15396629"/>
      <w:r>
        <w:rPr>
          <w:rFonts w:hint="default" w:ascii="Times New Roman" w:hAnsi="Times New Roman" w:eastAsia="仿宋_GB2312" w:cs="Times New Roman"/>
          <w:color w:val="auto"/>
          <w:sz w:val="32"/>
          <w:szCs w:val="32"/>
          <w:highlight w:val="none"/>
        </w:rPr>
        <w:t>十一、</w:t>
      </w:r>
      <w:bookmarkEnd w:id="83"/>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财政拨款收入</w:t>
      </w:r>
      <w:r>
        <w:rPr>
          <w:rFonts w:hint="default" w:ascii="Times New Roman" w:hAnsi="Times New Roman" w:eastAsia="仿宋_GB2312" w:cs="Times New Roman"/>
          <w:color w:val="auto"/>
          <w:sz w:val="32"/>
          <w:szCs w:val="32"/>
          <w:highlight w:val="none"/>
        </w:rPr>
        <w:t>支出决算表</w:t>
      </w:r>
    </w:p>
    <w:p w14:paraId="05A7E1D5">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84" w:name="_Toc15396630"/>
      <w:r>
        <w:rPr>
          <w:rFonts w:hint="default" w:ascii="Times New Roman" w:hAnsi="Times New Roman" w:eastAsia="仿宋_GB2312" w:cs="Times New Roman"/>
          <w:color w:val="auto"/>
          <w:sz w:val="32"/>
          <w:szCs w:val="32"/>
          <w:highlight w:val="none"/>
        </w:rPr>
        <w:t>十二、</w:t>
      </w:r>
      <w:bookmarkEnd w:id="84"/>
      <w:r>
        <w:rPr>
          <w:rFonts w:hint="default" w:ascii="Times New Roman" w:hAnsi="Times New Roman" w:eastAsia="仿宋_GB2312" w:cs="Times New Roman"/>
          <w:color w:val="auto"/>
          <w:sz w:val="32"/>
          <w:szCs w:val="32"/>
          <w:highlight w:val="none"/>
          <w:lang w:eastAsia="zh-CN"/>
        </w:rPr>
        <w:t>国有资本经营预算财政拨款支出决算表</w:t>
      </w:r>
    </w:p>
    <w:p w14:paraId="7CE9834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lang w:eastAsia="zh-CN"/>
        </w:rPr>
      </w:pPr>
      <w:bookmarkStart w:id="85" w:name="_Toc15396631"/>
      <w:r>
        <w:rPr>
          <w:rFonts w:hint="default" w:ascii="Times New Roman" w:hAnsi="Times New Roman" w:eastAsia="仿宋_GB2312" w:cs="Times New Roman"/>
          <w:color w:val="auto"/>
          <w:sz w:val="32"/>
          <w:szCs w:val="32"/>
          <w:highlight w:val="none"/>
        </w:rPr>
        <w:t>十三、</w:t>
      </w:r>
      <w:bookmarkEnd w:id="85"/>
      <w:r>
        <w:rPr>
          <w:rFonts w:hint="default" w:ascii="Times New Roman" w:hAnsi="Times New Roman" w:eastAsia="仿宋_GB2312" w:cs="Times New Roman"/>
          <w:color w:val="auto"/>
          <w:sz w:val="32"/>
          <w:szCs w:val="32"/>
          <w:highlight w:val="none"/>
          <w:lang w:eastAsia="zh-CN"/>
        </w:rPr>
        <w:t>财政拨款“三公”经费支出决算表</w:t>
      </w:r>
    </w:p>
    <w:p w14:paraId="50B2F30C">
      <w:pPr>
        <w:rPr>
          <w:rFonts w:hint="default" w:ascii="Times New Roman" w:hAnsi="Times New Roman" w:cs="Times New Roman"/>
          <w:lang w:eastAsia="zh-CN"/>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DDE1CF-731A-4B4C-82AE-F170E9D434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548E9B2-A2B3-4EAD-BAC1-D0468E38C5C4}"/>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B22C1988-EF4E-4269-9387-11E5E86298BB}"/>
  </w:font>
  <w:font w:name="仿宋">
    <w:panose1 w:val="02010609060101010101"/>
    <w:charset w:val="86"/>
    <w:family w:val="modern"/>
    <w:pitch w:val="default"/>
    <w:sig w:usb0="800002BF" w:usb1="38CF7CFA" w:usb2="00000016" w:usb3="00000000" w:csb0="00040001" w:csb1="00000000"/>
    <w:embedRegular r:id="rId4" w:fontKey="{D867085B-BA9F-493F-96CB-E79AD17C5EA5}"/>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script"/>
    <w:pitch w:val="default"/>
    <w:sig w:usb0="00000001" w:usb1="080E0000" w:usb2="00000000" w:usb3="00000000" w:csb0="00040000" w:csb1="00000000"/>
    <w:embedRegular r:id="rId5" w:fontKey="{ECD4B1FB-1D31-4EFF-9242-4E470966513B}"/>
  </w:font>
  <w:font w:name="楷体_GB2312">
    <w:altName w:val="楷体"/>
    <w:panose1 w:val="02010609030101010101"/>
    <w:charset w:val="86"/>
    <w:family w:val="auto"/>
    <w:pitch w:val="default"/>
    <w:sig w:usb0="00000000" w:usb1="00000000" w:usb2="00000000" w:usb3="00000000" w:csb0="00040000" w:csb1="00000000"/>
    <w:embedRegular r:id="rId6" w:fontKey="{E70EA41C-1449-40DC-AE4E-CA09016ECB58}"/>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panose1 w:val="03000509000000000000"/>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DEB3E">
    <w:pPr>
      <w:pStyle w:val="12"/>
      <w:jc w:val="center"/>
    </w:pPr>
  </w:p>
  <w:p w14:paraId="43FF546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B10B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34D02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5834D02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C767C">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4BFCAA">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2E4BFCAA">
                    <w:pPr>
                      <w:pStyle w:val="12"/>
                    </w:pPr>
                    <w:r>
                      <w:fldChar w:fldCharType="begin"/>
                    </w:r>
                    <w:r>
                      <w:instrText xml:space="preserve"> PAGE  \* MERGEFORMAT </w:instrText>
                    </w:r>
                    <w:r>
                      <w:fldChar w:fldCharType="separate"/>
                    </w:r>
                    <w:r>
                      <w:t>4</w:t>
                    </w:r>
                    <w:r>
                      <w:fldChar w:fldCharType="end"/>
                    </w:r>
                  </w:p>
                </w:txbxContent>
              </v:textbox>
            </v:shape>
          </w:pict>
        </mc:Fallback>
      </mc:AlternateContent>
    </w:r>
  </w:p>
  <w:p w14:paraId="0712F3DA">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69EC">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51421"/>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E4F2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8B7183D"/>
    <w:rsid w:val="09867E8F"/>
    <w:rsid w:val="0A2032A3"/>
    <w:rsid w:val="0A3E03DD"/>
    <w:rsid w:val="0CA8290A"/>
    <w:rsid w:val="0D35B1ED"/>
    <w:rsid w:val="0E254B6B"/>
    <w:rsid w:val="0EFC4D43"/>
    <w:rsid w:val="0F98263C"/>
    <w:rsid w:val="101860EC"/>
    <w:rsid w:val="101F47CC"/>
    <w:rsid w:val="10C055FF"/>
    <w:rsid w:val="11694EBD"/>
    <w:rsid w:val="11772AA4"/>
    <w:rsid w:val="118107EC"/>
    <w:rsid w:val="12E24EE2"/>
    <w:rsid w:val="12E731CB"/>
    <w:rsid w:val="13755031"/>
    <w:rsid w:val="13D50BC4"/>
    <w:rsid w:val="14B17F78"/>
    <w:rsid w:val="14B83B44"/>
    <w:rsid w:val="165E0673"/>
    <w:rsid w:val="16B831D5"/>
    <w:rsid w:val="16BB723D"/>
    <w:rsid w:val="17E50567"/>
    <w:rsid w:val="180C6BE2"/>
    <w:rsid w:val="186504BB"/>
    <w:rsid w:val="199D0046"/>
    <w:rsid w:val="19A445FC"/>
    <w:rsid w:val="1B8C558B"/>
    <w:rsid w:val="1BE8440E"/>
    <w:rsid w:val="1D155CEE"/>
    <w:rsid w:val="1D1638FE"/>
    <w:rsid w:val="1E312DEB"/>
    <w:rsid w:val="1E740ACF"/>
    <w:rsid w:val="1FF35744"/>
    <w:rsid w:val="1FF6BC77"/>
    <w:rsid w:val="2028550F"/>
    <w:rsid w:val="20913F9C"/>
    <w:rsid w:val="2186353C"/>
    <w:rsid w:val="23860B96"/>
    <w:rsid w:val="240371BF"/>
    <w:rsid w:val="244F3473"/>
    <w:rsid w:val="24C97D99"/>
    <w:rsid w:val="25A718F0"/>
    <w:rsid w:val="25BB59F6"/>
    <w:rsid w:val="260F557C"/>
    <w:rsid w:val="26157E03"/>
    <w:rsid w:val="26970054"/>
    <w:rsid w:val="271C52DB"/>
    <w:rsid w:val="272437F2"/>
    <w:rsid w:val="281408E2"/>
    <w:rsid w:val="29AB4665"/>
    <w:rsid w:val="29FD04D3"/>
    <w:rsid w:val="2BFF7BC6"/>
    <w:rsid w:val="2C8A61B5"/>
    <w:rsid w:val="2DF04E50"/>
    <w:rsid w:val="2E586DFA"/>
    <w:rsid w:val="2F040D46"/>
    <w:rsid w:val="2F6B035B"/>
    <w:rsid w:val="2FAE5751"/>
    <w:rsid w:val="2FB1A395"/>
    <w:rsid w:val="2FD9A7D8"/>
    <w:rsid w:val="2FDBF714"/>
    <w:rsid w:val="30AB6865"/>
    <w:rsid w:val="312C1182"/>
    <w:rsid w:val="319F7F4E"/>
    <w:rsid w:val="32BD1EF1"/>
    <w:rsid w:val="3304709D"/>
    <w:rsid w:val="33A773CB"/>
    <w:rsid w:val="349D6851"/>
    <w:rsid w:val="34C07A59"/>
    <w:rsid w:val="36AA5135"/>
    <w:rsid w:val="36BE0DA7"/>
    <w:rsid w:val="376B6AA6"/>
    <w:rsid w:val="376D39B2"/>
    <w:rsid w:val="37E16F03"/>
    <w:rsid w:val="37F53A3B"/>
    <w:rsid w:val="389B6C89"/>
    <w:rsid w:val="38D469F0"/>
    <w:rsid w:val="395F3949"/>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0346C"/>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874563"/>
    <w:rsid w:val="56E47B74"/>
    <w:rsid w:val="56F31E12"/>
    <w:rsid w:val="57175D52"/>
    <w:rsid w:val="57BA68C6"/>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4D40AB1"/>
    <w:rsid w:val="65E66580"/>
    <w:rsid w:val="664B1D71"/>
    <w:rsid w:val="664B4E8E"/>
    <w:rsid w:val="67277B67"/>
    <w:rsid w:val="67AA3209"/>
    <w:rsid w:val="680D2A87"/>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2A204A0"/>
    <w:rsid w:val="73160E6D"/>
    <w:rsid w:val="7332FE48"/>
    <w:rsid w:val="73AB61DA"/>
    <w:rsid w:val="73AD73D5"/>
    <w:rsid w:val="73B6EB34"/>
    <w:rsid w:val="73FA497D"/>
    <w:rsid w:val="744731E5"/>
    <w:rsid w:val="74BBD01D"/>
    <w:rsid w:val="74ED5379"/>
    <w:rsid w:val="759A5F7F"/>
    <w:rsid w:val="75DEEEC2"/>
    <w:rsid w:val="75E32345"/>
    <w:rsid w:val="76674C9D"/>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DB1AFA"/>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rPr>
  </w:style>
  <w:style w:type="paragraph" w:styleId="11">
    <w:name w:val="Balloon Text"/>
    <w:basedOn w:val="1"/>
    <w:link w:val="32"/>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3"/>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2"/>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5"/>
    <w:qFormat/>
    <w:uiPriority w:val="9"/>
    <w:rPr>
      <w:rFonts w:ascii="Times New Roman" w:hAnsi="Times New Roman"/>
      <w:b/>
      <w:bCs/>
      <w:kern w:val="44"/>
      <w:sz w:val="44"/>
      <w:szCs w:val="44"/>
    </w:rPr>
  </w:style>
  <w:style w:type="character" w:customStyle="1" w:styleId="30">
    <w:name w:val="标题 2 Char"/>
    <w:basedOn w:val="17"/>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1"/>
    <w:semiHidden/>
    <w:qFormat/>
    <w:uiPriority w:val="99"/>
    <w:rPr>
      <w:rFonts w:ascii="Times New Roman" w:hAnsi="Times New Roman"/>
      <w:kern w:val="2"/>
      <w:sz w:val="18"/>
      <w:szCs w:val="18"/>
    </w:rPr>
  </w:style>
  <w:style w:type="character" w:customStyle="1" w:styleId="33">
    <w:name w:val="标题 3 Char"/>
    <w:basedOn w:val="17"/>
    <w:link w:val="7"/>
    <w:qFormat/>
    <w:uiPriority w:val="9"/>
    <w:rPr>
      <w:rFonts w:ascii="Times New Roman" w:hAnsi="Times New Roman"/>
      <w:b/>
      <w:bCs/>
      <w:kern w:val="2"/>
      <w:sz w:val="32"/>
      <w:szCs w:val="32"/>
    </w:rPr>
  </w:style>
  <w:style w:type="paragraph" w:customStyle="1" w:styleId="34">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 w:type="paragraph" w:customStyle="1" w:styleId="3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gradFill>
              <a:gsLst>
                <a:gs pos="0">
                  <a:schemeClr val="accent6">
                    <a:lumMod val="40000"/>
                    <a:lumOff val="60000"/>
                  </a:schemeClr>
                </a:gs>
                <a:gs pos="90000">
                  <a:schemeClr val="accent6"/>
                </a:gs>
              </a:gsLst>
              <a:lin ang="5400000" scaled="0"/>
            </a:gradFill>
            <a:ln>
              <a:gradFill>
                <a:gsLst>
                  <a:gs pos="0">
                    <a:schemeClr val="accent6"/>
                  </a:gs>
                  <a:gs pos="100000">
                    <a:schemeClr val="accent6">
                      <a:lumMod val="75000"/>
                    </a:schemeClr>
                  </a:gs>
                </a:gsLst>
                <a:lin ang="5400000" scaled="1"/>
              </a:gradFill>
            </a:ln>
            <a:effectLst>
              <a:outerShdw blurRad="76200" dist="25400" dir="2700000" algn="tl" rotWithShape="0">
                <a:schemeClr val="accent6">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2024年</c:v>
                </c:pt>
                <c:pt idx="1">
                  <c:v>2023年</c:v>
                </c:pt>
              </c:strCache>
            </c:strRef>
          </c:cat>
          <c:val>
            <c:numRef>
              <c:f>Sheet1!$B$2:$B$3</c:f>
              <c:numCache>
                <c:formatCode>0.00_ </c:formatCode>
                <c:ptCount val="2"/>
                <c:pt idx="0">
                  <c:v>145.126995</c:v>
                </c:pt>
                <c:pt idx="1">
                  <c:v>161.426772</c:v>
                </c:pt>
              </c:numCache>
            </c:numRef>
          </c:val>
        </c:ser>
        <c:ser>
          <c:idx val="1"/>
          <c:order val="1"/>
          <c:tx>
            <c:strRef>
              <c:f>Sheet1!$C$1</c:f>
              <c:strCache>
                <c:ptCount val="1"/>
                <c:pt idx="0">
                  <c:v>支出</c:v>
                </c:pt>
              </c:strCache>
            </c:strRef>
          </c:tx>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5">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2024年</c:v>
                </c:pt>
                <c:pt idx="1">
                  <c:v>2023年</c:v>
                </c:pt>
              </c:strCache>
            </c:strRef>
          </c:cat>
          <c:val>
            <c:numRef>
              <c:f>Sheet1!$C$2:$C$3</c:f>
              <c:numCache>
                <c:formatCode>0.00_ </c:formatCode>
                <c:ptCount val="2"/>
                <c:pt idx="0">
                  <c:v>145.126995</c:v>
                </c:pt>
                <c:pt idx="1">
                  <c:v>161.426772</c:v>
                </c:pt>
              </c:numCache>
            </c:numRef>
          </c:val>
        </c:ser>
        <c:dLbls>
          <c:showLegendKey val="0"/>
          <c:showVal val="1"/>
          <c:showCatName val="0"/>
          <c:showSerName val="0"/>
          <c:showPercent val="0"/>
          <c:showBubbleSize val="0"/>
        </c:dLbls>
        <c:gapWidth val="246"/>
        <c:overlap val="-28"/>
        <c:axId val="261248036"/>
        <c:axId val="175748737"/>
      </c:barChart>
      <c:catAx>
        <c:axId val="2612480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5748737"/>
        <c:crosses val="autoZero"/>
        <c:auto val="1"/>
        <c:lblAlgn val="ctr"/>
        <c:lblOffset val="100"/>
        <c:noMultiLvlLbl val="0"/>
      </c:catAx>
      <c:valAx>
        <c:axId val="175748737"/>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12480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1e0f4e-364d-4523-9b3e-24326e003d2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endParaRPr lang="en-US" altLang="zh-CN"/>
          </a:p>
        </c:rich>
      </c:tx>
      <c:layout/>
      <c:overlay val="0"/>
      <c:spPr>
        <a:noFill/>
        <a:ln>
          <a:noFill/>
        </a:ln>
        <a:effectLst/>
      </c:spPr>
    </c:title>
    <c:autoTitleDeleted val="0"/>
    <c:plotArea>
      <c:layout>
        <c:manualLayout>
          <c:layoutTarget val="inner"/>
          <c:xMode val="edge"/>
          <c:yMode val="edge"/>
          <c:x val="0.327344769267939"/>
          <c:y val="0.203625159371016"/>
          <c:w val="0.34772650398647"/>
          <c:h val="0.611661708457289"/>
        </c:manualLayout>
      </c:layout>
      <c:pieChart>
        <c:varyColors val="1"/>
        <c:ser>
          <c:idx val="0"/>
          <c:order val="0"/>
          <c:tx>
            <c:strRef>
              <c:f>Sheet1!$B$1</c:f>
              <c:strCache>
                <c:ptCount val="1"/>
                <c:pt idx="0">
                  <c:v>收入</c:v>
                </c:pt>
              </c:strCache>
            </c:strRef>
          </c:tx>
          <c:spPr>
            <a:effectLst>
              <a:outerShdw blurRad="76200" dist="25400" dir="2700000" algn="tl" rotWithShape="0">
                <a:schemeClr val="accent6">
                  <a:lumMod val="50000"/>
                  <a:alpha val="30000"/>
                </a:schemeClr>
              </a:outerShdw>
            </a:effectLst>
          </c:spPr>
          <c:explosion val="0"/>
          <c:dPt>
            <c:idx val="0"/>
            <c:bubble3D val="0"/>
            <c:spPr>
              <a:gradFill>
                <a:gsLst>
                  <a:gs pos="0">
                    <a:schemeClr val="accent6">
                      <a:lumMod val="40000"/>
                      <a:lumOff val="60000"/>
                    </a:schemeClr>
                  </a:gs>
                  <a:gs pos="90000">
                    <a:schemeClr val="accent6"/>
                  </a:gs>
                </a:gsLst>
                <a:lin ang="5400000" scaled="0"/>
              </a:gradFill>
              <a:ln>
                <a:gradFill>
                  <a:gsLst>
                    <a:gs pos="0">
                      <a:schemeClr val="accent6"/>
                    </a:gs>
                    <a:gs pos="100000">
                      <a:schemeClr val="accent6">
                        <a:lumMod val="75000"/>
                      </a:schemeClr>
                    </a:gs>
                  </a:gsLst>
                  <a:lin ang="5400000" scaled="1"/>
                </a:gradFill>
              </a:ln>
              <a:effectLst>
                <a:outerShdw blurRad="76200" dist="25400" dir="2700000" algn="tl" rotWithShape="0">
                  <a:schemeClr val="accent6">
                    <a:lumMod val="50000"/>
                    <a:alpha val="30000"/>
                  </a:schemeClr>
                </a:outerShdw>
              </a:effectLst>
            </c:spPr>
          </c:dPt>
          <c:dPt>
            <c:idx val="1"/>
            <c:bubble3D val="0"/>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6">
                    <a:lumMod val="50000"/>
                    <a:alpha val="30000"/>
                  </a:schemeClr>
                </a:outerShdw>
              </a:effectLst>
            </c:spPr>
          </c:dPt>
          <c:dLbls>
            <c:dLbl>
              <c:idx val="0"/>
              <c:layout>
                <c:manualLayout>
                  <c:x val="-0.268180719980672"/>
                  <c:y val="-0.36974075648108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145.13</a:t>
                    </a:r>
                    <a:r>
                      <a:rPr altLang="en-US"/>
                      <a:t>万元</a:t>
                    </a:r>
                    <a:endParaRPr lang="en-US" altLang="zh-CN"/>
                  </a:p>
                  <a:p>
                    <a:pPr defTabSz="914400">
                      <a:defRPr lang="zh-CN" sz="1000" b="0" i="0" u="none" strike="noStrike" kern="1200" baseline="0">
                        <a:solidFill>
                          <a:schemeClr val="tx1">
                            <a:lumMod val="75000"/>
                            <a:lumOff val="25000"/>
                          </a:schemeClr>
                        </a:solidFill>
                        <a:latin typeface="+mn-lt"/>
                        <a:ea typeface="+mn-ea"/>
                        <a:cs typeface="+mn-cs"/>
                      </a:defRPr>
                    </a:pPr>
                    <a:r>
                      <a:rPr altLang="en-US"/>
                      <a:t>（</a:t>
                    </a:r>
                    <a:r>
                      <a:rPr lang="en-US" altLang="zh-CN"/>
                      <a:t>100%</a:t>
                    </a:r>
                    <a:r>
                      <a:rPr altLang="en-US"/>
                      <a:t>）</a:t>
                    </a:r>
                    <a:endParaRPr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strCache>
            </c:strRef>
          </c:cat>
          <c:val>
            <c:numRef>
              <c:f>Sheet1!$B$2:$B$3</c:f>
              <c:numCache>
                <c:formatCode>0.00_ </c:formatCode>
                <c:ptCount val="2"/>
                <c:pt idx="0">
                  <c:v>1</c:v>
                </c:pt>
              </c:numCache>
            </c:numRef>
          </c:val>
        </c:ser>
        <c:ser>
          <c:idx val="1"/>
          <c:order val="1"/>
          <c:tx>
            <c:strRef>
              <c:f>Sheet1!$C$1</c:f>
              <c:strCache>
                <c:ptCount val="1"/>
                <c:pt idx="0">
                  <c:v>支出</c:v>
                </c:pt>
              </c:strCache>
            </c:strRef>
          </c:tx>
          <c:spPr>
            <a:effectLst>
              <a:outerShdw blurRad="76200" dist="25400" dir="2700000" algn="tl" rotWithShape="0">
                <a:schemeClr val="accent5">
                  <a:lumMod val="50000"/>
                  <a:alpha val="30000"/>
                </a:schemeClr>
              </a:outerShdw>
            </a:effectLst>
          </c:spPr>
          <c:explosion val="0"/>
          <c:dPt>
            <c:idx val="0"/>
            <c:bubble3D val="0"/>
            <c:spPr>
              <a:gradFill>
                <a:gsLst>
                  <a:gs pos="0">
                    <a:schemeClr val="accent6">
                      <a:lumMod val="40000"/>
                      <a:lumOff val="60000"/>
                    </a:schemeClr>
                  </a:gs>
                  <a:gs pos="90000">
                    <a:schemeClr val="accent6"/>
                  </a:gs>
                </a:gsLst>
                <a:lin ang="5400000" scaled="0"/>
              </a:gradFill>
              <a:ln>
                <a:gradFill>
                  <a:gsLst>
                    <a:gs pos="0">
                      <a:schemeClr val="accent6"/>
                    </a:gs>
                    <a:gs pos="100000">
                      <a:schemeClr val="accent6">
                        <a:lumMod val="75000"/>
                      </a:schemeClr>
                    </a:gs>
                  </a:gsLst>
                  <a:lin ang="5400000" scaled="1"/>
                </a:gradFill>
              </a:ln>
              <a:effectLst>
                <a:outerShdw blurRad="76200" dist="25400" dir="2700000" algn="tl" rotWithShape="0">
                  <a:schemeClr val="accent5">
                    <a:lumMod val="50000"/>
                    <a:alpha val="30000"/>
                  </a:schemeClr>
                </a:outerShdw>
              </a:effectLst>
            </c:spPr>
          </c:dPt>
          <c:dPt>
            <c:idx val="1"/>
            <c:bubble3D val="0"/>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5">
                    <a:lumMod val="50000"/>
                    <a:alpha val="30000"/>
                  </a:schemeClr>
                </a:outerShdw>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strCache>
            </c:strRef>
          </c:cat>
          <c:val>
            <c:numRef>
              <c:f>Sheet1!$C$2:$C$3</c:f>
              <c:numCache>
                <c:formatCode>0.00_ </c:formatCode>
                <c:ptCount val="2"/>
                <c:pt idx="0">
                  <c:v>145.126995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1"/>
        <c:delete val="1"/>
      </c:legendEntry>
      <c:layout>
        <c:manualLayout>
          <c:xMode val="edge"/>
          <c:yMode val="edge"/>
          <c:x val="0.337581541435129"/>
          <c:y val="0.90586485337866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1e0f4e-364d-4523-9b3e-24326e003d2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manualLayout>
          <c:layoutTarget val="inner"/>
          <c:xMode val="edge"/>
          <c:yMode val="edge"/>
          <c:x val="0.327344769267939"/>
          <c:y val="0.259511262218445"/>
          <c:w val="0.34772650398647"/>
          <c:h val="0.611661708457289"/>
        </c:manualLayout>
      </c:layout>
      <c:pieChart>
        <c:varyColors val="1"/>
        <c:ser>
          <c:idx val="0"/>
          <c:order val="0"/>
          <c:tx>
            <c:strRef>
              <c:f>Sheet1!$B$1</c:f>
              <c:strCache>
                <c:ptCount val="1"/>
                <c:pt idx="0">
                  <c:v>支出</c:v>
                </c:pt>
              </c:strCache>
            </c:strRef>
          </c:tx>
          <c:spPr/>
          <c:explosion val="0"/>
          <c:dPt>
            <c:idx val="0"/>
            <c:bubble3D val="0"/>
            <c:spPr>
              <a:gradFill>
                <a:gsLst>
                  <a:gs pos="0">
                    <a:schemeClr val="accent6">
                      <a:lumMod val="40000"/>
                      <a:lumOff val="60000"/>
                    </a:schemeClr>
                  </a:gs>
                  <a:gs pos="90000">
                    <a:schemeClr val="accent6"/>
                  </a:gs>
                </a:gsLst>
                <a:lin ang="5400000" scaled="0"/>
              </a:gradFill>
              <a:ln>
                <a:gradFill>
                  <a:gsLst>
                    <a:gs pos="0">
                      <a:schemeClr val="accent6"/>
                    </a:gs>
                    <a:gs pos="100000">
                      <a:schemeClr val="accent6">
                        <a:lumMod val="75000"/>
                      </a:schemeClr>
                    </a:gs>
                  </a:gsLst>
                  <a:lin ang="5400000" scaled="1"/>
                </a:gradFill>
              </a:ln>
              <a:effectLst>
                <a:outerShdw blurRad="76200" dist="25400" dir="2700000" algn="tl" rotWithShape="0">
                  <a:schemeClr val="accent6">
                    <a:lumMod val="50000"/>
                    <a:alpha val="30000"/>
                  </a:schemeClr>
                </a:outerShdw>
              </a:effectLst>
            </c:spPr>
          </c:dPt>
          <c:dPt>
            <c:idx val="1"/>
            <c:bubble3D val="0"/>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5">
                    <a:lumMod val="50000"/>
                    <a:alpha val="30000"/>
                  </a:schemeClr>
                </a:outerShdw>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115.13</a:t>
                    </a:r>
                  </a:p>
                  <a:p>
                    <a:pPr defTabSz="914400">
                      <a:defRPr lang="zh-CN" sz="1000" b="0" i="0" u="none" strike="noStrike" kern="1200" baseline="0">
                        <a:solidFill>
                          <a:schemeClr val="tx1">
                            <a:lumMod val="75000"/>
                            <a:lumOff val="25000"/>
                          </a:schemeClr>
                        </a:solidFill>
                        <a:latin typeface="+mn-lt"/>
                        <a:ea typeface="+mn-ea"/>
                        <a:cs typeface="+mn-cs"/>
                      </a:defRPr>
                    </a:pPr>
                    <a:r>
                      <a:t>（</a:t>
                    </a:r>
                    <a:r>
                      <a:rPr lang="en-US" altLang="zh-CN"/>
                      <a:t>79.93%</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0773133607151486"/>
                  <c:y val="0.07012324691882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30.00</a:t>
                    </a:r>
                  </a:p>
                  <a:p>
                    <a:pPr defTabSz="914400">
                      <a:defRPr lang="zh-CN" sz="1000" b="0" i="0" u="none" strike="noStrike" kern="1200" baseline="0">
                        <a:solidFill>
                          <a:schemeClr val="tx1">
                            <a:lumMod val="75000"/>
                            <a:lumOff val="25000"/>
                          </a:schemeClr>
                        </a:solidFill>
                        <a:latin typeface="+mn-lt"/>
                        <a:ea typeface="+mn-ea"/>
                        <a:cs typeface="+mn-cs"/>
                      </a:defRPr>
                    </a:pPr>
                    <a:r>
                      <a:t>（</a:t>
                    </a:r>
                    <a:r>
                      <a:rPr lang="en-US" altLang="zh-CN"/>
                      <a:t>20.67%</a:t>
                    </a:r>
                    <a:r>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0.00_ </c:formatCode>
                <c:ptCount val="2"/>
                <c:pt idx="0">
                  <c:v>115.13</c:v>
                </c:pt>
                <c:pt idx="1">
                  <c:v>30</c:v>
                </c:pt>
              </c:numCache>
            </c:numRef>
          </c:val>
        </c:ser>
        <c:ser>
          <c:idx val="1"/>
          <c:order val="1"/>
          <c:tx>
            <c:strRef>
              <c:f>Sheet1!$C$1</c:f>
              <c:strCache>
                <c:ptCount val="1"/>
                <c:pt idx="0">
                  <c:v>占比</c:v>
                </c:pt>
              </c:strCache>
            </c:strRef>
          </c:tx>
          <c:spPr/>
          <c:explosion val="0"/>
          <c:dPt>
            <c:idx val="0"/>
            <c:bubble3D val="0"/>
            <c:spPr>
              <a:gradFill>
                <a:gsLst>
                  <a:gs pos="0">
                    <a:schemeClr val="accent6">
                      <a:lumMod val="40000"/>
                      <a:lumOff val="60000"/>
                    </a:schemeClr>
                  </a:gs>
                  <a:gs pos="90000">
                    <a:schemeClr val="accent6"/>
                  </a:gs>
                </a:gsLst>
                <a:lin ang="5400000" scaled="0"/>
              </a:gradFill>
              <a:ln>
                <a:gradFill>
                  <a:gsLst>
                    <a:gs pos="0">
                      <a:schemeClr val="accent6"/>
                    </a:gs>
                    <a:gs pos="100000">
                      <a:schemeClr val="accent6">
                        <a:lumMod val="75000"/>
                      </a:schemeClr>
                    </a:gs>
                  </a:gsLst>
                  <a:lin ang="5400000" scaled="1"/>
                </a:gradFill>
              </a:ln>
              <a:effectLst>
                <a:outerShdw blurRad="76200" dist="25400" dir="2700000" algn="tl" rotWithShape="0">
                  <a:schemeClr val="accent6">
                    <a:lumMod val="50000"/>
                    <a:alpha val="30000"/>
                  </a:schemeClr>
                </a:outerShdw>
              </a:effectLst>
            </c:spPr>
          </c:dPt>
          <c:dPt>
            <c:idx val="1"/>
            <c:bubble3D val="0"/>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5">
                    <a:lumMod val="50000"/>
                    <a:alpha val="30000"/>
                  </a:schemeClr>
                </a:outerShdw>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Sheet1!$C$2:$C$3</c:f>
              <c:numCache>
                <c:formatCode>0%</c:formatCode>
                <c:ptCount val="2"/>
                <c:pt idx="0">
                  <c:v>0.7932</c:v>
                </c:pt>
                <c:pt idx="1">
                  <c:v>0.2067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1e0f4e-364d-4523-9b3e-24326e003d2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gradFill>
              <a:gsLst>
                <a:gs pos="0">
                  <a:schemeClr val="accent6">
                    <a:lumMod val="40000"/>
                    <a:lumOff val="60000"/>
                  </a:schemeClr>
                </a:gs>
                <a:gs pos="90000">
                  <a:schemeClr val="accent6"/>
                </a:gs>
              </a:gsLst>
              <a:lin ang="5400000" scaled="0"/>
            </a:gradFill>
            <a:ln>
              <a:gradFill>
                <a:gsLst>
                  <a:gs pos="0">
                    <a:schemeClr val="accent6"/>
                  </a:gs>
                  <a:gs pos="100000">
                    <a:schemeClr val="accent6">
                      <a:lumMod val="75000"/>
                    </a:schemeClr>
                  </a:gs>
                </a:gsLst>
                <a:lin ang="5400000" scaled="1"/>
              </a:gradFill>
            </a:ln>
            <a:effectLst>
              <a:outerShdw blurRad="76200" dist="25400" dir="2700000" algn="tl" rotWithShape="0">
                <a:schemeClr val="accent6">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2024年</c:v>
                </c:pt>
                <c:pt idx="1">
                  <c:v>2023年</c:v>
                </c:pt>
              </c:strCache>
            </c:strRef>
          </c:cat>
          <c:val>
            <c:numRef>
              <c:f>Sheet1!$B$2:$B$3</c:f>
              <c:numCache>
                <c:formatCode>0.00_ </c:formatCode>
                <c:ptCount val="2"/>
                <c:pt idx="0">
                  <c:v>145.126995</c:v>
                </c:pt>
                <c:pt idx="1">
                  <c:v>161.426772</c:v>
                </c:pt>
              </c:numCache>
            </c:numRef>
          </c:val>
        </c:ser>
        <c:ser>
          <c:idx val="1"/>
          <c:order val="1"/>
          <c:tx>
            <c:strRef>
              <c:f>Sheet1!$C$1</c:f>
              <c:strCache>
                <c:ptCount val="1"/>
                <c:pt idx="0">
                  <c:v>支出</c:v>
                </c:pt>
              </c:strCache>
            </c:strRef>
          </c:tx>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5">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2024年</c:v>
                </c:pt>
                <c:pt idx="1">
                  <c:v>2023年</c:v>
                </c:pt>
              </c:strCache>
            </c:strRef>
          </c:cat>
          <c:val>
            <c:numRef>
              <c:f>Sheet1!$C$2:$C$3</c:f>
              <c:numCache>
                <c:formatCode>0.00_ </c:formatCode>
                <c:ptCount val="2"/>
                <c:pt idx="0">
                  <c:v>145.126995</c:v>
                </c:pt>
                <c:pt idx="1">
                  <c:v>161.426772</c:v>
                </c:pt>
              </c:numCache>
            </c:numRef>
          </c:val>
        </c:ser>
        <c:dLbls>
          <c:showLegendKey val="0"/>
          <c:showVal val="1"/>
          <c:showCatName val="0"/>
          <c:showSerName val="0"/>
          <c:showPercent val="0"/>
          <c:showBubbleSize val="0"/>
        </c:dLbls>
        <c:gapWidth val="246"/>
        <c:overlap val="-28"/>
        <c:axId val="261248036"/>
        <c:axId val="175748737"/>
      </c:barChart>
      <c:catAx>
        <c:axId val="2612480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5748737"/>
        <c:crosses val="autoZero"/>
        <c:auto val="1"/>
        <c:lblAlgn val="ctr"/>
        <c:lblOffset val="100"/>
        <c:noMultiLvlLbl val="0"/>
      </c:catAx>
      <c:valAx>
        <c:axId val="175748737"/>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12480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1e0f4e-364d-4523-9b3e-24326e003d2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一般公共预算财政拨款支出决算变动情况图</a:t>
            </a:r>
          </a:p>
        </c:rich>
      </c:tx>
      <c:layout/>
      <c:overlay val="0"/>
      <c:spPr>
        <a:noFill/>
        <a:ln>
          <a:noFill/>
        </a:ln>
        <a:effectLst/>
      </c:spPr>
    </c:title>
    <c:autoTitleDeleted val="0"/>
    <c:plotArea>
      <c:layout/>
      <c:barChart>
        <c:barDir val="col"/>
        <c:grouping val="clustered"/>
        <c:varyColors val="0"/>
        <c:ser>
          <c:idx val="1"/>
          <c:order val="0"/>
          <c:tx>
            <c:strRef>
              <c:f>Sheet1!$C$1</c:f>
              <c:strCache>
                <c:ptCount val="1"/>
                <c:pt idx="0">
                  <c:v>支出</c:v>
                </c:pt>
              </c:strCache>
            </c:strRef>
          </c:tx>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5">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2024年</c:v>
                </c:pt>
                <c:pt idx="1">
                  <c:v>2023年</c:v>
                </c:pt>
              </c:strCache>
            </c:strRef>
          </c:cat>
          <c:val>
            <c:numRef>
              <c:f>Sheet1!$C$2:$C$3</c:f>
              <c:numCache>
                <c:formatCode>0.00_ </c:formatCode>
                <c:ptCount val="2"/>
                <c:pt idx="0">
                  <c:v>145.126995</c:v>
                </c:pt>
                <c:pt idx="1">
                  <c:v>161.426772</c:v>
                </c:pt>
              </c:numCache>
            </c:numRef>
          </c:val>
        </c:ser>
        <c:dLbls>
          <c:showLegendKey val="0"/>
          <c:showVal val="1"/>
          <c:showCatName val="0"/>
          <c:showSerName val="0"/>
          <c:showPercent val="0"/>
          <c:showBubbleSize val="0"/>
        </c:dLbls>
        <c:gapWidth val="246"/>
        <c:overlap val="-28"/>
        <c:axId val="261248036"/>
        <c:axId val="175748737"/>
      </c:barChart>
      <c:catAx>
        <c:axId val="2612480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5748737"/>
        <c:crosses val="autoZero"/>
        <c:auto val="1"/>
        <c:lblAlgn val="ctr"/>
        <c:lblOffset val="100"/>
        <c:noMultiLvlLbl val="0"/>
      </c:catAx>
      <c:valAx>
        <c:axId val="175748737"/>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12480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1e0f4e-364d-4523-9b3e-24326e003d2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一般公共预算财政拨款支出决算结构图</a:t>
            </a:r>
          </a:p>
        </c:rich>
      </c:tx>
      <c:layout>
        <c:manualLayout>
          <c:xMode val="edge"/>
          <c:yMode val="edge"/>
          <c:x val="0.20367238463397"/>
          <c:y val="0.0276243093922652"/>
        </c:manualLayout>
      </c:layout>
      <c:overlay val="0"/>
      <c:spPr>
        <a:noFill/>
        <a:ln>
          <a:noFill/>
        </a:ln>
        <a:effectLst/>
      </c:spPr>
    </c:title>
    <c:autoTitleDeleted val="0"/>
    <c:plotArea>
      <c:layout/>
      <c:pieChart>
        <c:varyColors val="1"/>
        <c:ser>
          <c:idx val="0"/>
          <c:order val="0"/>
          <c:tx>
            <c:strRef>
              <c:f>Sheet1!$B$1</c:f>
              <c:strCache>
                <c:ptCount val="1"/>
                <c:pt idx="0">
                  <c:v>收入</c:v>
                </c:pt>
              </c:strCache>
            </c:strRef>
          </c:tx>
          <c:spPr>
            <a:effectLst>
              <a:outerShdw blurRad="76200" dist="25400" dir="2700000" algn="tl" rotWithShape="0">
                <a:schemeClr val="accent6">
                  <a:lumMod val="50000"/>
                  <a:alpha val="30000"/>
                </a:schemeClr>
              </a:outerShdw>
            </a:effectLst>
          </c:spPr>
          <c:explosion val="0"/>
          <c:dPt>
            <c:idx val="0"/>
            <c:bubble3D val="0"/>
            <c:spPr>
              <a:gradFill>
                <a:gsLst>
                  <a:gs pos="0">
                    <a:schemeClr val="accent6">
                      <a:lumMod val="40000"/>
                      <a:lumOff val="60000"/>
                    </a:schemeClr>
                  </a:gs>
                  <a:gs pos="90000">
                    <a:schemeClr val="accent6"/>
                  </a:gs>
                </a:gsLst>
                <a:lin ang="5400000" scaled="0"/>
              </a:gradFill>
              <a:ln>
                <a:gradFill>
                  <a:gsLst>
                    <a:gs pos="0">
                      <a:schemeClr val="accent6"/>
                    </a:gs>
                    <a:gs pos="100000">
                      <a:schemeClr val="accent6">
                        <a:lumMod val="75000"/>
                      </a:schemeClr>
                    </a:gs>
                  </a:gsLst>
                  <a:lin ang="5400000" scaled="1"/>
                </a:gradFill>
              </a:ln>
              <a:effectLst>
                <a:outerShdw blurRad="76200" dist="25400" dir="2700000" algn="tl" rotWithShape="0">
                  <a:schemeClr val="accent6">
                    <a:lumMod val="50000"/>
                    <a:alpha val="30000"/>
                  </a:schemeClr>
                </a:outerShdw>
              </a:effectLst>
            </c:spPr>
          </c:dPt>
          <c:dPt>
            <c:idx val="1"/>
            <c:bubble3D val="0"/>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6">
                    <a:lumMod val="50000"/>
                    <a:alpha val="30000"/>
                  </a:schemeClr>
                </a:outerShdw>
              </a:effectLst>
            </c:spPr>
          </c:dPt>
          <c:dPt>
            <c:idx val="2"/>
            <c:bubble3D val="0"/>
            <c:spPr>
              <a:gradFill>
                <a:gsLst>
                  <a:gs pos="0">
                    <a:schemeClr val="accent4">
                      <a:lumMod val="40000"/>
                      <a:lumOff val="60000"/>
                    </a:schemeClr>
                  </a:gs>
                  <a:gs pos="90000">
                    <a:schemeClr val="accent4"/>
                  </a:gs>
                </a:gsLst>
                <a:lin ang="5400000" scaled="0"/>
              </a:gradFill>
              <a:ln>
                <a:gradFill>
                  <a:gsLst>
                    <a:gs pos="0">
                      <a:schemeClr val="accent4"/>
                    </a:gs>
                    <a:gs pos="100000">
                      <a:schemeClr val="accent4">
                        <a:lumMod val="75000"/>
                      </a:schemeClr>
                    </a:gs>
                  </a:gsLst>
                  <a:lin ang="5400000" scaled="1"/>
                </a:gradFill>
              </a:ln>
              <a:effectLst>
                <a:outerShdw blurRad="76200" dist="25400" dir="2700000" algn="tl" rotWithShape="0">
                  <a:schemeClr val="accent6">
                    <a:lumMod val="50000"/>
                    <a:alpha val="30000"/>
                  </a:schemeClr>
                </a:outerShdw>
              </a:effectLst>
            </c:spPr>
          </c:dPt>
          <c:dPt>
            <c:idx val="3"/>
            <c:bubble3D val="0"/>
            <c:spPr>
              <a:gradFill>
                <a:gsLst>
                  <a:gs pos="0">
                    <a:schemeClr val="accent6">
                      <a:lumMod val="60000"/>
                      <a:lumMod val="40000"/>
                      <a:lumOff val="60000"/>
                    </a:schemeClr>
                  </a:gs>
                  <a:gs pos="90000">
                    <a:schemeClr val="accent6">
                      <a:lumMod val="60000"/>
                    </a:schemeClr>
                  </a:gs>
                </a:gsLst>
                <a:lin ang="5400000" scaled="0"/>
              </a:gradFill>
              <a:ln>
                <a:gradFill>
                  <a:gsLst>
                    <a:gs pos="0">
                      <a:schemeClr val="accent6">
                        <a:lumMod val="60000"/>
                      </a:schemeClr>
                    </a:gs>
                    <a:gs pos="100000">
                      <a:schemeClr val="accent6">
                        <a:lumMod val="60000"/>
                        <a:lumMod val="75000"/>
                      </a:schemeClr>
                    </a:gs>
                  </a:gsLst>
                  <a:lin ang="5400000" scaled="1"/>
                </a:gradFill>
              </a:ln>
              <a:effectLst>
                <a:outerShdw blurRad="76200" dist="25400" dir="2700000" algn="tl" rotWithShape="0">
                  <a:schemeClr val="accent6">
                    <a:lumMod val="50000"/>
                    <a:alpha val="30000"/>
                  </a:schemeClr>
                </a:outerShdw>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98.37</a:t>
                    </a:r>
                  </a:p>
                  <a:p>
                    <a:pPr defTabSz="914400">
                      <a:defRPr lang="zh-CN" sz="1000" b="0" i="0" u="none" strike="noStrike" kern="1200" baseline="0">
                        <a:solidFill>
                          <a:schemeClr val="tx1">
                            <a:lumMod val="75000"/>
                            <a:lumOff val="25000"/>
                          </a:schemeClr>
                        </a:solidFill>
                        <a:latin typeface="+mn-lt"/>
                        <a:ea typeface="+mn-ea"/>
                        <a:cs typeface="+mn-cs"/>
                      </a:defRPr>
                    </a:pPr>
                    <a:r>
                      <a:t>（</a:t>
                    </a:r>
                    <a:r>
                      <a:rPr lang="en-US" altLang="zh-CN"/>
                      <a:t>67.78%</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33.21</a:t>
                    </a:r>
                  </a:p>
                  <a:p>
                    <a:pPr defTabSz="914400">
                      <a:defRPr lang="zh-CN" sz="1000" b="0" i="0" u="none" strike="noStrike" kern="1200" baseline="0">
                        <a:solidFill>
                          <a:schemeClr val="tx1">
                            <a:lumMod val="75000"/>
                            <a:lumOff val="25000"/>
                          </a:schemeClr>
                        </a:solidFill>
                        <a:latin typeface="+mn-lt"/>
                        <a:ea typeface="+mn-ea"/>
                        <a:cs typeface="+mn-cs"/>
                      </a:defRPr>
                    </a:pPr>
                    <a:r>
                      <a:t>（</a:t>
                    </a:r>
                    <a:r>
                      <a:rPr lang="en-US" altLang="zh-CN"/>
                      <a:t>22.89%</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7.03（</a:t>
                    </a:r>
                    <a:r>
                      <a:rPr lang="en-US" altLang="zh-CN"/>
                      <a:t>4.84%</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0157042763952646"/>
                  <c:y val="-0.012749681257968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6.52（</a:t>
                    </a:r>
                    <a:r>
                      <a:rPr lang="en-US" altLang="zh-CN"/>
                      <a:t>4.49%</a:t>
                    </a:r>
                    <a:r>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社会与保障和就业支出</c:v>
                </c:pt>
                <c:pt idx="2">
                  <c:v>卫生健康支出</c:v>
                </c:pt>
                <c:pt idx="3">
                  <c:v>住房保障支出</c:v>
                </c:pt>
              </c:strCache>
            </c:strRef>
          </c:cat>
          <c:val>
            <c:numRef>
              <c:f>Sheet1!$B$2:$B$5</c:f>
              <c:numCache>
                <c:formatCode>0.00_ </c:formatCode>
                <c:ptCount val="4"/>
                <c:pt idx="0">
                  <c:v>98.37</c:v>
                </c:pt>
                <c:pt idx="1">
                  <c:v>33.21</c:v>
                </c:pt>
                <c:pt idx="2" c:formatCode="General">
                  <c:v>7.03</c:v>
                </c:pt>
                <c:pt idx="3" c:formatCode="General">
                  <c:v>6.52</c:v>
                </c:pt>
              </c:numCache>
            </c:numRef>
          </c:val>
        </c:ser>
        <c:ser>
          <c:idx val="1"/>
          <c:order val="1"/>
          <c:tx>
            <c:strRef>
              <c:f>Sheet1!$C$1</c:f>
              <c:strCache>
                <c:ptCount val="1"/>
                <c:pt idx="0">
                  <c:v>支出</c:v>
                </c:pt>
              </c:strCache>
            </c:strRef>
          </c:tx>
          <c:spPr>
            <a:effectLst>
              <a:outerShdw blurRad="76200" dist="25400" dir="2700000" algn="tl" rotWithShape="0">
                <a:schemeClr val="accent5">
                  <a:lumMod val="50000"/>
                  <a:alpha val="30000"/>
                </a:schemeClr>
              </a:outerShdw>
            </a:effectLst>
          </c:spPr>
          <c:explosion val="0"/>
          <c:dPt>
            <c:idx val="0"/>
            <c:bubble3D val="0"/>
            <c:spPr>
              <a:gradFill>
                <a:gsLst>
                  <a:gs pos="0">
                    <a:schemeClr val="accent6">
                      <a:lumMod val="40000"/>
                      <a:lumOff val="60000"/>
                    </a:schemeClr>
                  </a:gs>
                  <a:gs pos="90000">
                    <a:schemeClr val="accent6"/>
                  </a:gs>
                </a:gsLst>
                <a:lin ang="5400000" scaled="0"/>
              </a:gradFill>
              <a:ln>
                <a:gradFill>
                  <a:gsLst>
                    <a:gs pos="0">
                      <a:schemeClr val="accent6"/>
                    </a:gs>
                    <a:gs pos="100000">
                      <a:schemeClr val="accent6">
                        <a:lumMod val="75000"/>
                      </a:schemeClr>
                    </a:gs>
                  </a:gsLst>
                  <a:lin ang="5400000" scaled="1"/>
                </a:gradFill>
              </a:ln>
              <a:effectLst>
                <a:outerShdw blurRad="76200" dist="25400" dir="2700000" algn="tl" rotWithShape="0">
                  <a:schemeClr val="accent5">
                    <a:lumMod val="50000"/>
                    <a:alpha val="30000"/>
                  </a:schemeClr>
                </a:outerShdw>
              </a:effectLst>
            </c:spPr>
          </c:dPt>
          <c:dPt>
            <c:idx val="1"/>
            <c:bubble3D val="0"/>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a:outerShdw blurRad="76200" dist="25400" dir="2700000" algn="tl" rotWithShape="0">
                  <a:schemeClr val="accent5">
                    <a:lumMod val="50000"/>
                    <a:alpha val="30000"/>
                  </a:schemeClr>
                </a:outerShdw>
              </a:effectLst>
            </c:spPr>
          </c:dPt>
          <c:dPt>
            <c:idx val="2"/>
            <c:bubble3D val="0"/>
            <c:spPr>
              <a:gradFill>
                <a:gsLst>
                  <a:gs pos="0">
                    <a:schemeClr val="accent4">
                      <a:lumMod val="40000"/>
                      <a:lumOff val="60000"/>
                    </a:schemeClr>
                  </a:gs>
                  <a:gs pos="90000">
                    <a:schemeClr val="accent4"/>
                  </a:gs>
                </a:gsLst>
                <a:lin ang="5400000" scaled="0"/>
              </a:gradFill>
              <a:ln>
                <a:gradFill>
                  <a:gsLst>
                    <a:gs pos="0">
                      <a:schemeClr val="accent4"/>
                    </a:gs>
                    <a:gs pos="100000">
                      <a:schemeClr val="accent4">
                        <a:lumMod val="75000"/>
                      </a:schemeClr>
                    </a:gs>
                  </a:gsLst>
                  <a:lin ang="5400000" scaled="1"/>
                </a:gradFill>
              </a:ln>
              <a:effectLst>
                <a:outerShdw blurRad="76200" dist="25400" dir="2700000" algn="tl" rotWithShape="0">
                  <a:schemeClr val="accent5">
                    <a:lumMod val="50000"/>
                    <a:alpha val="30000"/>
                  </a:schemeClr>
                </a:outerShdw>
              </a:effectLst>
            </c:spPr>
          </c:dPt>
          <c:dPt>
            <c:idx val="3"/>
            <c:bubble3D val="0"/>
            <c:spPr>
              <a:gradFill>
                <a:gsLst>
                  <a:gs pos="0">
                    <a:schemeClr val="accent6">
                      <a:lumMod val="60000"/>
                      <a:lumMod val="40000"/>
                      <a:lumOff val="60000"/>
                    </a:schemeClr>
                  </a:gs>
                  <a:gs pos="90000">
                    <a:schemeClr val="accent6">
                      <a:lumMod val="60000"/>
                    </a:schemeClr>
                  </a:gs>
                </a:gsLst>
                <a:lin ang="5400000" scaled="0"/>
              </a:gradFill>
              <a:ln>
                <a:gradFill>
                  <a:gsLst>
                    <a:gs pos="0">
                      <a:schemeClr val="accent6">
                        <a:lumMod val="60000"/>
                      </a:schemeClr>
                    </a:gs>
                    <a:gs pos="100000">
                      <a:schemeClr val="accent6">
                        <a:lumMod val="60000"/>
                        <a:lumMod val="75000"/>
                      </a:schemeClr>
                    </a:gs>
                  </a:gsLst>
                  <a:lin ang="5400000" scaled="1"/>
                </a:gradFill>
              </a:ln>
              <a:effectLst>
                <a:outerShdw blurRad="76200" dist="25400" dir="2700000" algn="tl" rotWithShape="0">
                  <a:schemeClr val="accent5">
                    <a:lumMod val="50000"/>
                    <a:alpha val="30000"/>
                  </a:schemeClr>
                </a:outerShdw>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社会与保障和就业支出</c:v>
                </c:pt>
                <c:pt idx="2">
                  <c:v>卫生健康支出</c:v>
                </c:pt>
                <c:pt idx="3">
                  <c:v>住房保障支出</c:v>
                </c:pt>
              </c:strCache>
            </c:strRef>
          </c:cat>
          <c:val>
            <c:numRef>
              <c:f>Sheet1!$C$2:$C$5</c:f>
              <c:numCache>
                <c:formatCode>0.00_ </c:formatCode>
                <c:ptCount val="4"/>
                <c:pt idx="0">
                  <c:v>145.126995</c:v>
                </c:pt>
                <c:pt idx="1">
                  <c:v>161.426772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1e0f4e-364d-4523-9b3e-24326e003d2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a:t>
            </a:r>
            <a:r>
              <a:rPr altLang="en-US"/>
              <a:t>三公</a:t>
            </a:r>
            <a:r>
              <a:rPr lang="en-US" altLang="zh-CN"/>
              <a:t>”</a:t>
            </a:r>
            <a:r>
              <a:rPr altLang="en-US"/>
              <a:t>经费财政拨款支出</a:t>
            </a:r>
            <a:r>
              <a:t>结构图</a:t>
            </a:r>
          </a:p>
        </c:rich>
      </c:tx>
      <c:layout>
        <c:manualLayout>
          <c:xMode val="edge"/>
          <c:yMode val="edge"/>
          <c:x val="0.229040831118628"/>
          <c:y val="0.0276243093922652"/>
        </c:manualLayout>
      </c:layout>
      <c:overlay val="0"/>
      <c:spPr>
        <a:noFill/>
        <a:ln>
          <a:noFill/>
        </a:ln>
        <a:effectLst/>
      </c:spPr>
    </c:title>
    <c:autoTitleDeleted val="0"/>
    <c:plotArea>
      <c:layout/>
      <c:pieChart>
        <c:varyColors val="1"/>
        <c:ser>
          <c:idx val="0"/>
          <c:order val="0"/>
          <c:tx>
            <c:strRef>
              <c:f>Sheet1!$B$1</c:f>
              <c:strCache>
                <c:ptCount val="1"/>
                <c:pt idx="0">
                  <c:v/>
                </c:pt>
              </c:strCache>
            </c:strRef>
          </c:tx>
          <c:spPr>
            <a:gradFill>
              <a:gsLst>
                <a:gs pos="59000">
                  <a:srgbClr val="FAB67E">
                    <a:alpha val="100000"/>
                  </a:srgbClr>
                </a:gs>
                <a:gs pos="0">
                  <a:schemeClr val="accent6">
                    <a:lumMod val="40000"/>
                    <a:lumOff val="60000"/>
                  </a:schemeClr>
                </a:gs>
                <a:gs pos="90000">
                  <a:schemeClr val="accent6"/>
                </a:gs>
              </a:gsLst>
              <a:lin ang="5400000" scaled="0"/>
            </a:gradFill>
            <a:effectLst>
              <a:outerShdw blurRad="76200" dist="25400" dir="2700000" algn="tl" rotWithShape="0">
                <a:schemeClr val="accent6">
                  <a:lumMod val="50000"/>
                  <a:alpha val="30000"/>
                </a:schemeClr>
              </a:outerShdw>
            </a:effectLst>
          </c:spPr>
          <c:explosion val="0"/>
          <c:dPt>
            <c:idx val="0"/>
            <c:bubble3D val="0"/>
            <c:spPr>
              <a:gradFill>
                <a:gsLst>
                  <a:gs pos="59000">
                    <a:srgbClr val="FAB67E">
                      <a:alpha val="100000"/>
                    </a:srgbClr>
                  </a:gs>
                  <a:gs pos="0">
                    <a:schemeClr val="accent6">
                      <a:lumMod val="40000"/>
                      <a:lumOff val="60000"/>
                    </a:schemeClr>
                  </a:gs>
                  <a:gs pos="90000">
                    <a:schemeClr val="accent6"/>
                  </a:gs>
                </a:gsLst>
                <a:lin ang="5400000" scaled="0"/>
              </a:gradFill>
              <a:ln>
                <a:gradFill>
                  <a:gsLst>
                    <a:gs pos="0">
                      <a:schemeClr val="accent6"/>
                    </a:gs>
                    <a:gs pos="100000">
                      <a:schemeClr val="accent6">
                        <a:lumMod val="75000"/>
                      </a:schemeClr>
                    </a:gs>
                  </a:gsLst>
                  <a:lin ang="5400000" scaled="1"/>
                </a:gradFill>
              </a:ln>
              <a:effectLst>
                <a:outerShdw blurRad="76200" dist="25400" dir="2700000" algn="tl" rotWithShape="0">
                  <a:schemeClr val="accent6">
                    <a:lumMod val="50000"/>
                    <a:alpha val="30000"/>
                  </a:schemeClr>
                </a:outerShdw>
              </a:effectLst>
            </c:spPr>
          </c:dPt>
          <c:dPt>
            <c:idx val="1"/>
            <c:bubble3D val="0"/>
            <c:spPr>
              <a:solidFill>
                <a:schemeClr val="accent1"/>
              </a:solidFill>
              <a:ln>
                <a:gradFill>
                  <a:gsLst>
                    <a:gs pos="0">
                      <a:schemeClr val="accent5"/>
                    </a:gs>
                    <a:gs pos="100000">
                      <a:schemeClr val="accent5">
                        <a:lumMod val="75000"/>
                      </a:schemeClr>
                    </a:gs>
                  </a:gsLst>
                  <a:lin ang="5400000" scaled="1"/>
                </a:gradFill>
              </a:ln>
              <a:effectLst>
                <a:outerShdw blurRad="76200" dist="25400" dir="2700000" algn="tl" rotWithShape="0">
                  <a:schemeClr val="accent6">
                    <a:lumMod val="50000"/>
                    <a:alpha val="30000"/>
                  </a:schemeClr>
                </a:outerShdw>
              </a:effectLst>
            </c:spPr>
          </c:dPt>
          <c:dLbls>
            <c:dLbl>
              <c:idx val="0"/>
              <c:layout>
                <c:manualLayout>
                  <c:x val="0.228316018361923"/>
                  <c:y val="-0.3676158096047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3.4</a:t>
                    </a:r>
                    <a:endParaRPr lang="en-US" altLang="zh-CN"/>
                  </a:p>
                  <a:p>
                    <a:pPr defTabSz="914400">
                      <a:defRPr lang="zh-CN" sz="1000" b="0" i="0" u="none" strike="noStrike" kern="1200" baseline="0">
                        <a:solidFill>
                          <a:schemeClr val="tx1">
                            <a:lumMod val="75000"/>
                            <a:lumOff val="25000"/>
                          </a:schemeClr>
                        </a:solidFill>
                        <a:latin typeface="+mn-lt"/>
                        <a:ea typeface="+mn-ea"/>
                        <a:cs typeface="+mn-cs"/>
                      </a:defRPr>
                    </a:pPr>
                    <a:r>
                      <a:t>（</a:t>
                    </a:r>
                    <a:r>
                      <a:rPr lang="en-US" altLang="zh-CN"/>
                      <a:t>96.77%</a:t>
                    </a:r>
                    <a:r>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41338487557381"/>
                  <c:y val="0.057373565660858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0.11</a:t>
                    </a:r>
                    <a:endParaRPr lang="en-US" altLang="zh-CN"/>
                  </a:p>
                  <a:p>
                    <a:pPr defTabSz="914400">
                      <a:defRPr lang="zh-CN" sz="1000" b="0" i="0" u="none" strike="noStrike" kern="1200" baseline="0">
                        <a:solidFill>
                          <a:schemeClr val="tx1">
                            <a:lumMod val="75000"/>
                            <a:lumOff val="25000"/>
                          </a:schemeClr>
                        </a:solidFill>
                        <a:latin typeface="+mn-lt"/>
                        <a:ea typeface="+mn-ea"/>
                        <a:cs typeface="+mn-cs"/>
                      </a:defRPr>
                    </a:pPr>
                    <a:r>
                      <a:t>（</a:t>
                    </a:r>
                    <a:r>
                      <a:rPr lang="en-US" altLang="zh-CN"/>
                      <a:t>3.23%</a:t>
                    </a:r>
                    <a:r>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公务用车购置及运行维护费支出</c:v>
                </c:pt>
                <c:pt idx="1">
                  <c:v>公务接待费支出</c:v>
                </c:pt>
              </c:strCache>
            </c:strRef>
          </c:cat>
          <c:val>
            <c:numRef>
              <c:f>Sheet1!$B$2:$B$3</c:f>
              <c:numCache>
                <c:formatCode>0.00_ </c:formatCode>
                <c:ptCount val="2"/>
                <c:pt idx="0">
                  <c:v>3.4</c:v>
                </c:pt>
                <c:pt idx="1">
                  <c:v>0.11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1e0f4e-364d-4523-9b3e-24326e003d2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1299</Words>
  <Characters>7410</Characters>
  <Lines>61</Lines>
  <Paragraphs>17</Paragraphs>
  <TotalTime>1</TotalTime>
  <ScaleCrop>false</ScaleCrop>
  <LinksUpToDate>false</LinksUpToDate>
  <CharactersWithSpaces>8692</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自已</cp:lastModifiedBy>
  <cp:lastPrinted>2025-08-06T17:34:00Z</cp:lastPrinted>
  <dcterms:modified xsi:type="dcterms:W3CDTF">2025-09-11T03:46:11Z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2052-12.8.2.21177</vt:lpwstr>
  </property>
  <property fmtid="{D5CDD505-2E9C-101B-9397-08002B2CF9AE}" pid="3" name="ICV">
    <vt:lpwstr>0FAFBF94860943FC8D0A2ACB555E5E81_13</vt:lpwstr>
  </property>
</Properties>
</file>