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default" w:ascii="Times New Roman" w:hAnsi="Times New Roman" w:eastAsia="方正小标宋简体" w:cs="Times New Roman"/>
          <w:color w:val="auto"/>
          <w:kern w:val="2"/>
          <w:sz w:val="72"/>
          <w:szCs w:val="72"/>
          <w:highlight w:val="none"/>
          <w:lang w:val="en-US" w:eastAsia="zh-CN" w:bidi="ar-SA"/>
        </w:rPr>
      </w:pPr>
      <w:bookmarkStart w:id="0" w:name="_Toc15378441"/>
      <w:bookmarkStart w:id="1" w:name="_Toc15377193"/>
      <w:bookmarkStart w:id="2" w:name="_Toc15396597"/>
      <w:bookmarkStart w:id="3" w:name="_Toc15396475"/>
      <w:bookmarkStart w:id="4" w:name="_Toc15377425"/>
      <w:bookmarkStart w:id="5" w:name="_Toc15306267"/>
    </w:p>
    <w:p>
      <w:pPr>
        <w:pStyle w:val="6"/>
        <w:rPr>
          <w:rFonts w:hint="default" w:ascii="Times New Roman" w:hAnsi="Times New Roman" w:eastAsia="方正小标宋简体" w:cs="Times New Roman"/>
          <w:color w:val="auto"/>
          <w:kern w:val="2"/>
          <w:sz w:val="72"/>
          <w:szCs w:val="72"/>
          <w:highlight w:val="none"/>
          <w:lang w:val="en-US" w:eastAsia="zh-CN" w:bidi="ar-SA"/>
        </w:rPr>
      </w:pPr>
    </w:p>
    <w:p>
      <w:pPr>
        <w:pStyle w:val="6"/>
        <w:rPr>
          <w:rFonts w:hint="default" w:ascii="Times New Roman" w:hAnsi="Times New Roman" w:eastAsia="方正小标宋简体" w:cs="Times New Roman"/>
          <w:color w:val="auto"/>
          <w:kern w:val="2"/>
          <w:sz w:val="72"/>
          <w:szCs w:val="72"/>
          <w:highlight w:val="none"/>
          <w:lang w:val="en-US" w:eastAsia="zh-CN" w:bidi="ar-SA"/>
        </w:rPr>
      </w:pPr>
    </w:p>
    <w:p>
      <w:pPr>
        <w:pStyle w:val="6"/>
        <w:jc w:val="center"/>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t>2024年度</w:t>
      </w:r>
      <w:r>
        <w:rPr>
          <w:rFonts w:hint="eastAsia" w:ascii="Times New Roman" w:eastAsia="方正小标宋简体" w:cs="Times New Roman"/>
          <w:color w:val="auto"/>
          <w:kern w:val="2"/>
          <w:sz w:val="44"/>
          <w:szCs w:val="44"/>
          <w:highlight w:val="none"/>
          <w:lang w:val="en-US" w:eastAsia="zh-CN" w:bidi="ar-SA"/>
        </w:rPr>
        <w:t>市级单位</w:t>
      </w:r>
      <w:r>
        <w:rPr>
          <w:rFonts w:hint="default" w:ascii="Times New Roman" w:hAnsi="Times New Roman" w:eastAsia="方正小标宋简体" w:cs="Times New Roman"/>
          <w:color w:val="auto"/>
          <w:kern w:val="2"/>
          <w:sz w:val="44"/>
          <w:szCs w:val="44"/>
          <w:highlight w:val="none"/>
          <w:lang w:val="en-US" w:eastAsia="zh-CN" w:bidi="ar-SA"/>
        </w:rPr>
        <w:t>决算公开文字说明</w:t>
      </w:r>
    </w:p>
    <w:p>
      <w:pPr>
        <w:spacing w:line="600" w:lineRule="exact"/>
        <w:jc w:val="center"/>
        <w:outlineLvl w:val="0"/>
        <w:rPr>
          <w:rFonts w:hint="default" w:ascii="Times New Roman" w:hAnsi="Times New Roman" w:eastAsia="方正小标宋简体" w:cs="Times New Roman"/>
          <w:color w:val="auto"/>
          <w:sz w:val="72"/>
          <w:szCs w:val="72"/>
          <w:highlight w:val="none"/>
        </w:rPr>
      </w:pPr>
    </w:p>
    <w:p>
      <w:pPr>
        <w:pStyle w:val="21"/>
        <w:rPr>
          <w:rFonts w:hint="default" w:ascii="Times New Roman" w:hAnsi="Times New Roman" w:cs="Times New Roman"/>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Pr>
        <w:rPr>
          <w:rFonts w:hint="default" w:ascii="Times New Roman" w:hAnsi="Times New Roman" w:cs="Times New Roman"/>
        </w:rPr>
      </w:pPr>
    </w:p>
    <w:p>
      <w:pPr>
        <w:pStyle w:val="6"/>
        <w:jc w:val="center"/>
        <w:rPr>
          <w:rFonts w:hint="default" w:ascii="Times New Roman" w:hAnsi="Times New Roman" w:eastAsia="方正小标宋简体" w:cs="Times New Roman"/>
          <w:color w:val="auto"/>
          <w:kern w:val="2"/>
          <w:sz w:val="44"/>
          <w:szCs w:val="44"/>
          <w:highlight w:val="none"/>
          <w:lang w:val="en-US" w:eastAsia="zh-CN" w:bidi="ar-SA"/>
        </w:rPr>
      </w:pPr>
    </w:p>
    <w:p>
      <w:pPr>
        <w:pStyle w:val="6"/>
        <w:jc w:val="center"/>
        <w:rPr>
          <w:rFonts w:hint="default" w:ascii="Times New Roman" w:hAnsi="Times New Roman" w:eastAsia="方正小标宋简体" w:cs="Times New Roman"/>
          <w:color w:val="auto"/>
          <w:kern w:val="2"/>
          <w:sz w:val="44"/>
          <w:szCs w:val="44"/>
          <w:highlight w:val="none"/>
          <w:lang w:val="en-US" w:eastAsia="zh-CN" w:bidi="ar-SA"/>
        </w:rPr>
      </w:pPr>
    </w:p>
    <w:p>
      <w:pPr>
        <w:pStyle w:val="6"/>
        <w:jc w:val="center"/>
        <w:rPr>
          <w:rFonts w:hint="default" w:ascii="Times New Roman" w:hAnsi="Times New Roman" w:eastAsia="方正小标宋简体" w:cs="Times New Roman"/>
          <w:color w:val="auto"/>
          <w:kern w:val="2"/>
          <w:sz w:val="44"/>
          <w:szCs w:val="44"/>
          <w:highlight w:val="none"/>
          <w:lang w:val="en-US" w:eastAsia="zh-CN" w:bidi="ar-SA"/>
        </w:rPr>
      </w:pPr>
    </w:p>
    <w:p>
      <w:pPr>
        <w:pStyle w:val="6"/>
        <w:jc w:val="center"/>
        <w:rPr>
          <w:rFonts w:hint="default"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pPr>
        <w:pStyle w:val="6"/>
        <w:jc w:val="center"/>
        <w:rPr>
          <w:rFonts w:hint="default" w:ascii="Times New Roman" w:hAnsi="Times New Roman" w:eastAsia="黑体" w:cs="Times New Roman"/>
          <w:color w:val="auto"/>
          <w:sz w:val="48"/>
          <w:szCs w:val="48"/>
          <w:highlight w:val="none"/>
        </w:rPr>
      </w:pPr>
      <w:bookmarkStart w:id="6" w:name="_Toc15396598"/>
      <w:bookmarkStart w:id="7" w:name="_Toc15378442"/>
      <w:bookmarkStart w:id="8" w:name="_Toc15377194"/>
      <w:bookmarkStart w:id="9" w:name="_Toc15396476"/>
      <w:bookmarkStart w:id="10" w:name="_Toc15377426"/>
      <w:r>
        <w:rPr>
          <w:rFonts w:hint="default" w:ascii="Times New Roman" w:hAnsi="Times New Roman" w:eastAsia="方正小标宋简体" w:cs="Times New Roman"/>
          <w:color w:val="auto"/>
          <w:kern w:val="2"/>
          <w:sz w:val="44"/>
          <w:szCs w:val="44"/>
          <w:highlight w:val="none"/>
          <w:lang w:val="en-US" w:eastAsia="zh-CN" w:bidi="ar-SA"/>
        </w:rPr>
        <w:t>2024年度</w:t>
      </w:r>
      <w:bookmarkEnd w:id="5"/>
      <w:bookmarkStart w:id="11" w:name="_Toc15306268"/>
      <w:r>
        <w:rPr>
          <w:rFonts w:hint="default" w:ascii="Times New Roman" w:hAnsi="Times New Roman" w:eastAsia="方正小标宋简体" w:cs="Times New Roman"/>
          <w:color w:val="auto"/>
          <w:kern w:val="2"/>
          <w:sz w:val="44"/>
          <w:szCs w:val="44"/>
          <w:highlight w:val="none"/>
          <w:lang w:val="en-US" w:eastAsia="zh-CN" w:bidi="ar-SA"/>
        </w:rPr>
        <w:t>攀枝花市机关事务服务中心决算</w:t>
      </w:r>
      <w:bookmarkEnd w:id="6"/>
      <w:bookmarkEnd w:id="7"/>
      <w:bookmarkEnd w:id="8"/>
      <w:bookmarkEnd w:id="9"/>
      <w:bookmarkEnd w:id="10"/>
      <w:bookmarkEnd w:id="11"/>
    </w:p>
    <w:p>
      <w:pPr>
        <w:pStyle w:val="2"/>
        <w:jc w:val="center"/>
        <w:rPr>
          <w:rFonts w:hint="eastAsia" w:ascii="Times New Roman" w:hAnsi="Times New Roman" w:eastAsia="方正小标宋简体" w:cs="Times New Roman"/>
          <w:color w:val="auto"/>
          <w:kern w:val="2"/>
          <w:sz w:val="44"/>
          <w:szCs w:val="44"/>
          <w:highlight w:val="none"/>
          <w:lang w:val="en-US" w:eastAsia="zh-CN" w:bidi="ar-SA"/>
        </w:rPr>
        <w:sectPr>
          <w:footerReference r:id="rId7" w:type="first"/>
          <w:footerReference r:id="rId6" w:type="default"/>
          <w:pgSz w:w="11906" w:h="16838"/>
          <w:pgMar w:top="1440" w:right="1800" w:bottom="1440" w:left="1800" w:header="851" w:footer="992" w:gutter="0"/>
          <w:pgNumType w:fmt="numberInDash" w:start="1"/>
          <w:cols w:space="425" w:num="1"/>
          <w:titlePg/>
          <w:docGrid w:type="lines" w:linePitch="312" w:charSpace="0"/>
        </w:sectPr>
      </w:pPr>
      <w:r>
        <w:rPr>
          <w:rFonts w:hint="eastAsia" w:ascii="Times New Roman" w:hAnsi="Times New Roman" w:eastAsia="方正小标宋简体" w:cs="Times New Roman"/>
          <w:color w:val="auto"/>
          <w:kern w:val="2"/>
          <w:sz w:val="44"/>
          <w:szCs w:val="44"/>
          <w:highlight w:val="none"/>
          <w:lang w:val="en-US" w:eastAsia="zh-CN" w:bidi="ar-SA"/>
        </w:rPr>
        <w:t>公开编制说明</w:t>
      </w:r>
    </w:p>
    <w:p>
      <w:pPr>
        <w:widowControl/>
        <w:jc w:val="center"/>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48"/>
          <w:szCs w:val="48"/>
          <w:highlight w:val="none"/>
        </w:rPr>
        <w:t>目录</w:t>
      </w:r>
    </w:p>
    <w:p>
      <w:pPr>
        <w:widowControl/>
        <w:jc w:val="center"/>
        <w:rPr>
          <w:rFonts w:hint="default" w:ascii="Times New Roman" w:hAnsi="Times New Roman" w:eastAsia="黑体" w:cs="Times New Roman"/>
          <w:color w:val="auto"/>
          <w:sz w:val="28"/>
          <w:szCs w:val="28"/>
          <w:highlight w:val="none"/>
        </w:rPr>
      </w:pPr>
    </w:p>
    <w:p>
      <w:pPr>
        <w:pStyle w:val="13"/>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公开时间：</w:t>
      </w:r>
      <w:r>
        <w:rPr>
          <w:rFonts w:hint="default" w:ascii="Times New Roman" w:hAnsi="Times New Roman" w:eastAsia="仿宋_GB2312" w:cs="Times New Roman"/>
          <w:color w:val="auto"/>
          <w:sz w:val="32"/>
          <w:szCs w:val="32"/>
          <w:highlight w:val="none"/>
          <w:lang w:val="en-US" w:eastAsia="zh-CN"/>
        </w:rPr>
        <w:t>2025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日</w:t>
      </w:r>
    </w:p>
    <w:p>
      <w:pPr>
        <w:rPr>
          <w:rFonts w:hint="default" w:ascii="Times New Roman" w:hAnsi="Times New Roman" w:cs="Times New Roman"/>
          <w:color w:val="auto"/>
          <w:highlight w:val="none"/>
        </w:rPr>
      </w:pP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 xml:space="preserve">第一部分 </w:t>
      </w:r>
      <w:r>
        <w:rPr>
          <w:rFonts w:hint="eastAsia" w:ascii="Times New Roman" w:hAnsi="Times New Roman" w:eastAsia="黑体" w:cs="Times New Roman"/>
          <w:color w:val="auto"/>
          <w:sz w:val="32"/>
          <w:szCs w:val="32"/>
          <w:highlight w:val="none"/>
          <w:lang w:eastAsia="zh-CN"/>
        </w:rPr>
        <w:t>单位</w:t>
      </w:r>
      <w:r>
        <w:rPr>
          <w:rFonts w:hint="default" w:ascii="Times New Roman" w:hAnsi="Times New Roman" w:eastAsia="黑体" w:cs="Times New Roman"/>
          <w:color w:val="auto"/>
          <w:sz w:val="32"/>
          <w:szCs w:val="32"/>
          <w:highlight w:val="none"/>
        </w:rPr>
        <w:t>概况</w:t>
      </w:r>
      <w:r>
        <w:rPr>
          <w:rFonts w:cs="Times New Roman"/>
          <w:color w:val="auto"/>
          <w:sz w:val="24"/>
          <w:szCs w:val="24"/>
        </w:rPr>
        <w:tab/>
      </w:r>
      <w:r>
        <w:rPr>
          <w:rFonts w:hint="eastAsia" w:cs="Times New Roman"/>
          <w:color w:val="auto"/>
          <w:sz w:val="24"/>
          <w:szCs w:val="24"/>
          <w:lang w:val="en-US" w:eastAsia="zh-CN"/>
        </w:rPr>
        <w:t>3</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w:t>
      </w:r>
      <w:r>
        <w:rPr>
          <w:rFonts w:hint="eastAsia"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lang w:eastAsia="zh-CN"/>
        </w:rPr>
        <w:t>职责</w:t>
      </w:r>
      <w:r>
        <w:rPr>
          <w:rFonts w:cs="Times New Roman"/>
          <w:color w:val="auto"/>
          <w:sz w:val="24"/>
          <w:szCs w:val="24"/>
        </w:rPr>
        <w:tab/>
      </w:r>
      <w:r>
        <w:rPr>
          <w:rFonts w:hint="eastAsia" w:cs="Times New Roman"/>
          <w:color w:val="auto"/>
          <w:sz w:val="24"/>
          <w:szCs w:val="24"/>
          <w:lang w:val="en-US" w:eastAsia="zh-CN"/>
        </w:rPr>
        <w:t>3</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二、机构设置</w:t>
      </w:r>
      <w:r>
        <w:rPr>
          <w:rFonts w:cs="Times New Roman"/>
          <w:color w:val="auto"/>
          <w:sz w:val="24"/>
          <w:szCs w:val="24"/>
        </w:rPr>
        <w:tab/>
      </w:r>
      <w:r>
        <w:rPr>
          <w:rFonts w:hint="eastAsia" w:cs="Times New Roman"/>
          <w:color w:val="auto"/>
          <w:sz w:val="24"/>
          <w:szCs w:val="24"/>
          <w:lang w:val="en-US" w:eastAsia="zh-CN"/>
        </w:rPr>
        <w:t>3</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第二部分</w:t>
      </w:r>
      <w:r>
        <w:rPr>
          <w:rFonts w:hint="default" w:ascii="Times New Roman" w:hAnsi="Times New Roman" w:eastAsia="黑体" w:cs="Times New Roman"/>
          <w:color w:val="auto"/>
          <w:sz w:val="32"/>
          <w:szCs w:val="32"/>
          <w:highlight w:val="none"/>
          <w:lang w:val="en-US" w:eastAsia="zh-CN"/>
        </w:rPr>
        <w:t xml:space="preserve"> 2024年度</w:t>
      </w:r>
      <w:r>
        <w:rPr>
          <w:rFonts w:hint="eastAsia" w:ascii="Times New Roman" w:hAnsi="Times New Roman" w:eastAsia="黑体" w:cs="Times New Roman"/>
          <w:color w:val="auto"/>
          <w:sz w:val="32"/>
          <w:szCs w:val="32"/>
          <w:highlight w:val="none"/>
          <w:lang w:eastAsia="zh-CN"/>
        </w:rPr>
        <w:t>单位</w:t>
      </w:r>
      <w:r>
        <w:rPr>
          <w:rFonts w:hint="default" w:ascii="Times New Roman" w:hAnsi="Times New Roman" w:eastAsia="黑体" w:cs="Times New Roman"/>
          <w:color w:val="auto"/>
          <w:sz w:val="32"/>
          <w:szCs w:val="32"/>
          <w:highlight w:val="none"/>
        </w:rPr>
        <w:t>决算情况说明</w:t>
      </w:r>
      <w:r>
        <w:rPr>
          <w:rFonts w:cs="Times New Roman"/>
          <w:color w:val="auto"/>
          <w:sz w:val="24"/>
          <w:szCs w:val="24"/>
        </w:rPr>
        <w:tab/>
      </w:r>
      <w:r>
        <w:rPr>
          <w:rFonts w:hint="eastAsia" w:cs="Times New Roman"/>
          <w:color w:val="auto"/>
          <w:sz w:val="24"/>
          <w:szCs w:val="24"/>
          <w:lang w:val="en-US" w:eastAsia="zh-CN"/>
        </w:rPr>
        <w:t>4</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一、收入支出决算总体情况说明</w:t>
      </w:r>
      <w:r>
        <w:rPr>
          <w:rFonts w:cs="Times New Roman"/>
          <w:color w:val="auto"/>
          <w:sz w:val="24"/>
          <w:szCs w:val="24"/>
        </w:rPr>
        <w:tab/>
      </w:r>
      <w:r>
        <w:rPr>
          <w:rFonts w:hint="eastAsia" w:cs="Times New Roman"/>
          <w:color w:val="auto"/>
          <w:sz w:val="24"/>
          <w:szCs w:val="24"/>
          <w:lang w:val="en-US" w:eastAsia="zh-CN"/>
        </w:rPr>
        <w:t>4</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二、收入决算情况说明</w:t>
      </w:r>
      <w:r>
        <w:rPr>
          <w:rFonts w:cs="Times New Roman"/>
          <w:color w:val="auto"/>
          <w:sz w:val="24"/>
          <w:szCs w:val="24"/>
        </w:rPr>
        <w:tab/>
      </w:r>
      <w:r>
        <w:rPr>
          <w:rFonts w:hint="eastAsia" w:cs="Times New Roman"/>
          <w:color w:val="auto"/>
          <w:sz w:val="24"/>
          <w:szCs w:val="24"/>
          <w:lang w:val="en-US" w:eastAsia="zh-CN"/>
        </w:rPr>
        <w:t>4</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三、支出决算情况说明</w:t>
      </w:r>
      <w:r>
        <w:rPr>
          <w:rFonts w:cs="Times New Roman"/>
          <w:color w:val="auto"/>
          <w:sz w:val="24"/>
          <w:szCs w:val="24"/>
        </w:rPr>
        <w:tab/>
      </w:r>
      <w:r>
        <w:rPr>
          <w:rFonts w:hint="eastAsia" w:cs="Times New Roman"/>
          <w:color w:val="auto"/>
          <w:sz w:val="24"/>
          <w:szCs w:val="24"/>
          <w:lang w:val="en-US" w:eastAsia="zh-CN"/>
        </w:rPr>
        <w:t>5</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四、财政拨款收入支出决算总体情况说明</w:t>
      </w:r>
      <w:r>
        <w:rPr>
          <w:rFonts w:cs="Times New Roman"/>
          <w:color w:val="auto"/>
          <w:sz w:val="24"/>
          <w:szCs w:val="24"/>
        </w:rPr>
        <w:tab/>
      </w:r>
      <w:r>
        <w:rPr>
          <w:rFonts w:hint="eastAsia" w:cs="Times New Roman"/>
          <w:color w:val="auto"/>
          <w:sz w:val="24"/>
          <w:szCs w:val="24"/>
          <w:lang w:val="en-US" w:eastAsia="zh-CN"/>
        </w:rPr>
        <w:t>5</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五、一般公共预算财政拨款支出决算情况说明</w:t>
      </w:r>
      <w:r>
        <w:rPr>
          <w:rFonts w:cs="Times New Roman"/>
          <w:color w:val="auto"/>
          <w:sz w:val="24"/>
          <w:szCs w:val="24"/>
        </w:rPr>
        <w:tab/>
      </w:r>
      <w:r>
        <w:rPr>
          <w:rFonts w:hint="eastAsia" w:cs="Times New Roman"/>
          <w:color w:val="auto"/>
          <w:sz w:val="24"/>
          <w:szCs w:val="24"/>
          <w:lang w:val="en-US" w:eastAsia="zh-CN"/>
        </w:rPr>
        <w:t>6</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六、一般公共预算财政拨款基本支出决算情况说明</w:t>
      </w:r>
      <w:r>
        <w:rPr>
          <w:rFonts w:cs="Times New Roman"/>
          <w:color w:val="auto"/>
          <w:sz w:val="24"/>
          <w:szCs w:val="24"/>
        </w:rPr>
        <w:tab/>
      </w:r>
      <w:r>
        <w:rPr>
          <w:rFonts w:hint="eastAsia" w:cs="Times New Roman"/>
          <w:color w:val="auto"/>
          <w:sz w:val="24"/>
          <w:szCs w:val="24"/>
          <w:lang w:val="en-US" w:eastAsia="zh-CN"/>
        </w:rPr>
        <w:t>9</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七、财政拨款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三公”经费支出决算情况说明</w:t>
      </w:r>
      <w:r>
        <w:rPr>
          <w:rFonts w:cs="Times New Roman"/>
          <w:color w:val="auto"/>
          <w:sz w:val="24"/>
          <w:szCs w:val="24"/>
        </w:rPr>
        <w:tab/>
      </w:r>
      <w:r>
        <w:rPr>
          <w:rFonts w:hint="eastAsia" w:cs="Times New Roman"/>
          <w:color w:val="auto"/>
          <w:sz w:val="24"/>
          <w:szCs w:val="24"/>
          <w:lang w:val="en-US" w:eastAsia="zh-CN"/>
        </w:rPr>
        <w:t>10</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八、政府性基金预算支出决算情况说明</w:t>
      </w:r>
      <w:r>
        <w:rPr>
          <w:rFonts w:cs="Times New Roman"/>
          <w:color w:val="auto"/>
          <w:sz w:val="24"/>
          <w:szCs w:val="24"/>
        </w:rPr>
        <w:tab/>
      </w:r>
      <w:r>
        <w:rPr>
          <w:rFonts w:hint="eastAsia" w:cs="Times New Roman"/>
          <w:color w:val="auto"/>
          <w:sz w:val="24"/>
          <w:szCs w:val="24"/>
          <w:lang w:val="en-US" w:eastAsia="zh-CN"/>
        </w:rPr>
        <w:t>12</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九、</w:t>
      </w:r>
      <w:r>
        <w:rPr>
          <w:rFonts w:hint="default" w:ascii="Times New Roman" w:hAnsi="Times New Roman" w:eastAsia="仿宋_GB2312" w:cs="Times New Roman"/>
          <w:color w:val="auto"/>
          <w:sz w:val="32"/>
          <w:szCs w:val="32"/>
          <w:highlight w:val="none"/>
          <w:lang w:eastAsia="zh-CN"/>
        </w:rPr>
        <w:t>国</w:t>
      </w:r>
      <w:r>
        <w:rPr>
          <w:rFonts w:hint="default" w:ascii="Times New Roman" w:hAnsi="Times New Roman" w:eastAsia="仿宋_GB2312" w:cs="Times New Roman"/>
          <w:color w:val="auto"/>
          <w:sz w:val="32"/>
          <w:szCs w:val="32"/>
          <w:highlight w:val="none"/>
        </w:rPr>
        <w:t>有资本经营预算支出决算情况说明</w:t>
      </w:r>
      <w:r>
        <w:rPr>
          <w:rFonts w:cs="Times New Roman"/>
          <w:color w:val="auto"/>
          <w:sz w:val="24"/>
          <w:szCs w:val="24"/>
        </w:rPr>
        <w:tab/>
      </w:r>
      <w:r>
        <w:rPr>
          <w:rFonts w:hint="eastAsia" w:cs="Times New Roman"/>
          <w:color w:val="auto"/>
          <w:sz w:val="24"/>
          <w:szCs w:val="24"/>
          <w:lang w:val="en-US" w:eastAsia="zh-CN"/>
        </w:rPr>
        <w:t>12</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十</w:t>
      </w:r>
      <w:r>
        <w:rPr>
          <w:rFonts w:hint="default" w:ascii="Times New Roman" w:hAnsi="Times New Roman" w:eastAsia="仿宋_GB2312" w:cs="Times New Roman"/>
          <w:color w:val="auto"/>
          <w:sz w:val="32"/>
          <w:szCs w:val="32"/>
          <w:highlight w:val="none"/>
        </w:rPr>
        <w:t>、其他重要事项的情况说明</w:t>
      </w:r>
      <w:r>
        <w:rPr>
          <w:rFonts w:cs="Times New Roman"/>
          <w:color w:val="auto"/>
          <w:sz w:val="24"/>
          <w:szCs w:val="24"/>
        </w:rPr>
        <w:tab/>
      </w:r>
      <w:r>
        <w:rPr>
          <w:rFonts w:hint="eastAsia" w:cs="Times New Roman"/>
          <w:color w:val="auto"/>
          <w:sz w:val="24"/>
          <w:szCs w:val="24"/>
          <w:lang w:val="en-US" w:eastAsia="zh-CN"/>
        </w:rPr>
        <w:t>13</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第三部分 名词解释</w:t>
      </w:r>
      <w:r>
        <w:rPr>
          <w:rFonts w:cs="Times New Roman"/>
          <w:color w:val="auto"/>
          <w:sz w:val="24"/>
          <w:szCs w:val="24"/>
        </w:rPr>
        <w:tab/>
      </w:r>
      <w:r>
        <w:rPr>
          <w:rFonts w:hint="eastAsia" w:cs="Times New Roman"/>
          <w:color w:val="auto"/>
          <w:sz w:val="24"/>
          <w:szCs w:val="24"/>
          <w:lang w:val="en-US" w:eastAsia="zh-CN"/>
        </w:rPr>
        <w:t>15</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第四部分 附件</w:t>
      </w:r>
      <w:r>
        <w:rPr>
          <w:rFonts w:cs="Times New Roman"/>
          <w:color w:val="auto"/>
          <w:sz w:val="24"/>
          <w:szCs w:val="24"/>
        </w:rPr>
        <w:tab/>
      </w:r>
      <w:r>
        <w:rPr>
          <w:rFonts w:hint="eastAsia" w:cs="Times New Roman"/>
          <w:color w:val="auto"/>
          <w:sz w:val="24"/>
          <w:szCs w:val="24"/>
          <w:lang w:val="en-US" w:eastAsia="zh-CN"/>
        </w:rPr>
        <w:t>18</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第五部分 附表</w:t>
      </w:r>
      <w:r>
        <w:rPr>
          <w:rFonts w:cs="Times New Roman"/>
          <w:color w:val="auto"/>
          <w:sz w:val="24"/>
          <w:szCs w:val="24"/>
        </w:rPr>
        <w:tab/>
      </w:r>
      <w:r>
        <w:rPr>
          <w:rFonts w:hint="eastAsia" w:cs="Times New Roman"/>
          <w:color w:val="auto"/>
          <w:sz w:val="24"/>
          <w:szCs w:val="24"/>
          <w:lang w:val="en-US" w:eastAsia="zh-CN"/>
        </w:rPr>
        <w:t>19</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一、收入支出决算总表</w:t>
      </w:r>
      <w:r>
        <w:rPr>
          <w:rFonts w:cs="Times New Roman"/>
          <w:color w:val="auto"/>
          <w:sz w:val="24"/>
          <w:szCs w:val="24"/>
        </w:rPr>
        <w:tab/>
      </w:r>
      <w:r>
        <w:rPr>
          <w:rFonts w:hint="eastAsia" w:cs="Times New Roman"/>
          <w:color w:val="auto"/>
          <w:sz w:val="24"/>
          <w:szCs w:val="24"/>
          <w:lang w:val="en-US" w:eastAsia="zh-CN"/>
        </w:rPr>
        <w:t>19</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二、收入决算表</w:t>
      </w:r>
      <w:r>
        <w:rPr>
          <w:rFonts w:cs="Times New Roman"/>
          <w:color w:val="auto"/>
          <w:sz w:val="24"/>
          <w:szCs w:val="24"/>
        </w:rPr>
        <w:tab/>
      </w:r>
      <w:r>
        <w:rPr>
          <w:rFonts w:hint="eastAsia" w:cs="Times New Roman"/>
          <w:color w:val="auto"/>
          <w:sz w:val="24"/>
          <w:szCs w:val="24"/>
          <w:lang w:val="en-US" w:eastAsia="zh-CN"/>
        </w:rPr>
        <w:t>19</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三、支出决算表</w:t>
      </w:r>
      <w:r>
        <w:rPr>
          <w:rFonts w:cs="Times New Roman"/>
          <w:color w:val="auto"/>
          <w:sz w:val="24"/>
          <w:szCs w:val="24"/>
        </w:rPr>
        <w:tab/>
      </w:r>
      <w:r>
        <w:rPr>
          <w:rFonts w:hint="eastAsia" w:cs="Times New Roman"/>
          <w:color w:val="auto"/>
          <w:sz w:val="24"/>
          <w:szCs w:val="24"/>
          <w:lang w:val="en-US" w:eastAsia="zh-CN"/>
        </w:rPr>
        <w:t>19</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四、财政拨款收入支出决算总表</w:t>
      </w:r>
      <w:r>
        <w:rPr>
          <w:rFonts w:cs="Times New Roman"/>
          <w:color w:val="auto"/>
          <w:sz w:val="24"/>
          <w:szCs w:val="24"/>
        </w:rPr>
        <w:tab/>
      </w:r>
      <w:r>
        <w:rPr>
          <w:rFonts w:hint="eastAsia" w:cs="Times New Roman"/>
          <w:color w:val="auto"/>
          <w:sz w:val="24"/>
          <w:szCs w:val="24"/>
          <w:lang w:val="en-US" w:eastAsia="zh-CN"/>
        </w:rPr>
        <w:t>19</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五、财政拨款支出决算明细表</w:t>
      </w:r>
      <w:r>
        <w:rPr>
          <w:rFonts w:cs="Times New Roman"/>
          <w:color w:val="auto"/>
          <w:sz w:val="24"/>
          <w:szCs w:val="24"/>
        </w:rPr>
        <w:tab/>
      </w:r>
      <w:r>
        <w:rPr>
          <w:rFonts w:hint="eastAsia" w:cs="Times New Roman"/>
          <w:color w:val="auto"/>
          <w:sz w:val="24"/>
          <w:szCs w:val="24"/>
          <w:lang w:val="en-US" w:eastAsia="zh-CN"/>
        </w:rPr>
        <w:t>19</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六、一般公共预算财政拨款支出决算表</w:t>
      </w:r>
      <w:r>
        <w:rPr>
          <w:rFonts w:cs="Times New Roman"/>
          <w:color w:val="auto"/>
          <w:sz w:val="24"/>
          <w:szCs w:val="24"/>
        </w:rPr>
        <w:tab/>
      </w:r>
      <w:r>
        <w:rPr>
          <w:rFonts w:hint="eastAsia" w:cs="Times New Roman"/>
          <w:color w:val="auto"/>
          <w:sz w:val="24"/>
          <w:szCs w:val="24"/>
          <w:lang w:val="en-US" w:eastAsia="zh-CN"/>
        </w:rPr>
        <w:t>19</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七、一般公共预算财政拨款支出决算明细表</w:t>
      </w:r>
      <w:r>
        <w:rPr>
          <w:rFonts w:cs="Times New Roman"/>
          <w:color w:val="auto"/>
          <w:sz w:val="24"/>
          <w:szCs w:val="24"/>
        </w:rPr>
        <w:tab/>
      </w:r>
      <w:r>
        <w:rPr>
          <w:rFonts w:hint="eastAsia" w:cs="Times New Roman"/>
          <w:color w:val="auto"/>
          <w:sz w:val="24"/>
          <w:szCs w:val="24"/>
          <w:lang w:val="en-US" w:eastAsia="zh-CN"/>
        </w:rPr>
        <w:t>19</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八、一般公共预算财政拨款基本支出决算</w:t>
      </w:r>
      <w:r>
        <w:rPr>
          <w:rFonts w:hint="default" w:ascii="Times New Roman" w:hAnsi="Times New Roman" w:eastAsia="仿宋_GB2312" w:cs="Times New Roman"/>
          <w:color w:val="auto"/>
          <w:sz w:val="32"/>
          <w:szCs w:val="32"/>
          <w:highlight w:val="none"/>
          <w:lang w:eastAsia="zh-CN"/>
        </w:rPr>
        <w:t>明细</w:t>
      </w:r>
      <w:r>
        <w:rPr>
          <w:rFonts w:hint="default" w:ascii="Times New Roman" w:hAnsi="Times New Roman" w:eastAsia="仿宋_GB2312" w:cs="Times New Roman"/>
          <w:color w:val="auto"/>
          <w:sz w:val="32"/>
          <w:szCs w:val="32"/>
          <w:highlight w:val="none"/>
        </w:rPr>
        <w:t>表</w:t>
      </w:r>
      <w:r>
        <w:rPr>
          <w:rFonts w:cs="Times New Roman"/>
          <w:color w:val="auto"/>
          <w:sz w:val="24"/>
          <w:szCs w:val="24"/>
        </w:rPr>
        <w:tab/>
      </w:r>
      <w:r>
        <w:rPr>
          <w:rFonts w:hint="eastAsia" w:cs="Times New Roman"/>
          <w:color w:val="auto"/>
          <w:sz w:val="24"/>
          <w:szCs w:val="24"/>
          <w:lang w:val="en-US" w:eastAsia="zh-CN"/>
        </w:rPr>
        <w:t>19</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九、一般公共预算财政拨款项目支出决算表</w:t>
      </w:r>
      <w:r>
        <w:rPr>
          <w:rFonts w:cs="Times New Roman"/>
          <w:color w:val="auto"/>
          <w:sz w:val="24"/>
          <w:szCs w:val="24"/>
        </w:rPr>
        <w:tab/>
      </w:r>
      <w:r>
        <w:rPr>
          <w:rFonts w:hint="eastAsia" w:cs="Times New Roman"/>
          <w:color w:val="auto"/>
          <w:sz w:val="24"/>
          <w:szCs w:val="24"/>
          <w:lang w:val="en-US" w:eastAsia="zh-CN"/>
        </w:rPr>
        <w:t>19</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十、政府性基金预算财政拨款收入支出决算表</w:t>
      </w:r>
      <w:r>
        <w:rPr>
          <w:rFonts w:cs="Times New Roman"/>
          <w:color w:val="auto"/>
          <w:sz w:val="24"/>
          <w:szCs w:val="24"/>
        </w:rPr>
        <w:tab/>
      </w:r>
      <w:r>
        <w:rPr>
          <w:rFonts w:hint="eastAsia" w:cs="Times New Roman"/>
          <w:color w:val="auto"/>
          <w:sz w:val="24"/>
          <w:szCs w:val="24"/>
          <w:lang w:val="en-US" w:eastAsia="zh-CN"/>
        </w:rPr>
        <w:t>19</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十一、国有资本经营预算财政拨款收入支出决算表</w:t>
      </w:r>
      <w:r>
        <w:rPr>
          <w:rFonts w:cs="Times New Roman"/>
          <w:color w:val="auto"/>
          <w:sz w:val="24"/>
          <w:szCs w:val="24"/>
        </w:rPr>
        <w:tab/>
      </w:r>
      <w:r>
        <w:rPr>
          <w:rFonts w:hint="eastAsia" w:cs="Times New Roman"/>
          <w:color w:val="auto"/>
          <w:sz w:val="24"/>
          <w:szCs w:val="24"/>
          <w:lang w:val="en-US" w:eastAsia="zh-CN"/>
        </w:rPr>
        <w:t>19</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十二、</w:t>
      </w:r>
      <w:r>
        <w:rPr>
          <w:rFonts w:hint="default" w:ascii="Times New Roman" w:hAnsi="Times New Roman" w:eastAsia="仿宋_GB2312" w:cs="Times New Roman"/>
          <w:color w:val="auto"/>
          <w:sz w:val="32"/>
          <w:szCs w:val="32"/>
          <w:highlight w:val="none"/>
          <w:lang w:val="en-US" w:eastAsia="zh-CN"/>
        </w:rPr>
        <w:t>国有资本经营预算财政拨款支出决算表</w:t>
      </w:r>
      <w:r>
        <w:rPr>
          <w:rFonts w:cs="Times New Roman"/>
          <w:color w:val="auto"/>
          <w:sz w:val="24"/>
          <w:szCs w:val="24"/>
        </w:rPr>
        <w:tab/>
      </w:r>
      <w:r>
        <w:rPr>
          <w:rFonts w:hint="eastAsia" w:cs="Times New Roman"/>
          <w:color w:val="auto"/>
          <w:sz w:val="24"/>
          <w:szCs w:val="24"/>
          <w:lang w:val="en-US" w:eastAsia="zh-CN"/>
        </w:rPr>
        <w:t>19</w:t>
      </w:r>
    </w:p>
    <w:p>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十三、财政拨款“三公”经费支出决算表</w:t>
      </w:r>
      <w:r>
        <w:rPr>
          <w:rFonts w:cs="Times New Roman"/>
          <w:color w:val="auto"/>
          <w:sz w:val="24"/>
          <w:szCs w:val="24"/>
        </w:rPr>
        <w:tab/>
      </w:r>
      <w:r>
        <w:rPr>
          <w:rFonts w:hint="eastAsia" w:cs="Times New Roman"/>
          <w:color w:val="auto"/>
          <w:sz w:val="24"/>
          <w:szCs w:val="24"/>
          <w:lang w:val="en-US" w:eastAsia="zh-CN"/>
        </w:rPr>
        <w:t>19</w:t>
      </w:r>
    </w:p>
    <w:p>
      <w:pPr>
        <w:keepNext w:val="0"/>
        <w:keepLines w:val="0"/>
        <w:pageBreakBefore w:val="0"/>
        <w:widowControl/>
        <w:kinsoku/>
        <w:wordWrap/>
        <w:overflowPunct/>
        <w:topLinePunct w:val="0"/>
        <w:autoSpaceDE/>
        <w:autoSpaceDN/>
        <w:bidi w:val="0"/>
        <w:spacing w:line="560" w:lineRule="exact"/>
        <w:jc w:val="left"/>
        <w:textAlignment w:val="auto"/>
        <w:rPr>
          <w:rFonts w:hint="default" w:ascii="Times New Roman" w:hAnsi="Times New Roman" w:eastAsia="仿宋_GB2312" w:cs="Times New Roman"/>
          <w:bCs/>
          <w:color w:val="0000FF"/>
          <w:kern w:val="44"/>
          <w:sz w:val="32"/>
          <w:szCs w:val="32"/>
          <w:highlight w:val="none"/>
        </w:rPr>
      </w:pPr>
      <w:bookmarkStart w:id="12" w:name="_Toc15396599"/>
      <w:bookmarkStart w:id="13" w:name="_Toc15377196"/>
      <w:r>
        <w:rPr>
          <w:rFonts w:hint="default" w:ascii="Times New Roman" w:hAnsi="Times New Roman" w:eastAsia="仿宋_GB2312" w:cs="Times New Roman"/>
          <w:b/>
          <w:color w:val="0000FF"/>
          <w:sz w:val="32"/>
          <w:szCs w:val="32"/>
          <w:highlight w:val="none"/>
        </w:rPr>
        <w:br w:type="page"/>
      </w:r>
    </w:p>
    <w:p>
      <w:pPr>
        <w:pStyle w:val="3"/>
        <w:jc w:val="center"/>
        <w:rPr>
          <w:rStyle w:val="30"/>
          <w:rFonts w:hint="default" w:ascii="Times New Roman" w:hAnsi="Times New Roman" w:eastAsia="方正小标宋简体" w:cs="Times New Roman"/>
          <w:b/>
          <w:bCs w:val="0"/>
          <w:color w:val="auto"/>
          <w:highlight w:val="none"/>
        </w:rPr>
      </w:pPr>
      <w:r>
        <w:rPr>
          <w:rFonts w:hint="default" w:ascii="Times New Roman" w:hAnsi="Times New Roman" w:eastAsia="方正小标宋简体" w:cs="Times New Roman"/>
          <w:b w:val="0"/>
          <w:color w:val="auto"/>
          <w:highlight w:val="none"/>
        </w:rPr>
        <w:t>第一部分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Style w:val="30"/>
          <w:rFonts w:hint="eastAsia" w:eastAsia="方正小标宋简体" w:cs="Times New Roman"/>
          <w:b w:val="0"/>
          <w:bCs w:val="0"/>
          <w:color w:val="auto"/>
          <w:highlight w:val="none"/>
          <w:lang w:eastAsia="zh-CN"/>
        </w:rPr>
        <w:t>单位</w:t>
      </w:r>
      <w:r>
        <w:rPr>
          <w:rStyle w:val="30"/>
          <w:rFonts w:hint="default" w:ascii="Times New Roman" w:hAnsi="Times New Roman" w:eastAsia="方正小标宋简体" w:cs="Times New Roman"/>
          <w:b w:val="0"/>
          <w:bCs w:val="0"/>
          <w:color w:val="auto"/>
          <w:highlight w:val="none"/>
        </w:rPr>
        <w:t>概况</w:t>
      </w:r>
      <w:bookmarkEnd w:id="12"/>
      <w:bookmarkEnd w:id="13"/>
    </w:p>
    <w:p>
      <w:pPr>
        <w:widowControl/>
        <w:jc w:val="left"/>
        <w:rPr>
          <w:rFonts w:hint="default" w:ascii="Times New Roman" w:hAnsi="Times New Roman" w:eastAsia="黑体" w:cs="Times New Roman"/>
          <w:color w:val="auto"/>
          <w:sz w:val="32"/>
          <w:szCs w:val="32"/>
          <w:highlight w:val="none"/>
        </w:rPr>
      </w:pPr>
    </w:p>
    <w:p>
      <w:pPr>
        <w:pStyle w:val="4"/>
        <w:numPr>
          <w:ilvl w:val="0"/>
          <w:numId w:val="1"/>
        </w:numPr>
        <w:rPr>
          <w:rFonts w:hint="default" w:ascii="Times New Roman" w:hAnsi="Times New Roman" w:eastAsia="黑体" w:cs="Times New Roman"/>
          <w:b w:val="0"/>
          <w:color w:val="auto"/>
          <w:highlight w:val="none"/>
          <w:lang w:eastAsia="zh-CN"/>
        </w:rPr>
      </w:pPr>
      <w:r>
        <w:rPr>
          <w:rFonts w:hint="eastAsia" w:ascii="Times New Roman" w:hAnsi="Times New Roman" w:eastAsia="黑体" w:cs="Times New Roman"/>
          <w:b w:val="0"/>
          <w:color w:val="auto"/>
          <w:highlight w:val="none"/>
          <w:lang w:eastAsia="zh-CN"/>
        </w:rPr>
        <w:t>单位</w:t>
      </w:r>
      <w:r>
        <w:rPr>
          <w:rFonts w:hint="default" w:ascii="Times New Roman" w:hAnsi="Times New Roman" w:eastAsia="黑体" w:cs="Times New Roman"/>
          <w:b w:val="0"/>
          <w:color w:val="auto"/>
          <w:highlight w:val="none"/>
          <w:lang w:eastAsia="zh-CN"/>
        </w:rPr>
        <w:t>职责</w:t>
      </w:r>
    </w:p>
    <w:p>
      <w:pPr>
        <w:ind w:firstLine="800" w:firstLineChars="25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1.市机关事务服务中心职能职责是：负责市级党政机关（含参照公务员法管理的事业单位）的房地产管理、房地产租用及大中型维修改造的审批、闲置房地产处置；负责组织实施全市公务用车日常管理；负责组织实施公共机构节能管理事务性工作。</w:t>
      </w:r>
    </w:p>
    <w:p>
      <w:pPr>
        <w:ind w:firstLine="800" w:firstLineChars="25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2.市机关后勤服务中心职能职责是:负责市机关职工食堂、</w:t>
      </w:r>
      <w:r>
        <w:rPr>
          <w:rFonts w:hint="eastAsia" w:eastAsia="仿宋_GB2312" w:cs="Times New Roman"/>
          <w:color w:val="auto"/>
          <w:sz w:val="32"/>
          <w:szCs w:val="32"/>
          <w:highlight w:val="none"/>
          <w:lang w:eastAsia="zh-CN"/>
        </w:rPr>
        <w:t>市级交流干部公寓</w:t>
      </w:r>
      <w:bookmarkStart w:id="71" w:name="_GoBack"/>
      <w:bookmarkEnd w:id="71"/>
      <w:r>
        <w:rPr>
          <w:rFonts w:hint="default" w:ascii="Times New Roman" w:hAnsi="Times New Roman" w:eastAsia="仿宋_GB2312" w:cs="Times New Roman"/>
          <w:color w:val="auto"/>
          <w:sz w:val="32"/>
          <w:szCs w:val="32"/>
          <w:highlight w:val="none"/>
          <w:lang w:eastAsia="zh-CN"/>
        </w:rPr>
        <w:t>的日常监督管理及食品卫生安全保障工作；负责公务用车平台建设及公务用车集中后的日常管理服务工作。</w:t>
      </w:r>
    </w:p>
    <w:p>
      <w:pPr>
        <w:numPr>
          <w:ilvl w:val="0"/>
          <w:numId w:val="0"/>
        </w:numPr>
        <w:rPr>
          <w:rFonts w:hint="default" w:ascii="Times New Roman" w:hAnsi="Times New Roman" w:cs="Times New Roman"/>
          <w:lang w:eastAsia="zh-CN"/>
        </w:rPr>
      </w:pPr>
    </w:p>
    <w:p>
      <w:pPr>
        <w:pStyle w:val="4"/>
        <w:rPr>
          <w:rStyle w:val="31"/>
          <w:rFonts w:hint="default" w:ascii="Times New Roman" w:hAnsi="Times New Roman" w:cs="Times New Roman"/>
          <w:b w:val="0"/>
          <w:bCs w:val="0"/>
          <w:color w:val="auto"/>
          <w:highlight w:val="none"/>
        </w:rPr>
      </w:pPr>
      <w:bookmarkStart w:id="14" w:name="_Toc15396601"/>
      <w:bookmarkStart w:id="15" w:name="_Toc15377200"/>
      <w:r>
        <w:rPr>
          <w:rFonts w:hint="default" w:ascii="Times New Roman" w:hAnsi="Times New Roman" w:eastAsia="黑体" w:cs="Times New Roman"/>
          <w:b w:val="0"/>
          <w:color w:val="auto"/>
          <w:highlight w:val="none"/>
        </w:rPr>
        <w:t>二、机</w:t>
      </w:r>
      <w:r>
        <w:rPr>
          <w:rStyle w:val="31"/>
          <w:rFonts w:hint="default" w:ascii="Times New Roman" w:hAnsi="Times New Roman" w:eastAsia="黑体" w:cs="Times New Roman"/>
          <w:b w:val="0"/>
          <w:bCs w:val="0"/>
          <w:color w:val="auto"/>
          <w:highlight w:val="none"/>
        </w:rPr>
        <w:t>构设置</w:t>
      </w:r>
      <w:bookmarkEnd w:id="14"/>
      <w:bookmarkEnd w:id="15"/>
    </w:p>
    <w:p>
      <w:pPr>
        <w:ind w:firstLine="800" w:firstLineChars="25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四川省攀枝花市机关事务服务中心下属二级</w:t>
      </w:r>
      <w:r>
        <w:rPr>
          <w:rFonts w:hint="default" w:ascii="Times New Roman" w:hAnsi="Times New Roman" w:eastAsia="仿宋_GB2312" w:cs="Times New Roman"/>
          <w:color w:val="auto"/>
          <w:sz w:val="32"/>
          <w:szCs w:val="32"/>
          <w:highlight w:val="none"/>
          <w:lang w:eastAsia="zh-CN"/>
        </w:rPr>
        <w:t>预算</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个，其中行政单位</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个，参照公务员法管理的事业单位</w:t>
      </w:r>
      <w:r>
        <w:rPr>
          <w:rFonts w:hint="default"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个，其他事业单位</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个。</w:t>
      </w:r>
    </w:p>
    <w:p>
      <w:pPr>
        <w:pStyle w:val="6"/>
        <w:adjustRightInd w:val="0"/>
        <w:snapToGrid w:val="0"/>
        <w:spacing w:before="93" w:line="600" w:lineRule="exact"/>
        <w:ind w:firstLine="672" w:firstLineChars="21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纳入</w:t>
      </w:r>
      <w:r>
        <w:rPr>
          <w:rFonts w:hint="default" w:ascii="Times New Roman" w:hAnsi="Times New Roman" w:cs="Times New Roman"/>
          <w:sz w:val="32"/>
          <w:szCs w:val="32"/>
        </w:rPr>
        <w:t>四川省攀枝花市机关事务服务中心</w:t>
      </w:r>
      <w:r>
        <w:rPr>
          <w:rFonts w:hint="default" w:ascii="Times New Roman" w:hAnsi="Times New Roman" w:eastAsia="仿宋_GB2312" w:cs="Times New Roman"/>
          <w:color w:val="auto"/>
          <w:sz w:val="32"/>
          <w:szCs w:val="32"/>
          <w:highlight w:val="none"/>
          <w:lang w:eastAsia="zh-CN"/>
        </w:rPr>
        <w:t>2024年度</w:t>
      </w:r>
      <w:r>
        <w:rPr>
          <w:rFonts w:hint="eastAsia" w:ascii="Times New Roman"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决算编制范围的二级预算单位包括：</w:t>
      </w:r>
    </w:p>
    <w:p>
      <w:pPr>
        <w:pStyle w:val="6"/>
        <w:numPr>
          <w:ilvl w:val="0"/>
          <w:numId w:val="2"/>
        </w:numPr>
        <w:adjustRightInd w:val="0"/>
        <w:snapToGrid w:val="0"/>
        <w:spacing w:before="93" w:line="600" w:lineRule="exact"/>
        <w:outlineLvl w:val="2"/>
        <w:rPr>
          <w:rFonts w:hint="default" w:ascii="Times New Roman" w:hAnsi="Times New Roman" w:eastAsia="仿宋_GB2312" w:cs="Times New Roman"/>
          <w:color w:val="auto"/>
          <w:sz w:val="32"/>
          <w:szCs w:val="32"/>
          <w:highlight w:val="none"/>
        </w:rPr>
      </w:pPr>
      <w:bookmarkStart w:id="16" w:name="_Toc15377434"/>
      <w:bookmarkStart w:id="17" w:name="_Toc15306277"/>
      <w:bookmarkStart w:id="18" w:name="_Toc15378450"/>
      <w:bookmarkStart w:id="19" w:name="_Toc15377203"/>
      <w:r>
        <w:rPr>
          <w:rFonts w:hint="default" w:ascii="Times New Roman" w:hAnsi="Times New Roman" w:cs="Times New Roman"/>
          <w:color w:val="auto"/>
          <w:sz w:val="32"/>
          <w:szCs w:val="32"/>
          <w:highlight w:val="none"/>
          <w:lang w:eastAsia="zh-CN"/>
        </w:rPr>
        <w:t>市机关后勤服务中心</w:t>
      </w:r>
      <w:bookmarkEnd w:id="16"/>
      <w:bookmarkEnd w:id="17"/>
      <w:bookmarkEnd w:id="18"/>
      <w:bookmarkEnd w:id="19"/>
    </w:p>
    <w:p>
      <w:pPr>
        <w:pStyle w:val="3"/>
        <w:jc w:val="center"/>
        <w:rPr>
          <w:rFonts w:hint="default" w:ascii="Times New Roman" w:hAnsi="Times New Roman" w:eastAsia="方正小标宋简体" w:cs="Times New Roman"/>
          <w:b w:val="0"/>
          <w:color w:val="auto"/>
          <w:highlight w:val="none"/>
        </w:rPr>
      </w:pPr>
      <w:bookmarkStart w:id="20" w:name="_Toc15396602"/>
      <w:bookmarkStart w:id="21" w:name="_Toc15377204"/>
      <w:r>
        <w:rPr>
          <w:rFonts w:hint="default" w:ascii="Times New Roman" w:hAnsi="Times New Roman" w:eastAsia="方正小标宋简体" w:cs="Times New Roman"/>
          <w:b w:val="0"/>
          <w:color w:val="auto"/>
          <w:highlight w:val="none"/>
        </w:rPr>
        <w:t>第二部分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Fonts w:hint="default" w:ascii="Times New Roman" w:hAnsi="Times New Roman" w:eastAsia="方正小标宋简体" w:cs="Times New Roman"/>
          <w:b w:val="0"/>
          <w:color w:val="auto"/>
          <w:highlight w:val="none"/>
          <w:lang w:val="en-US" w:eastAsia="zh-CN"/>
        </w:rPr>
        <w:t>2024年度</w:t>
      </w:r>
      <w:r>
        <w:rPr>
          <w:rFonts w:hint="eastAsia" w:eastAsia="方正小标宋简体" w:cs="Times New Roman"/>
          <w:b w:val="0"/>
          <w:color w:val="auto"/>
          <w:highlight w:val="none"/>
          <w:lang w:eastAsia="zh-CN"/>
        </w:rPr>
        <w:t>单位</w:t>
      </w:r>
      <w:r>
        <w:rPr>
          <w:rFonts w:hint="default" w:ascii="Times New Roman" w:hAnsi="Times New Roman" w:eastAsia="方正小标宋简体" w:cs="Times New Roman"/>
          <w:b w:val="0"/>
          <w:color w:val="auto"/>
          <w:highlight w:val="none"/>
        </w:rPr>
        <w:t>决算情况说明</w:t>
      </w:r>
      <w:bookmarkEnd w:id="20"/>
      <w:bookmarkEnd w:id="21"/>
    </w:p>
    <w:p>
      <w:pPr>
        <w:rPr>
          <w:rFonts w:hint="default" w:ascii="Times New Roman" w:hAnsi="Times New Roman" w:cs="Times New Roman"/>
          <w:color w:val="auto"/>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default" w:ascii="Times New Roman" w:hAnsi="Times New Roman" w:eastAsia="黑体" w:cs="Times New Roman"/>
          <w:b w:val="0"/>
          <w:color w:val="auto"/>
          <w:highlight w:val="none"/>
        </w:rPr>
      </w:pPr>
      <w:bookmarkStart w:id="22" w:name="_Toc15396603"/>
      <w:bookmarkStart w:id="23" w:name="_Toc15377205"/>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31"/>
          <w:rFonts w:hint="default" w:ascii="Times New Roman" w:hAnsi="Times New Roman" w:eastAsia="黑体" w:cs="Times New Roman"/>
          <w:b w:val="0"/>
          <w:color w:val="auto"/>
          <w:highlight w:val="none"/>
        </w:rPr>
        <w:t>入支出决算总体情况说明</w:t>
      </w:r>
      <w:bookmarkEnd w:id="22"/>
      <w:bookmarkEnd w:id="23"/>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2024年度收入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w:t>
      </w:r>
      <w:r>
        <w:rPr>
          <w:rFonts w:hint="default" w:ascii="Times New Roman" w:hAnsi="Times New Roman" w:eastAsia="仿宋_GB2312" w:cs="Times New Roman"/>
          <w:color w:val="auto"/>
          <w:sz w:val="32"/>
          <w:szCs w:val="32"/>
          <w:highlight w:val="none"/>
          <w:lang w:eastAsia="zh-CN"/>
        </w:rPr>
        <w:t>均为</w:t>
      </w:r>
      <w:r>
        <w:rPr>
          <w:rFonts w:hint="default" w:ascii="Times New Roman" w:hAnsi="Times New Roman" w:eastAsia="仿宋_GB2312" w:cs="Times New Roman"/>
          <w:color w:val="auto"/>
          <w:sz w:val="32"/>
          <w:szCs w:val="32"/>
          <w:highlight w:val="none"/>
          <w:lang w:val="en-US" w:eastAsia="zh-CN"/>
        </w:rPr>
        <w:t>5948.57万</w:t>
      </w:r>
      <w:r>
        <w:rPr>
          <w:rFonts w:hint="default" w:ascii="Times New Roman" w:hAnsi="Times New Roman" w:eastAsia="仿宋_GB2312" w:cs="Times New Roman"/>
          <w:color w:val="auto"/>
          <w:sz w:val="32"/>
          <w:szCs w:val="32"/>
          <w:highlight w:val="none"/>
        </w:rPr>
        <w:t>元。与</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相比，</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总计各减少</w:t>
      </w:r>
      <w:r>
        <w:rPr>
          <w:rFonts w:hint="default" w:ascii="Times New Roman" w:hAnsi="Times New Roman" w:eastAsia="仿宋_GB2312" w:cs="Times New Roman"/>
          <w:color w:val="auto"/>
          <w:sz w:val="32"/>
          <w:szCs w:val="32"/>
          <w:highlight w:val="none"/>
          <w:lang w:val="en-US" w:eastAsia="zh-CN"/>
        </w:rPr>
        <w:t>3047.53</w:t>
      </w:r>
      <w:r>
        <w:rPr>
          <w:rFonts w:hint="default" w:ascii="Times New Roman" w:hAnsi="Times New Roman" w:eastAsia="仿宋_GB2312" w:cs="Times New Roman"/>
          <w:color w:val="auto"/>
          <w:sz w:val="32"/>
          <w:szCs w:val="32"/>
          <w:highlight w:val="none"/>
        </w:rPr>
        <w:t>万元，下降</w:t>
      </w:r>
      <w:r>
        <w:rPr>
          <w:rFonts w:hint="default" w:ascii="Times New Roman" w:hAnsi="Times New Roman" w:eastAsia="仿宋_GB2312" w:cs="Times New Roman"/>
          <w:color w:val="auto"/>
          <w:sz w:val="32"/>
          <w:szCs w:val="32"/>
          <w:highlight w:val="none"/>
          <w:lang w:val="en-US" w:eastAsia="zh-CN"/>
        </w:rPr>
        <w:t>33.88</w:t>
      </w:r>
      <w:r>
        <w:rPr>
          <w:rFonts w:hint="default" w:ascii="Times New Roman" w:hAnsi="Times New Roman" w:eastAsia="仿宋_GB2312" w:cs="Times New Roman"/>
          <w:color w:val="auto"/>
          <w:sz w:val="32"/>
          <w:szCs w:val="32"/>
          <w:highlight w:val="none"/>
        </w:rPr>
        <w:t>%。主要变动原因是</w:t>
      </w:r>
      <w:r>
        <w:rPr>
          <w:rFonts w:hint="default" w:ascii="Times New Roman" w:hAnsi="Times New Roman" w:eastAsia="仿宋_GB2312" w:cs="Times New Roman"/>
          <w:color w:val="auto"/>
          <w:sz w:val="32"/>
          <w:szCs w:val="32"/>
          <w:highlight w:val="none"/>
          <w:lang w:val="en-US" w:eastAsia="zh-CN"/>
        </w:rPr>
        <w:t>2024年度项目减少。</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1"/>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rPr>
        <w:drawing>
          <wp:inline distT="0" distB="0" distL="114300" distR="114300">
            <wp:extent cx="4572000" cy="2743200"/>
            <wp:effectExtent l="4445" t="4445" r="14605" b="14605"/>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（图1：</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决算总计变动情况图）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color w:val="auto"/>
          <w:sz w:val="32"/>
          <w:szCs w:val="32"/>
          <w:highlight w:val="none"/>
          <w:lang w:eastAsia="zh-CN"/>
        </w:rPr>
      </w:pPr>
      <w:bookmarkStart w:id="24" w:name="_Toc15396604"/>
      <w:bookmarkStart w:id="25" w:name="_Toc15377206"/>
      <w:r>
        <w:rPr>
          <w:rFonts w:hint="default" w:ascii="Times New Roman" w:hAnsi="Times New Roman" w:eastAsia="黑体" w:cs="Times New Roman"/>
          <w:color w:val="auto"/>
          <w:sz w:val="32"/>
          <w:szCs w:val="32"/>
          <w:highlight w:val="none"/>
          <w:lang w:eastAsia="zh-CN"/>
        </w:rPr>
        <w:t>二、收入决算情况说明</w:t>
      </w:r>
      <w:bookmarkEnd w:id="24"/>
      <w:bookmarkEnd w:id="25"/>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1"/>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2024年度本年收入合计</w:t>
      </w:r>
      <w:r>
        <w:rPr>
          <w:rFonts w:hint="default" w:ascii="Times New Roman" w:hAnsi="Times New Roman" w:eastAsia="仿宋_GB2312" w:cs="Times New Roman"/>
          <w:sz w:val="32"/>
          <w:szCs w:val="32"/>
        </w:rPr>
        <w:t>5948.57万元，其中：一般公共预算财政拨款收入5948.57</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sz w:val="32"/>
          <w:szCs w:val="32"/>
          <w:highlight w:val="none"/>
          <w:lang w:eastAsia="zh-CN"/>
        </w:rPr>
        <w:t>%。</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1"/>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rPr>
        <w:drawing>
          <wp:inline distT="0" distB="0" distL="114300" distR="114300">
            <wp:extent cx="4572000" cy="2743200"/>
            <wp:effectExtent l="4445" t="4445" r="1460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1"/>
        <w:rPr>
          <w:rFonts w:hint="default" w:ascii="Times New Roman" w:hAnsi="Times New Roman" w:eastAsia="仿宋_GB2312"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800" w:firstLineChars="250"/>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（图2：收入决算结构图）</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default" w:ascii="Times New Roman" w:hAnsi="Times New Roman" w:eastAsia="黑体" w:cs="Times New Roman"/>
          <w:b w:val="0"/>
          <w:color w:val="auto"/>
          <w:highlight w:val="none"/>
        </w:rPr>
      </w:pPr>
      <w:bookmarkStart w:id="26" w:name="_Toc15377207"/>
      <w:bookmarkStart w:id="27" w:name="_Toc15396605"/>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31"/>
          <w:rFonts w:hint="default" w:ascii="Times New Roman" w:hAnsi="Times New Roman" w:eastAsia="黑体" w:cs="Times New Roman"/>
          <w:b w:val="0"/>
          <w:color w:val="auto"/>
          <w:highlight w:val="none"/>
        </w:rPr>
        <w:t>出决算情况说明</w:t>
      </w:r>
      <w:bookmarkEnd w:id="26"/>
      <w:bookmarkEnd w:id="27"/>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1"/>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2024年度本年支出合计</w:t>
      </w:r>
      <w:r>
        <w:rPr>
          <w:rFonts w:hint="default" w:ascii="Times New Roman" w:hAnsi="Times New Roman" w:eastAsia="仿宋_GB2312" w:cs="Times New Roman"/>
          <w:sz w:val="32"/>
          <w:szCs w:val="32"/>
        </w:rPr>
        <w:t>5948.57</w:t>
      </w:r>
      <w:r>
        <w:rPr>
          <w:rFonts w:hint="default" w:ascii="Times New Roman" w:hAnsi="Times New Roman" w:eastAsia="仿宋_GB2312" w:cs="Times New Roman"/>
          <w:color w:val="auto"/>
          <w:sz w:val="32"/>
          <w:szCs w:val="32"/>
          <w:highlight w:val="none"/>
          <w:lang w:eastAsia="zh-CN"/>
        </w:rPr>
        <w:t>万元，其中：基本支出</w:t>
      </w:r>
      <w:r>
        <w:rPr>
          <w:rFonts w:hint="default" w:ascii="Times New Roman" w:hAnsi="Times New Roman" w:eastAsia="仿宋_GB2312" w:cs="Times New Roman"/>
          <w:sz w:val="32"/>
          <w:szCs w:val="32"/>
        </w:rPr>
        <w:t>690.4</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11.6</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color w:val="auto"/>
          <w:sz w:val="32"/>
          <w:szCs w:val="32"/>
          <w:highlight w:val="none"/>
          <w:lang w:eastAsia="zh-CN"/>
        </w:rPr>
        <w:t>%；项目支出</w:t>
      </w:r>
      <w:r>
        <w:rPr>
          <w:rFonts w:hint="default" w:ascii="Times New Roman" w:hAnsi="Times New Roman" w:eastAsia="仿宋_GB2312" w:cs="Times New Roman"/>
          <w:sz w:val="32"/>
          <w:szCs w:val="32"/>
        </w:rPr>
        <w:t>5258.12</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88.39</w:t>
      </w:r>
      <w:r>
        <w:rPr>
          <w:rFonts w:hint="default" w:ascii="Times New Roman" w:hAnsi="Times New Roman" w:eastAsia="仿宋_GB2312" w:cs="Times New Roman"/>
          <w:color w:val="auto"/>
          <w:sz w:val="32"/>
          <w:szCs w:val="32"/>
          <w:highlight w:val="none"/>
          <w:lang w:eastAsia="zh-CN"/>
        </w:rPr>
        <w:t>%。</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1"/>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cs="Times New Roman"/>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800" w:firstLineChars="250"/>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（图3：支出决算结构图）</w:t>
      </w:r>
    </w:p>
    <w:p>
      <w:pPr>
        <w:ind w:firstLine="800" w:firstLineChars="250"/>
        <w:rPr>
          <w:rFonts w:hint="default" w:ascii="Times New Roman" w:hAnsi="Times New Roman" w:eastAsia="仿宋_GB2312" w:cs="Times New Roman"/>
          <w:color w:val="auto"/>
          <w:sz w:val="32"/>
          <w:szCs w:val="32"/>
          <w:highlight w:val="none"/>
          <w:lang w:eastAsia="zh-CN"/>
        </w:rPr>
      </w:pPr>
    </w:p>
    <w:p>
      <w:pPr>
        <w:spacing w:line="600" w:lineRule="exact"/>
        <w:ind w:firstLine="640" w:firstLineChars="200"/>
        <w:outlineLvl w:val="1"/>
        <w:rPr>
          <w:rStyle w:val="31"/>
          <w:rFonts w:hint="default" w:ascii="Times New Roman" w:hAnsi="Times New Roman" w:eastAsia="黑体" w:cs="Times New Roman"/>
          <w:b w:val="0"/>
          <w:color w:val="auto"/>
          <w:highlight w:val="none"/>
        </w:rPr>
      </w:pPr>
      <w:bookmarkStart w:id="28" w:name="_Toc15377208"/>
      <w:bookmarkStart w:id="29" w:name="_Toc15396606"/>
      <w:r>
        <w:rPr>
          <w:rFonts w:hint="default" w:ascii="Times New Roman" w:hAnsi="Times New Roman" w:eastAsia="黑体" w:cs="Times New Roman"/>
          <w:color w:val="auto"/>
          <w:sz w:val="32"/>
          <w:szCs w:val="32"/>
          <w:highlight w:val="none"/>
        </w:rPr>
        <w:t>四、财</w:t>
      </w:r>
      <w:r>
        <w:rPr>
          <w:rStyle w:val="31"/>
          <w:rFonts w:hint="default" w:ascii="Times New Roman" w:hAnsi="Times New Roman" w:eastAsia="黑体" w:cs="Times New Roman"/>
          <w:b w:val="0"/>
          <w:color w:val="auto"/>
          <w:highlight w:val="none"/>
        </w:rPr>
        <w:t>政拨款收入支出决算总体情况说明</w:t>
      </w:r>
      <w:bookmarkEnd w:id="28"/>
      <w:bookmarkEnd w:id="29"/>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2024年度财政拨款收入、支出总计均为5948.57万元。与2023年度相比，财政拨款收入总计、支出总计各减少3047.53万元，下降33.88%。主要变动原因是</w:t>
      </w:r>
      <w:r>
        <w:rPr>
          <w:rFonts w:hint="default" w:ascii="Times New Roman" w:hAnsi="Times New Roman" w:eastAsia="仿宋_GB2312" w:cs="Times New Roman"/>
          <w:color w:val="auto"/>
          <w:sz w:val="32"/>
          <w:szCs w:val="32"/>
          <w:highlight w:val="none"/>
          <w:lang w:val="en-US" w:eastAsia="zh-CN"/>
        </w:rPr>
        <w:t>2024年度项目减少。</w:t>
      </w:r>
    </w:p>
    <w:p>
      <w:pPr>
        <w:pStyle w:val="2"/>
        <w:rPr>
          <w:rFonts w:hint="default" w:ascii="Times New Roman" w:hAnsi="Times New Roman" w:cs="Times New Roman"/>
          <w:lang w:val="en-US" w:eastAsia="zh-CN"/>
        </w:rPr>
      </w:pPr>
      <w:r>
        <w:rPr>
          <w:rFonts w:hint="default" w:ascii="Times New Roman" w:hAnsi="Times New Roman" w:cs="Times New Roman"/>
        </w:rPr>
        <w:drawing>
          <wp:inline distT="0" distB="0" distL="114300" distR="114300">
            <wp:extent cx="4572000" cy="283845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（图4：财政拨款收、支决算总计变动情况）</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pPr>
        <w:spacing w:line="600" w:lineRule="exact"/>
        <w:ind w:firstLine="640" w:firstLineChars="200"/>
        <w:outlineLvl w:val="1"/>
        <w:rPr>
          <w:rStyle w:val="31"/>
          <w:rFonts w:hint="default" w:ascii="Times New Roman" w:hAnsi="Times New Roman" w:eastAsia="黑体" w:cs="Times New Roman"/>
          <w:b w:val="0"/>
          <w:color w:val="auto"/>
          <w:highlight w:val="none"/>
        </w:rPr>
      </w:pPr>
      <w:bookmarkStart w:id="30" w:name="_Toc15377209"/>
      <w:bookmarkStart w:id="31" w:name="_Toc15396607"/>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31"/>
          <w:rFonts w:hint="default" w:ascii="Times New Roman" w:hAnsi="Times New Roman" w:eastAsia="黑体" w:cs="Times New Roman"/>
          <w:b w:val="0"/>
          <w:color w:val="auto"/>
          <w:highlight w:val="none"/>
        </w:rPr>
        <w:t>般公共预算财政拨款支出决算情况说明</w:t>
      </w:r>
      <w:bookmarkEnd w:id="30"/>
      <w:bookmarkEnd w:id="31"/>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32" w:name="_Toc15377210"/>
      <w:r>
        <w:rPr>
          <w:rFonts w:hint="default" w:ascii="Times New Roman" w:hAnsi="Times New Roman" w:eastAsia="楷体_GB2312" w:cs="Times New Roman"/>
          <w:b/>
          <w:color w:val="auto"/>
          <w:sz w:val="32"/>
          <w:szCs w:val="32"/>
          <w:highlight w:val="none"/>
        </w:rPr>
        <w:t>（一）一般公共预算财政拨款支出决算总体情况</w:t>
      </w:r>
      <w:bookmarkEnd w:id="32"/>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5948.57</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%。与2023年度相比，一般公共预算财政拨款支出减少3047.53万元，下降33.88%。主要变动原因是</w:t>
      </w:r>
      <w:r>
        <w:rPr>
          <w:rFonts w:hint="default" w:ascii="Times New Roman" w:hAnsi="Times New Roman" w:eastAsia="仿宋_GB2312" w:cs="Times New Roman"/>
          <w:color w:val="auto"/>
          <w:sz w:val="32"/>
          <w:szCs w:val="32"/>
          <w:highlight w:val="none"/>
          <w:lang w:val="en-US" w:eastAsia="zh-CN"/>
        </w:rPr>
        <w:t>2024年度项目减少。</w:t>
      </w:r>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rPr>
        <w:drawing>
          <wp:inline distT="0" distB="0" distL="114300" distR="114300">
            <wp:extent cx="4572000" cy="4200525"/>
            <wp:effectExtent l="4445" t="4445" r="14605" b="508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（图5：一般公共预算财政拨款支出决算变动情况）</w:t>
      </w:r>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33" w:name="_Toc15377211"/>
      <w:r>
        <w:rPr>
          <w:rFonts w:hint="default" w:ascii="Times New Roman" w:hAnsi="Times New Roman" w:eastAsia="楷体_GB2312" w:cs="Times New Roman"/>
          <w:b/>
          <w:color w:val="auto"/>
          <w:sz w:val="32"/>
          <w:szCs w:val="32"/>
          <w:highlight w:val="none"/>
        </w:rPr>
        <w:t>（二）一般公共预算财政拨款支出决算结构情况</w:t>
      </w:r>
      <w:bookmarkEnd w:id="33"/>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5948.57</w:t>
      </w:r>
      <w:r>
        <w:rPr>
          <w:rFonts w:hint="default" w:ascii="Times New Roman" w:hAnsi="Times New Roman" w:eastAsia="仿宋_GB2312" w:cs="Times New Roman"/>
          <w:color w:val="auto"/>
          <w:kern w:val="2"/>
          <w:sz w:val="32"/>
          <w:szCs w:val="32"/>
          <w:highlight w:val="none"/>
          <w:lang w:val="en-US" w:eastAsia="zh-CN" w:bidi="ar-SA"/>
        </w:rPr>
        <w:t>万元，主要用于以下方面：一般公共服务支出5798.33万元，占97.47%；社会保障和就业支出63.95万元，占1.08%；卫生健康支出35.54万元，占0.6%；住房保障支出50.75万元，占0.85%。</w:t>
      </w:r>
    </w:p>
    <w:p>
      <w:pPr>
        <w:pStyle w:val="2"/>
        <w:rPr>
          <w:rFonts w:hint="default" w:ascii="Times New Roman" w:hAnsi="Times New Roman" w:cs="Times New Roman"/>
          <w:lang w:val="en-US" w:eastAsia="zh-CN"/>
        </w:rPr>
      </w:pPr>
      <w:r>
        <w:rPr>
          <w:rFonts w:hint="default" w:ascii="Times New Roman" w:hAnsi="Times New Roman" w:cs="Times New Roman"/>
        </w:rPr>
        <w:drawing>
          <wp:inline distT="0" distB="0" distL="114300" distR="114300">
            <wp:extent cx="4572000" cy="2743200"/>
            <wp:effectExtent l="4445" t="4445" r="14605" b="14605"/>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（图6：一般公共预算财政拨款支出决算结构）（饼状图）</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34" w:name="_Toc15377212"/>
      <w:r>
        <w:rPr>
          <w:rFonts w:hint="default" w:ascii="Times New Roman" w:hAnsi="Times New Roman" w:eastAsia="楷体_GB2312" w:cs="Times New Roman"/>
          <w:b/>
          <w:color w:val="auto"/>
          <w:sz w:val="32"/>
          <w:szCs w:val="32"/>
          <w:highlight w:val="none"/>
        </w:rPr>
        <w:t>（三）一般公共预算财政拨款支出决算具体情况</w:t>
      </w:r>
      <w:bookmarkEnd w:id="34"/>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bookmarkStart w:id="35" w:name="_Toc15377213"/>
      <w:bookmarkStart w:id="36" w:name="_Toc15378460"/>
      <w:bookmarkStart w:id="37" w:name="_Toc15377444"/>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2024年度一般公共预算财政拨款支出决算数为5948.57</w:t>
      </w:r>
      <w:r>
        <w:rPr>
          <w:rFonts w:hint="eastAsia" w:ascii="Times New Roman" w:hAnsi="Times New Roman" w:eastAsia="仿宋_GB2312" w:cs="Times New Roman"/>
          <w:color w:val="auto"/>
          <w:kern w:val="2"/>
          <w:sz w:val="32"/>
          <w:szCs w:val="32"/>
          <w:highlight w:val="none"/>
          <w:lang w:val="en-US" w:eastAsia="zh-CN" w:bidi="ar-SA"/>
        </w:rPr>
        <w:t>万元</w:t>
      </w:r>
      <w:r>
        <w:rPr>
          <w:rFonts w:hint="default" w:ascii="Times New Roman" w:hAnsi="Times New Roman" w:eastAsia="仿宋_GB2312" w:cs="Times New Roman"/>
          <w:color w:val="auto"/>
          <w:kern w:val="2"/>
          <w:sz w:val="32"/>
          <w:szCs w:val="32"/>
          <w:highlight w:val="none"/>
          <w:lang w:val="en-US" w:eastAsia="zh-CN" w:bidi="ar-SA"/>
        </w:rPr>
        <w:t>，完成预算100%。其中：</w:t>
      </w:r>
      <w:bookmarkEnd w:id="35"/>
      <w:bookmarkEnd w:id="36"/>
      <w:bookmarkEnd w:id="37"/>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1.一般公共服务（类）政府办公厅（室）及相关机构事务（款）行政运行（项）: 支出决算为447.83万元，完成预算100%，决算数等于预算数。</w:t>
      </w:r>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2.一般公共服务（类）政府办公厅（室）及相关机构事务（款）一般行政管理事务（项）: 支出决算为5258.12万元，完成预算100%，决算数等于预算数。</w:t>
      </w:r>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3.一般公共服务（类）政府办公厅（室）及相关机构事务（款）事业运行（项）: 支出决算为92.38万元，完成预算100%，决算数等于预算数。</w:t>
      </w:r>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4.社会保障和就业（类）行政事业单位养老支出（款）行政单位离退休（项）: 支出决算为0.4万元，完成预算100%，决算数等于预算数。</w:t>
      </w:r>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5.社会保障和就业（类）行政事业单位养老支出（款）机关事业单位基本养老保险缴费（项）: 支出决算为</w:t>
      </w:r>
      <w:r>
        <w:rPr>
          <w:rFonts w:hint="eastAsia" w:ascii="Times New Roman" w:hAnsi="Times New Roman" w:eastAsia="仿宋_GB2312" w:cs="Times New Roman"/>
          <w:color w:val="auto"/>
          <w:kern w:val="2"/>
          <w:sz w:val="32"/>
          <w:szCs w:val="32"/>
          <w:highlight w:val="none"/>
          <w:lang w:val="en-US" w:eastAsia="zh-CN" w:bidi="ar-SA"/>
        </w:rPr>
        <w:t>63.55</w:t>
      </w:r>
      <w:r>
        <w:rPr>
          <w:rFonts w:hint="default" w:ascii="Times New Roman" w:hAnsi="Times New Roman" w:eastAsia="仿宋_GB2312" w:cs="Times New Roman"/>
          <w:color w:val="auto"/>
          <w:kern w:val="2"/>
          <w:sz w:val="32"/>
          <w:szCs w:val="32"/>
          <w:highlight w:val="none"/>
          <w:lang w:val="en-US" w:eastAsia="zh-CN" w:bidi="ar-SA"/>
        </w:rPr>
        <w:t>万元，完成预算100%，决算数等于预算数。</w:t>
      </w:r>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6.卫生健康（类）行政事业单位医疗（款）行政单位医疗（项）: 支出决算为27.23万元，完成预算100%，决算数等于预算数。</w:t>
      </w:r>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7.卫生健康（类）行政事业单位医疗（款）事业单位医疗（项）: 支出决算为5.19万元，完成预算100%，决算数等于预算数。</w:t>
      </w:r>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8.卫生健康（类）行行政事业单位医疗（款）公务员医疗补助（项）: 支出决算为3.13万元，完成预算100%，决算数等于预算数。</w:t>
      </w:r>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9.住房保障（类）住房改革（款）住房公积金（项）: 支出决算为50.75万元，完成预算100%，决算数等于预算数。</w:t>
      </w:r>
    </w:p>
    <w:p>
      <w:pPr>
        <w:spacing w:line="600" w:lineRule="exact"/>
        <w:rPr>
          <w:rFonts w:hint="default" w:ascii="Times New Roman" w:hAnsi="Times New Roman" w:eastAsia="仿宋_GB2312" w:cs="Times New Roman"/>
          <w:color w:val="auto"/>
          <w:kern w:val="2"/>
          <w:sz w:val="32"/>
          <w:szCs w:val="32"/>
          <w:highlight w:val="none"/>
          <w:lang w:val="en-US" w:eastAsia="zh-CN" w:bidi="ar-SA"/>
        </w:rPr>
      </w:pPr>
    </w:p>
    <w:p>
      <w:pPr>
        <w:tabs>
          <w:tab w:val="right" w:pos="8306"/>
        </w:tabs>
        <w:spacing w:line="600" w:lineRule="exact"/>
        <w:ind w:firstLine="640"/>
        <w:outlineLvl w:val="1"/>
        <w:rPr>
          <w:rStyle w:val="31"/>
          <w:rFonts w:hint="default" w:ascii="Times New Roman" w:hAnsi="Times New Roman" w:cs="Times New Roman"/>
          <w:color w:val="auto"/>
          <w:highlight w:val="none"/>
        </w:rPr>
      </w:pPr>
      <w:bookmarkStart w:id="38" w:name="_Toc15377214"/>
      <w:bookmarkStart w:id="39" w:name="_Toc15396608"/>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31"/>
          <w:rFonts w:hint="default" w:ascii="Times New Roman" w:hAnsi="Times New Roman" w:eastAsia="黑体" w:cs="Times New Roman"/>
          <w:b w:val="0"/>
          <w:color w:val="auto"/>
          <w:highlight w:val="none"/>
        </w:rPr>
        <w:t>般公共预算财政拨款基本支出决算情况说明</w:t>
      </w:r>
      <w:bookmarkEnd w:id="38"/>
      <w:bookmarkEnd w:id="39"/>
      <w:r>
        <w:rPr>
          <w:rStyle w:val="31"/>
          <w:rFonts w:hint="default" w:ascii="Times New Roman" w:hAnsi="Times New Roman" w:eastAsia="黑体" w:cs="Times New Roman"/>
          <w:b w:val="0"/>
          <w:color w:val="auto"/>
          <w:highlight w:val="none"/>
        </w:rPr>
        <w:tab/>
      </w:r>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2024年度一般公共预算财政拨款基本支出690.4</w:t>
      </w:r>
      <w:r>
        <w:rPr>
          <w:rFonts w:hint="eastAsia" w:ascii="Times New Roman" w:hAnsi="Times New Roman" w:eastAsia="仿宋_GB2312" w:cs="Times New Roman"/>
          <w:color w:val="auto"/>
          <w:kern w:val="2"/>
          <w:sz w:val="32"/>
          <w:szCs w:val="32"/>
          <w:highlight w:val="none"/>
          <w:lang w:val="en-US" w:eastAsia="zh-CN" w:bidi="ar-SA"/>
        </w:rPr>
        <w:t>5</w:t>
      </w:r>
      <w:r>
        <w:rPr>
          <w:rFonts w:hint="default" w:ascii="Times New Roman" w:hAnsi="Times New Roman" w:eastAsia="仿宋_GB2312" w:cs="Times New Roman"/>
          <w:color w:val="auto"/>
          <w:kern w:val="2"/>
          <w:sz w:val="32"/>
          <w:szCs w:val="32"/>
          <w:highlight w:val="none"/>
          <w:lang w:val="en-US" w:eastAsia="zh-CN" w:bidi="ar-SA"/>
        </w:rPr>
        <w:t>万元，其中：</w:t>
      </w:r>
    </w:p>
    <w:p>
      <w:pPr>
        <w:spacing w:line="360" w:lineRule="auto"/>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人员经费612.65万元，主要包括：基本工资、津贴补贴、奖金、绩效工资、机关事业单位基本养老保险缴费、职工基本医疗保险缴费、其他社会保障缴费、公务员医疗补助缴费、住房公积金、其它工资福利支出、生活补助、医疗费补助、奖励金等。</w:t>
      </w:r>
      <w:r>
        <w:rPr>
          <w:rFonts w:hint="default" w:ascii="Times New Roman" w:hAnsi="Times New Roman" w:eastAsia="仿宋_GB2312" w:cs="Times New Roman"/>
          <w:color w:val="auto"/>
          <w:kern w:val="2"/>
          <w:sz w:val="32"/>
          <w:szCs w:val="32"/>
          <w:highlight w:val="none"/>
          <w:lang w:val="en-US" w:eastAsia="zh-CN" w:bidi="ar-SA"/>
        </w:rPr>
        <w:br w:type="textWrapping"/>
      </w:r>
      <w:r>
        <w:rPr>
          <w:rFonts w:hint="default" w:ascii="Times New Roman" w:hAnsi="Times New Roman" w:eastAsia="仿宋_GB2312" w:cs="Times New Roman"/>
          <w:color w:val="auto"/>
          <w:kern w:val="2"/>
          <w:sz w:val="32"/>
          <w:szCs w:val="32"/>
          <w:highlight w:val="none"/>
          <w:lang w:val="en-US" w:eastAsia="zh-CN" w:bidi="ar-SA"/>
        </w:rPr>
        <w:t>　　公用经费77.8万元，主要包括：办公费、印刷费、咨询费、水费、电费、邮电费、物业管理费、差旅费、维修（护）费、培训费、公务接待费、劳务费、委托业务费、工会经费、福利费、公务用车运行维护费、其他交通费用、税金及附加费用、其他商品和服务支出等。</w:t>
      </w:r>
    </w:p>
    <w:p>
      <w:pPr>
        <w:pStyle w:val="2"/>
        <w:rPr>
          <w:rFonts w:hint="default" w:ascii="Times New Roman" w:hAnsi="Times New Roman" w:cs="Times New Roman"/>
          <w:lang w:val="en-US" w:eastAsia="zh-CN"/>
        </w:rPr>
      </w:pPr>
    </w:p>
    <w:p>
      <w:pPr>
        <w:spacing w:line="600" w:lineRule="exact"/>
        <w:ind w:firstLine="640"/>
        <w:outlineLvl w:val="1"/>
        <w:rPr>
          <w:rStyle w:val="31"/>
          <w:rFonts w:hint="default" w:ascii="Times New Roman" w:hAnsi="Times New Roman" w:eastAsia="黑体" w:cs="Times New Roman"/>
          <w:b w:val="0"/>
          <w:color w:val="auto"/>
          <w:highlight w:val="none"/>
        </w:rPr>
      </w:pPr>
      <w:bookmarkStart w:id="40" w:name="_Toc15377215"/>
      <w:bookmarkStart w:id="41" w:name="_Toc15396609"/>
      <w:r>
        <w:rPr>
          <w:rFonts w:hint="default" w:ascii="Times New Roman" w:hAnsi="Times New Roman" w:eastAsia="黑体" w:cs="Times New Roman"/>
          <w:color w:val="auto"/>
          <w:sz w:val="32"/>
          <w:szCs w:val="32"/>
          <w:highlight w:val="none"/>
        </w:rPr>
        <w:t>七、</w:t>
      </w:r>
      <w:r>
        <w:rPr>
          <w:rStyle w:val="31"/>
          <w:rFonts w:hint="default" w:ascii="Times New Roman" w:hAnsi="Times New Roman" w:eastAsia="黑体" w:cs="Times New Roman"/>
          <w:b w:val="0"/>
          <w:color w:val="auto"/>
          <w:highlight w:val="none"/>
        </w:rPr>
        <w:t>财政拨款</w:t>
      </w:r>
      <w:r>
        <w:rPr>
          <w:rStyle w:val="31"/>
          <w:rFonts w:hint="default" w:ascii="Times New Roman" w:hAnsi="Times New Roman" w:eastAsia="黑体" w:cs="Times New Roman"/>
          <w:color w:val="auto"/>
          <w:highlight w:val="none"/>
        </w:rPr>
        <w:t>“</w:t>
      </w:r>
      <w:r>
        <w:rPr>
          <w:rStyle w:val="31"/>
          <w:rFonts w:hint="default" w:ascii="Times New Roman" w:hAnsi="Times New Roman" w:eastAsia="黑体" w:cs="Times New Roman"/>
          <w:b w:val="0"/>
          <w:color w:val="auto"/>
          <w:highlight w:val="none"/>
        </w:rPr>
        <w:t>三公”经费支出决算情况说明</w:t>
      </w:r>
      <w:bookmarkEnd w:id="40"/>
      <w:bookmarkEnd w:id="41"/>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42" w:name="_Toc15377216"/>
      <w:r>
        <w:rPr>
          <w:rFonts w:hint="default" w:ascii="Times New Roman" w:hAnsi="Times New Roman" w:eastAsia="楷体_GB2312" w:cs="Times New Roman"/>
          <w:b/>
          <w:color w:val="auto"/>
          <w:sz w:val="32"/>
          <w:szCs w:val="32"/>
          <w:highlight w:val="none"/>
        </w:rPr>
        <w:t>（一）“三公”经费财政拨款支出决算总体情况说明</w:t>
      </w:r>
      <w:bookmarkEnd w:id="42"/>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2024年度“三公”经费财政拨款支出决算为</w:t>
      </w:r>
      <w:r>
        <w:rPr>
          <w:rFonts w:hint="default" w:ascii="Times New Roman" w:hAnsi="Times New Roman" w:eastAsia="仿宋_GB2312" w:cs="Times New Roman"/>
          <w:sz w:val="32"/>
          <w:szCs w:val="32"/>
        </w:rPr>
        <w:t>18.22</w:t>
      </w:r>
      <w:r>
        <w:rPr>
          <w:rFonts w:hint="default" w:ascii="Times New Roman" w:hAnsi="Times New Roman" w:eastAsia="仿宋_GB2312" w:cs="Times New Roman"/>
          <w:color w:val="auto"/>
          <w:kern w:val="2"/>
          <w:sz w:val="32"/>
          <w:szCs w:val="32"/>
          <w:highlight w:val="none"/>
          <w:lang w:val="en-US" w:eastAsia="zh-CN" w:bidi="ar-SA"/>
        </w:rPr>
        <w:t>万元，完成预算</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%，较上年度减少2.32万元，下降11.29%。决算数预算数持平</w:t>
      </w:r>
      <w:r>
        <w:rPr>
          <w:rFonts w:hint="eastAsia" w:ascii="Times New Roman" w:hAnsi="Times New Roman" w:eastAsia="仿宋_GB2312" w:cs="Times New Roman"/>
          <w:color w:val="auto"/>
          <w:kern w:val="2"/>
          <w:sz w:val="32"/>
          <w:szCs w:val="32"/>
          <w:highlight w:val="none"/>
          <w:lang w:val="en-US" w:eastAsia="zh-CN" w:bidi="ar-SA"/>
        </w:rPr>
        <w:t>。</w:t>
      </w:r>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43" w:name="_Toc15377217"/>
      <w:r>
        <w:rPr>
          <w:rFonts w:hint="default" w:ascii="Times New Roman" w:hAnsi="Times New Roman" w:eastAsia="楷体_GB2312" w:cs="Times New Roman"/>
          <w:b/>
          <w:color w:val="auto"/>
          <w:sz w:val="32"/>
          <w:szCs w:val="32"/>
          <w:highlight w:val="none"/>
        </w:rPr>
        <w:t>（二）“三公”经费财政拨款支出决算具体情况说明</w:t>
      </w:r>
      <w:bookmarkEnd w:id="43"/>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2024年度“三公”经费财政拨款支出决算中，因公出国（境）费支出决算</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万元，占0%；公务用车购置及运行维护费支出决算</w:t>
      </w:r>
      <w:r>
        <w:rPr>
          <w:rFonts w:hint="default" w:ascii="Times New Roman" w:hAnsi="Times New Roman" w:eastAsia="仿宋_GB2312" w:cs="Times New Roman"/>
          <w:sz w:val="32"/>
          <w:szCs w:val="32"/>
        </w:rPr>
        <w:t>17.82</w:t>
      </w:r>
      <w:r>
        <w:rPr>
          <w:rFonts w:hint="default" w:ascii="Times New Roman" w:hAnsi="Times New Roman" w:eastAsia="仿宋_GB2312" w:cs="Times New Roman"/>
          <w:color w:val="auto"/>
          <w:kern w:val="2"/>
          <w:sz w:val="32"/>
          <w:szCs w:val="32"/>
          <w:highlight w:val="none"/>
          <w:lang w:val="en-US" w:eastAsia="zh-CN" w:bidi="ar-SA"/>
        </w:rPr>
        <w:t>万元，占97.75%；公务接待费支出决算</w:t>
      </w:r>
      <w:r>
        <w:rPr>
          <w:rFonts w:hint="default" w:ascii="Times New Roman" w:hAnsi="Times New Roman" w:eastAsia="仿宋_GB2312" w:cs="Times New Roman"/>
          <w:sz w:val="32"/>
          <w:szCs w:val="32"/>
        </w:rPr>
        <w:t>0.41</w:t>
      </w:r>
      <w:r>
        <w:rPr>
          <w:rFonts w:hint="default" w:ascii="Times New Roman" w:hAnsi="Times New Roman" w:eastAsia="仿宋_GB2312" w:cs="Times New Roman"/>
          <w:color w:val="auto"/>
          <w:kern w:val="2"/>
          <w:sz w:val="32"/>
          <w:szCs w:val="32"/>
          <w:highlight w:val="none"/>
          <w:lang w:val="en-US" w:eastAsia="zh-CN" w:bidi="ar-SA"/>
        </w:rPr>
        <w:t>万元，占2.25%。具体情况如下：</w:t>
      </w:r>
    </w:p>
    <w:p>
      <w:pPr>
        <w:pStyle w:val="2"/>
        <w:rPr>
          <w:rFonts w:hint="default" w:ascii="Times New Roman" w:hAnsi="Times New Roman" w:cs="Times New Roman"/>
          <w:lang w:val="en-US" w:eastAsia="zh-CN"/>
        </w:rPr>
      </w:pPr>
      <w:r>
        <w:rPr>
          <w:rFonts w:hint="default" w:ascii="Times New Roman" w:hAnsi="Times New Roman" w:cs="Times New Roman"/>
        </w:rPr>
        <w:drawing>
          <wp:inline distT="0" distB="0" distL="114300" distR="114300">
            <wp:extent cx="4572000" cy="274320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（图7：“三公”经费财政拨款支出结构）</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1.因公出国（境）经费支出0万元，完成预算0%。</w:t>
      </w:r>
      <w:r>
        <w:rPr>
          <w:rFonts w:hint="default" w:ascii="Times New Roman" w:hAnsi="Times New Roman" w:eastAsia="仿宋_GB2312" w:cs="Times New Roman"/>
          <w:color w:val="auto"/>
          <w:kern w:val="2"/>
          <w:sz w:val="32"/>
          <w:szCs w:val="32"/>
          <w:highlight w:val="none"/>
          <w:lang w:val="en-US" w:eastAsia="zh-CN" w:bidi="ar-SA"/>
        </w:rPr>
        <w:t>全年安排因公出国（境）团组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次，出国（境）</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人。因公出国（境）支出决算与2023年度持平。</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2.公务用车购置及运行维护费支出17.82万元，完成预算100%。</w:t>
      </w:r>
      <w:r>
        <w:rPr>
          <w:rFonts w:hint="default" w:ascii="Times New Roman" w:hAnsi="Times New Roman" w:eastAsia="仿宋_GB2312" w:cs="Times New Roman"/>
          <w:color w:val="auto"/>
          <w:kern w:val="2"/>
          <w:sz w:val="32"/>
          <w:szCs w:val="32"/>
          <w:highlight w:val="none"/>
          <w:lang w:val="en-US" w:eastAsia="zh-CN" w:bidi="ar-SA"/>
        </w:rPr>
        <w:t>公务用车购置及运行维护费支出决算比2023年度减少2.32万元，下降11.52%。主要原因是2024年度报废4辆公车，</w:t>
      </w:r>
      <w:r>
        <w:rPr>
          <w:rFonts w:hint="eastAsia" w:ascii="Times New Roman" w:hAnsi="Times New Roman" w:eastAsia="仿宋_GB2312" w:cs="Times New Roman"/>
          <w:color w:val="auto"/>
          <w:kern w:val="2"/>
          <w:sz w:val="32"/>
          <w:szCs w:val="32"/>
          <w:highlight w:val="none"/>
          <w:lang w:val="en-US" w:eastAsia="zh-CN" w:bidi="ar-SA"/>
        </w:rPr>
        <w:t>公车</w:t>
      </w:r>
      <w:r>
        <w:rPr>
          <w:rFonts w:hint="default" w:ascii="Times New Roman" w:hAnsi="Times New Roman" w:eastAsia="仿宋_GB2312" w:cs="Times New Roman"/>
          <w:color w:val="auto"/>
          <w:kern w:val="2"/>
          <w:sz w:val="32"/>
          <w:szCs w:val="32"/>
          <w:highlight w:val="none"/>
          <w:lang w:val="en-US" w:eastAsia="zh-CN" w:bidi="ar-SA"/>
        </w:rPr>
        <w:t>运行维护费减少。</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其中：公务用车购置支出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万元。全年按规定更新购置公务用车0辆，其中：轿车0辆、金额0万元，越野车0辆、金额0万元，载客汽车0辆、金额0万元。截至2024年12月31日，单位共有公务用车10辆，其中：轿车4辆、越野车2辆、载客汽车4辆。</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公务用车运行维护费支出</w:t>
      </w:r>
      <w:r>
        <w:rPr>
          <w:rFonts w:hint="default" w:ascii="Times New Roman" w:hAnsi="Times New Roman" w:eastAsia="仿宋_GB2312" w:cs="Times New Roman"/>
          <w:sz w:val="32"/>
          <w:szCs w:val="32"/>
        </w:rPr>
        <w:t>17.82</w:t>
      </w:r>
      <w:r>
        <w:rPr>
          <w:rFonts w:hint="default" w:ascii="Times New Roman" w:hAnsi="Times New Roman" w:eastAsia="仿宋_GB2312" w:cs="Times New Roman"/>
          <w:color w:val="auto"/>
          <w:kern w:val="2"/>
          <w:sz w:val="32"/>
          <w:szCs w:val="32"/>
          <w:highlight w:val="none"/>
          <w:lang w:val="en-US" w:eastAsia="zh-CN" w:bidi="ar-SA"/>
        </w:rPr>
        <w:t>万元。主要用于</w:t>
      </w:r>
      <w:r>
        <w:rPr>
          <w:rFonts w:hint="default" w:ascii="Times New Roman" w:hAnsi="Times New Roman" w:eastAsia="仿宋" w:cs="Times New Roman"/>
          <w:color w:val="auto"/>
          <w:sz w:val="32"/>
          <w:szCs w:val="32"/>
        </w:rPr>
        <w:t>市机关后勤服务中心</w:t>
      </w:r>
      <w:r>
        <w:rPr>
          <w:rFonts w:hint="default" w:ascii="Times New Roman" w:hAnsi="Times New Roman" w:eastAsia="仿宋" w:cs="Times New Roman"/>
          <w:color w:val="auto"/>
          <w:sz w:val="32"/>
          <w:szCs w:val="32"/>
          <w:lang w:eastAsia="zh-CN"/>
        </w:rPr>
        <w:t>车辆</w:t>
      </w:r>
      <w:r>
        <w:rPr>
          <w:rFonts w:hint="default" w:ascii="Times New Roman" w:hAnsi="Times New Roman" w:eastAsia="仿宋" w:cs="Times New Roman"/>
          <w:color w:val="auto"/>
          <w:sz w:val="32"/>
          <w:szCs w:val="32"/>
        </w:rPr>
        <w:t>保障平台</w:t>
      </w:r>
      <w:r>
        <w:rPr>
          <w:rFonts w:hint="default" w:ascii="Times New Roman" w:hAnsi="Times New Roman" w:eastAsia="仿宋_GB2312" w:cs="Times New Roman"/>
          <w:color w:val="auto"/>
          <w:kern w:val="2"/>
          <w:sz w:val="32"/>
          <w:szCs w:val="32"/>
          <w:highlight w:val="none"/>
          <w:lang w:val="en-US" w:eastAsia="zh-CN" w:bidi="ar-SA"/>
        </w:rPr>
        <w:t>公务用车燃料费、维修费、过路过桥费、保险费等支出。</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3.公务接待费支出0.41万元，完成预算100%。</w:t>
      </w:r>
      <w:r>
        <w:rPr>
          <w:rFonts w:hint="default" w:ascii="Times New Roman" w:hAnsi="Times New Roman" w:eastAsia="仿宋_GB2312" w:cs="Times New Roman"/>
          <w:color w:val="auto"/>
          <w:kern w:val="2"/>
          <w:sz w:val="32"/>
          <w:szCs w:val="32"/>
          <w:highlight w:val="none"/>
          <w:lang w:val="en-US" w:eastAsia="zh-CN" w:bidi="ar-SA"/>
        </w:rPr>
        <w:t>公务接待费支出决算与2023年度持平，其中：</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国内公务接待支出</w:t>
      </w:r>
      <w:r>
        <w:rPr>
          <w:rFonts w:hint="default" w:ascii="Times New Roman" w:hAnsi="Times New Roman" w:eastAsia="仿宋_GB2312" w:cs="Times New Roman"/>
          <w:sz w:val="32"/>
          <w:szCs w:val="32"/>
        </w:rPr>
        <w:t>0.41</w:t>
      </w:r>
      <w:r>
        <w:rPr>
          <w:rFonts w:hint="default" w:ascii="Times New Roman" w:hAnsi="Times New Roman" w:eastAsia="仿宋_GB2312" w:cs="Times New Roman"/>
          <w:color w:val="auto"/>
          <w:kern w:val="2"/>
          <w:sz w:val="32"/>
          <w:szCs w:val="32"/>
          <w:highlight w:val="none"/>
          <w:lang w:val="en-US" w:eastAsia="zh-CN" w:bidi="ar-SA"/>
        </w:rPr>
        <w:t>万元，主要用于</w:t>
      </w:r>
      <w:r>
        <w:rPr>
          <w:rFonts w:hint="default" w:ascii="Times New Roman" w:hAnsi="Times New Roman" w:eastAsia="仿宋_GB2312" w:cs="Times New Roman"/>
          <w:color w:val="auto"/>
          <w:sz w:val="32"/>
          <w:szCs w:val="32"/>
          <w:highlight w:val="none"/>
          <w:lang w:eastAsia="zh-CN"/>
        </w:rPr>
        <w:t>接待省机关事务管理局</w:t>
      </w:r>
      <w:r>
        <w:rPr>
          <w:rFonts w:hint="default" w:ascii="Times New Roman" w:hAnsi="Times New Roman" w:eastAsia="仿宋_GB2312" w:cs="Times New Roman"/>
          <w:color w:val="auto"/>
          <w:kern w:val="2"/>
          <w:sz w:val="32"/>
          <w:szCs w:val="32"/>
          <w:highlight w:val="none"/>
          <w:lang w:val="en-US" w:eastAsia="zh-CN" w:bidi="ar-SA"/>
        </w:rPr>
        <w:t>执行公务、开展业务活动开支</w:t>
      </w:r>
      <w:r>
        <w:rPr>
          <w:rFonts w:hint="eastAsia" w:ascii="Times New Roman" w:hAnsi="Times New Roman" w:eastAsia="仿宋_GB2312" w:cs="Times New Roman"/>
          <w:color w:val="auto"/>
          <w:kern w:val="2"/>
          <w:sz w:val="32"/>
          <w:szCs w:val="32"/>
          <w:highlight w:val="none"/>
          <w:lang w:val="en-US" w:eastAsia="zh-CN" w:bidi="ar-SA"/>
        </w:rPr>
        <w:t>餐费</w:t>
      </w:r>
      <w:r>
        <w:rPr>
          <w:rFonts w:hint="default" w:ascii="Times New Roman" w:hAnsi="Times New Roman" w:eastAsia="仿宋_GB2312" w:cs="Times New Roman"/>
          <w:color w:val="auto"/>
          <w:kern w:val="2"/>
          <w:sz w:val="32"/>
          <w:szCs w:val="32"/>
          <w:highlight w:val="none"/>
          <w:lang w:val="en-US" w:eastAsia="zh-CN" w:bidi="ar-SA"/>
        </w:rPr>
        <w:t>。国内公务接待</w:t>
      </w:r>
      <w:r>
        <w:rPr>
          <w:rFonts w:hint="default" w:ascii="Times New Roman" w:hAnsi="Times New Roman" w:eastAsia="仿宋_GB2312" w:cs="Times New Roman"/>
          <w:sz w:val="32"/>
          <w:szCs w:val="32"/>
        </w:rPr>
        <w:t>3</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rPr>
        <w:t>38</w:t>
      </w:r>
      <w:r>
        <w:rPr>
          <w:rFonts w:hint="default" w:ascii="Times New Roman" w:hAnsi="Times New Roman" w:eastAsia="仿宋_GB2312" w:cs="Times New Roman"/>
          <w:color w:val="auto"/>
          <w:kern w:val="2"/>
          <w:sz w:val="32"/>
          <w:szCs w:val="32"/>
          <w:highlight w:val="none"/>
          <w:lang w:val="en-US" w:eastAsia="zh-CN" w:bidi="ar-SA"/>
        </w:rPr>
        <w:t>人次（不包括陪同人员），共计支出0.41万元，具体内容包括：省局赴攀开展公共机构制度修订工作接待费0.15万元、省局赴攀开展公共机构零碳建筑示范点建设课题研究0.17万元、省局赴攀开展办公用房安全管理调研接待费0.09万元。</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外事接待支出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万元。外事接待</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人次（不包括陪同人员），共计支出0万元。</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bookmarkStart w:id="44" w:name="_Toc15396610"/>
      <w:bookmarkStart w:id="45" w:name="_Toc15377218"/>
    </w:p>
    <w:p>
      <w:pPr>
        <w:spacing w:line="600" w:lineRule="exact"/>
        <w:ind w:firstLine="640"/>
        <w:outlineLvl w:val="1"/>
        <w:rPr>
          <w:rStyle w:val="31"/>
          <w:rFonts w:hint="default" w:ascii="Times New Roman" w:hAnsi="Times New Roman" w:eastAsia="黑体" w:cs="Times New Roman"/>
          <w:color w:val="auto"/>
          <w:highlight w:val="none"/>
        </w:rPr>
      </w:pPr>
      <w:r>
        <w:rPr>
          <w:rFonts w:hint="default" w:ascii="Times New Roman" w:hAnsi="Times New Roman" w:eastAsia="黑体" w:cs="Times New Roman"/>
          <w:color w:val="auto"/>
          <w:sz w:val="32"/>
          <w:szCs w:val="32"/>
          <w:highlight w:val="none"/>
        </w:rPr>
        <w:t>八、</w:t>
      </w:r>
      <w:r>
        <w:rPr>
          <w:rStyle w:val="31"/>
          <w:rFonts w:hint="default" w:ascii="Times New Roman" w:hAnsi="Times New Roman" w:eastAsia="黑体" w:cs="Times New Roman"/>
          <w:b w:val="0"/>
          <w:color w:val="auto"/>
          <w:highlight w:val="none"/>
        </w:rPr>
        <w:t>政府性基金预算支出决算情况说明</w:t>
      </w:r>
      <w:bookmarkEnd w:id="44"/>
      <w:bookmarkEnd w:id="45"/>
    </w:p>
    <w:p>
      <w:pPr>
        <w:spacing w:line="600" w:lineRule="exact"/>
        <w:ind w:firstLine="640"/>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2024年度政府性基金预算财政拨款支出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%。与2023年度相比，政府性基金预算财政拨款支出与上年持平。</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pPr>
        <w:numPr>
          <w:ilvl w:val="0"/>
          <w:numId w:val="0"/>
        </w:numPr>
        <w:spacing w:line="600" w:lineRule="exact"/>
        <w:ind w:left="630" w:leftChars="0"/>
        <w:outlineLvl w:val="1"/>
        <w:rPr>
          <w:rStyle w:val="31"/>
          <w:rFonts w:hint="default" w:ascii="Times New Roman" w:hAnsi="Times New Roman" w:eastAsia="黑体" w:cs="Times New Roman"/>
          <w:b w:val="0"/>
          <w:color w:val="auto"/>
          <w:highlight w:val="none"/>
        </w:rPr>
      </w:pPr>
      <w:bookmarkStart w:id="46" w:name="_Toc15396611"/>
      <w:bookmarkStart w:id="47" w:name="_Toc15377219"/>
      <w:r>
        <w:rPr>
          <w:rStyle w:val="31"/>
          <w:rFonts w:hint="default" w:ascii="Times New Roman" w:hAnsi="Times New Roman" w:eastAsia="黑体" w:cs="Times New Roman"/>
          <w:b w:val="0"/>
          <w:color w:val="auto"/>
          <w:highlight w:val="none"/>
          <w:lang w:eastAsia="zh-CN"/>
        </w:rPr>
        <w:t>九、</w:t>
      </w:r>
      <w:r>
        <w:rPr>
          <w:rStyle w:val="31"/>
          <w:rFonts w:hint="default" w:ascii="Times New Roman" w:hAnsi="Times New Roman" w:eastAsia="黑体" w:cs="Times New Roman"/>
          <w:b w:val="0"/>
          <w:color w:val="auto"/>
          <w:highlight w:val="none"/>
        </w:rPr>
        <w:t>国有资本经营预算支出决算情况说明</w:t>
      </w:r>
      <w:bookmarkEnd w:id="46"/>
      <w:bookmarkEnd w:id="47"/>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2024年度国有资本经营预算财政拨款支出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%。与2023年度相比，国有资本经营预算财政拨款支出与上年持平。</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pPr>
        <w:numPr>
          <w:ilvl w:val="0"/>
          <w:numId w:val="0"/>
        </w:numPr>
        <w:spacing w:line="600" w:lineRule="exact"/>
        <w:ind w:left="630" w:leftChars="0"/>
        <w:outlineLvl w:val="1"/>
        <w:rPr>
          <w:rStyle w:val="31"/>
          <w:rFonts w:hint="default" w:ascii="Times New Roman" w:hAnsi="Times New Roman" w:eastAsia="黑体" w:cs="Times New Roman"/>
          <w:b w:val="0"/>
          <w:color w:val="auto"/>
          <w:highlight w:val="none"/>
        </w:rPr>
      </w:pPr>
      <w:bookmarkStart w:id="48" w:name="_Toc15396612"/>
      <w:bookmarkStart w:id="49" w:name="_Toc15377221"/>
      <w:r>
        <w:rPr>
          <w:rStyle w:val="31"/>
          <w:rFonts w:hint="default" w:ascii="Times New Roman" w:hAnsi="Times New Roman" w:eastAsia="黑体" w:cs="Times New Roman"/>
          <w:b w:val="0"/>
          <w:color w:val="auto"/>
          <w:highlight w:val="none"/>
          <w:lang w:eastAsia="zh-CN"/>
        </w:rPr>
        <w:t>十、</w:t>
      </w:r>
      <w:r>
        <w:rPr>
          <w:rStyle w:val="31"/>
          <w:rFonts w:hint="default" w:ascii="Times New Roman" w:hAnsi="Times New Roman" w:eastAsia="黑体" w:cs="Times New Roman"/>
          <w:b w:val="0"/>
          <w:color w:val="auto"/>
          <w:highlight w:val="none"/>
        </w:rPr>
        <w:t>其他重要事项的情况说明</w:t>
      </w:r>
      <w:bookmarkEnd w:id="48"/>
      <w:bookmarkEnd w:id="49"/>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50" w:name="_Toc15377222"/>
      <w:r>
        <w:rPr>
          <w:rFonts w:hint="default" w:ascii="Times New Roman" w:hAnsi="Times New Roman" w:eastAsia="楷体_GB2312" w:cs="Times New Roman"/>
          <w:b/>
          <w:color w:val="auto"/>
          <w:sz w:val="32"/>
          <w:szCs w:val="32"/>
          <w:highlight w:val="none"/>
        </w:rPr>
        <w:t>（一）机关运行经费支出情况</w:t>
      </w:r>
      <w:bookmarkEnd w:id="50"/>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四川省攀枝花市机关事务服务中心</w:t>
      </w:r>
      <w:r>
        <w:rPr>
          <w:rFonts w:hint="default" w:ascii="Times New Roman" w:hAnsi="Times New Roman" w:eastAsia="仿宋_GB2312" w:cs="Times New Roman"/>
          <w:color w:val="auto"/>
          <w:kern w:val="2"/>
          <w:sz w:val="32"/>
          <w:szCs w:val="32"/>
          <w:highlight w:val="none"/>
          <w:lang w:val="en-US" w:eastAsia="zh-CN" w:bidi="ar-SA"/>
        </w:rPr>
        <w:t>机关运行经费支出</w:t>
      </w:r>
      <w:r>
        <w:rPr>
          <w:rFonts w:hint="default" w:ascii="Times New Roman" w:hAnsi="Times New Roman" w:eastAsia="仿宋_GB2312" w:cs="Times New Roman"/>
          <w:sz w:val="32"/>
          <w:szCs w:val="32"/>
        </w:rPr>
        <w:t>77.8</w:t>
      </w:r>
      <w:r>
        <w:rPr>
          <w:rFonts w:hint="default" w:ascii="Times New Roman" w:hAnsi="Times New Roman" w:eastAsia="仿宋_GB2312" w:cs="Times New Roman"/>
          <w:color w:val="auto"/>
          <w:kern w:val="2"/>
          <w:sz w:val="32"/>
          <w:szCs w:val="32"/>
          <w:highlight w:val="none"/>
          <w:lang w:val="en-US" w:eastAsia="zh-CN" w:bidi="ar-SA"/>
        </w:rPr>
        <w:t>万元，比2023年度减少13.08万元，下降14.39%，主要原因是本年度报废公车，厉行节约</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反对浪费。</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51" w:name="_Toc15377223"/>
      <w:r>
        <w:rPr>
          <w:rFonts w:hint="default" w:ascii="Times New Roman" w:hAnsi="Times New Roman" w:eastAsia="楷体_GB2312" w:cs="Times New Roman"/>
          <w:b/>
          <w:color w:val="auto"/>
          <w:sz w:val="32"/>
          <w:szCs w:val="32"/>
          <w:highlight w:val="none"/>
        </w:rPr>
        <w:t>（二）政府采购支出情况</w:t>
      </w:r>
      <w:bookmarkEnd w:id="51"/>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四川省攀枝花市机关事务服务中心</w:t>
      </w:r>
      <w:r>
        <w:rPr>
          <w:rFonts w:hint="default" w:ascii="Times New Roman" w:hAnsi="Times New Roman" w:eastAsia="仿宋_GB2312" w:cs="Times New Roman"/>
          <w:color w:val="auto"/>
          <w:kern w:val="2"/>
          <w:sz w:val="32"/>
          <w:szCs w:val="32"/>
          <w:highlight w:val="none"/>
          <w:lang w:val="en-US" w:eastAsia="zh-CN" w:bidi="ar-SA"/>
        </w:rPr>
        <w:t>政府采购支出总额</w:t>
      </w:r>
      <w:r>
        <w:rPr>
          <w:rFonts w:hint="default" w:ascii="Times New Roman" w:hAnsi="Times New Roman" w:eastAsia="仿宋_GB2312" w:cs="Times New Roman"/>
          <w:sz w:val="32"/>
          <w:szCs w:val="32"/>
        </w:rPr>
        <w:t>2454.32</w:t>
      </w:r>
      <w:r>
        <w:rPr>
          <w:rFonts w:hint="default" w:ascii="Times New Roman" w:hAnsi="Times New Roman" w:eastAsia="仿宋_GB2312" w:cs="Times New Roman"/>
          <w:color w:val="auto"/>
          <w:kern w:val="2"/>
          <w:sz w:val="32"/>
          <w:szCs w:val="32"/>
          <w:highlight w:val="none"/>
          <w:lang w:val="en-US" w:eastAsia="zh-CN" w:bidi="ar-SA"/>
        </w:rPr>
        <w:t>万元，其中：政府采购货物支出</w:t>
      </w:r>
      <w:r>
        <w:rPr>
          <w:rFonts w:hint="default" w:ascii="Times New Roman" w:hAnsi="Times New Roman" w:eastAsia="仿宋_GB2312" w:cs="Times New Roman"/>
          <w:sz w:val="32"/>
          <w:szCs w:val="32"/>
        </w:rPr>
        <w:t>9.68</w:t>
      </w:r>
      <w:r>
        <w:rPr>
          <w:rFonts w:hint="default" w:ascii="Times New Roman" w:hAnsi="Times New Roman" w:eastAsia="仿宋_GB2312" w:cs="Times New Roman"/>
          <w:color w:val="auto"/>
          <w:kern w:val="2"/>
          <w:sz w:val="32"/>
          <w:szCs w:val="32"/>
          <w:highlight w:val="none"/>
          <w:lang w:val="en-US" w:eastAsia="zh-CN" w:bidi="ar-SA"/>
        </w:rPr>
        <w:t>万元、政府采购工程支出</w:t>
      </w:r>
      <w:r>
        <w:rPr>
          <w:rFonts w:hint="default" w:ascii="Times New Roman" w:hAnsi="Times New Roman" w:eastAsia="仿宋_GB2312" w:cs="Times New Roman"/>
          <w:sz w:val="32"/>
          <w:szCs w:val="32"/>
        </w:rPr>
        <w:t>1292.53</w:t>
      </w:r>
      <w:r>
        <w:rPr>
          <w:rFonts w:hint="default" w:ascii="Times New Roman" w:hAnsi="Times New Roman" w:eastAsia="仿宋_GB2312" w:cs="Times New Roman"/>
          <w:color w:val="auto"/>
          <w:kern w:val="2"/>
          <w:sz w:val="32"/>
          <w:szCs w:val="32"/>
          <w:highlight w:val="none"/>
          <w:lang w:val="en-US" w:eastAsia="zh-CN" w:bidi="ar-SA"/>
        </w:rPr>
        <w:t>万元、政府采购服务支出</w:t>
      </w:r>
      <w:r>
        <w:rPr>
          <w:rFonts w:hint="default" w:ascii="Times New Roman" w:hAnsi="Times New Roman" w:eastAsia="仿宋_GB2312" w:cs="Times New Roman"/>
          <w:sz w:val="32"/>
          <w:szCs w:val="32"/>
        </w:rPr>
        <w:t>1152.11</w:t>
      </w:r>
      <w:r>
        <w:rPr>
          <w:rFonts w:hint="default" w:ascii="Times New Roman" w:hAnsi="Times New Roman" w:eastAsia="仿宋_GB2312" w:cs="Times New Roman"/>
          <w:color w:val="auto"/>
          <w:kern w:val="2"/>
          <w:sz w:val="32"/>
          <w:szCs w:val="32"/>
          <w:highlight w:val="none"/>
          <w:lang w:val="en-US" w:eastAsia="zh-CN" w:bidi="ar-SA"/>
        </w:rPr>
        <w:t>万元。主要用于食堂空调采购、市级办公用房维修改造工程采购、市级食堂餐饮加工服务采购等。授予中小企业合同金额</w:t>
      </w:r>
      <w:r>
        <w:rPr>
          <w:rFonts w:hint="default" w:ascii="Times New Roman" w:hAnsi="Times New Roman" w:eastAsia="仿宋_GB2312" w:cs="Times New Roman"/>
          <w:sz w:val="32"/>
          <w:szCs w:val="32"/>
        </w:rPr>
        <w:t>1542.82</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62.86</w:t>
      </w:r>
      <w:r>
        <w:rPr>
          <w:rFonts w:hint="default" w:ascii="Times New Roman" w:hAnsi="Times New Roman" w:eastAsia="仿宋_GB2312" w:cs="Times New Roman"/>
          <w:color w:val="auto"/>
          <w:kern w:val="2"/>
          <w:sz w:val="32"/>
          <w:szCs w:val="32"/>
          <w:highlight w:val="none"/>
          <w:lang w:val="en-US" w:eastAsia="zh-CN" w:bidi="ar-SA"/>
        </w:rPr>
        <w:t>%，其中：授予小微企业合同金额</w:t>
      </w:r>
      <w:r>
        <w:rPr>
          <w:rFonts w:hint="default" w:ascii="Times New Roman" w:hAnsi="Times New Roman" w:eastAsia="仿宋_GB2312" w:cs="Times New Roman"/>
          <w:sz w:val="32"/>
          <w:szCs w:val="32"/>
        </w:rPr>
        <w:t>1486.66</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60.57</w:t>
      </w:r>
      <w:r>
        <w:rPr>
          <w:rFonts w:hint="default" w:ascii="Times New Roman" w:hAnsi="Times New Roman" w:eastAsia="仿宋_GB2312" w:cs="Times New Roman"/>
          <w:color w:val="auto"/>
          <w:kern w:val="2"/>
          <w:sz w:val="32"/>
          <w:szCs w:val="32"/>
          <w:highlight w:val="none"/>
          <w:lang w:val="en-US" w:eastAsia="zh-CN" w:bidi="ar-SA"/>
        </w:rPr>
        <w:t>%。</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bookmarkStart w:id="52" w:name="_Toc15377224"/>
      <w:r>
        <w:rPr>
          <w:rFonts w:hint="default" w:ascii="Times New Roman" w:hAnsi="Times New Roman" w:eastAsia="楷体_GB2312" w:cs="Times New Roman"/>
          <w:b/>
          <w:color w:val="auto"/>
          <w:sz w:val="32"/>
          <w:szCs w:val="32"/>
          <w:highlight w:val="none"/>
        </w:rPr>
        <w:t>（三）国有资产占有使用情况</w:t>
      </w:r>
      <w:bookmarkEnd w:id="52"/>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截至2024年12月31日，</w:t>
      </w:r>
      <w:r>
        <w:rPr>
          <w:rFonts w:hint="default" w:ascii="Times New Roman" w:hAnsi="Times New Roman" w:eastAsia="仿宋_GB2312" w:cs="Times New Roman"/>
          <w:sz w:val="32"/>
          <w:szCs w:val="32"/>
        </w:rPr>
        <w:t>四川省攀枝花市机关事务服务中心</w:t>
      </w:r>
      <w:r>
        <w:rPr>
          <w:rFonts w:hint="default" w:ascii="Times New Roman" w:hAnsi="Times New Roman" w:eastAsia="仿宋_GB2312" w:cs="Times New Roman"/>
          <w:color w:val="auto"/>
          <w:kern w:val="2"/>
          <w:sz w:val="32"/>
          <w:szCs w:val="32"/>
          <w:highlight w:val="none"/>
          <w:lang w:val="en-US" w:eastAsia="zh-CN" w:bidi="ar-SA"/>
        </w:rPr>
        <w:t>共有车辆</w:t>
      </w:r>
      <w:r>
        <w:rPr>
          <w:rFonts w:hint="default" w:ascii="Times New Roman" w:hAnsi="Times New Roman" w:eastAsia="仿宋_GB2312" w:cs="Times New Roman"/>
          <w:sz w:val="32"/>
          <w:szCs w:val="32"/>
        </w:rPr>
        <w:t>10</w:t>
      </w:r>
      <w:r>
        <w:rPr>
          <w:rFonts w:hint="default" w:ascii="Times New Roman" w:hAnsi="Times New Roman" w:eastAsia="仿宋_GB2312" w:cs="Times New Roman"/>
          <w:color w:val="auto"/>
          <w:kern w:val="2"/>
          <w:sz w:val="32"/>
          <w:szCs w:val="32"/>
          <w:highlight w:val="none"/>
          <w:lang w:val="en-US" w:eastAsia="zh-CN" w:bidi="ar-SA"/>
        </w:rPr>
        <w:t>辆，其中：主要负责人用车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辆、机要通信用车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辆、应急保障用车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辆、其他用车</w:t>
      </w:r>
      <w:r>
        <w:rPr>
          <w:rFonts w:hint="default" w:ascii="Times New Roman" w:hAnsi="Times New Roman" w:eastAsia="仿宋_GB2312" w:cs="Times New Roman"/>
          <w:sz w:val="32"/>
          <w:szCs w:val="32"/>
        </w:rPr>
        <w:t>10</w:t>
      </w:r>
      <w:r>
        <w:rPr>
          <w:rFonts w:hint="default" w:ascii="Times New Roman" w:hAnsi="Times New Roman" w:eastAsia="仿宋_GB2312" w:cs="Times New Roman"/>
          <w:color w:val="auto"/>
          <w:kern w:val="2"/>
          <w:sz w:val="32"/>
          <w:szCs w:val="32"/>
          <w:highlight w:val="none"/>
          <w:lang w:val="en-US" w:eastAsia="zh-CN" w:bidi="ar-SA"/>
        </w:rPr>
        <w:t>辆，其他用车主要是用于</w:t>
      </w:r>
      <w:r>
        <w:rPr>
          <w:rFonts w:hint="default" w:ascii="Times New Roman" w:hAnsi="Times New Roman" w:eastAsia="仿宋" w:cs="Times New Roman"/>
          <w:color w:val="auto"/>
          <w:sz w:val="32"/>
          <w:szCs w:val="32"/>
        </w:rPr>
        <w:t>保障市级24家无车单位</w:t>
      </w:r>
      <w:r>
        <w:rPr>
          <w:rFonts w:hint="default" w:ascii="Times New Roman" w:hAnsi="Times New Roman" w:eastAsia="仿宋" w:cs="Times New Roman"/>
          <w:color w:val="auto"/>
          <w:sz w:val="32"/>
          <w:szCs w:val="32"/>
          <w:lang w:eastAsia="zh-CN"/>
        </w:rPr>
        <w:t>用车</w:t>
      </w:r>
      <w:r>
        <w:rPr>
          <w:rFonts w:hint="default" w:ascii="Times New Roman" w:hAnsi="Times New Roman" w:eastAsia="仿宋_GB2312" w:cs="Times New Roman"/>
          <w:color w:val="auto"/>
          <w:kern w:val="2"/>
          <w:sz w:val="32"/>
          <w:szCs w:val="32"/>
          <w:highlight w:val="none"/>
          <w:lang w:val="en-US" w:eastAsia="zh-CN" w:bidi="ar-SA"/>
        </w:rPr>
        <w:t>。单价100万元（含）以上设备（不含车辆）</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台（套）。</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pPr>
        <w:spacing w:line="600" w:lineRule="exact"/>
        <w:ind w:firstLine="642"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（四）预算绩效管理情况</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根据预算绩效管理要求，市机关事务服务中心在2024年度预算编制阶段，组织对2024年机关食堂专项、市级党政机关办公（业务）用房年度维修工程计划、市级党政机关租赁办公用房等14个项目开展了预算事前绩效评估，对13个项目编制了绩效目标，预算执行过程中，选取13个项目开展绩效监控。</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pPr>
        <w:rPr>
          <w:rFonts w:hint="default" w:ascii="Times New Roman" w:hAnsi="Times New Roman" w:eastAsia="黑体" w:cs="Times New Roman"/>
          <w:color w:val="auto"/>
          <w:sz w:val="44"/>
          <w:szCs w:val="44"/>
          <w:highlight w:val="none"/>
        </w:rPr>
      </w:pPr>
      <w:bookmarkStart w:id="53" w:name="_Toc15396613"/>
      <w:bookmarkStart w:id="54" w:name="_Toc15377225"/>
      <w:r>
        <w:rPr>
          <w:rFonts w:hint="default" w:ascii="Times New Roman" w:hAnsi="Times New Roman" w:eastAsia="黑体" w:cs="Times New Roman"/>
          <w:color w:val="auto"/>
          <w:sz w:val="44"/>
          <w:szCs w:val="44"/>
          <w:highlight w:val="none"/>
        </w:rPr>
        <w:br w:type="page"/>
      </w: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r>
        <w:rPr>
          <w:rFonts w:hint="default" w:ascii="Times New Roman" w:hAnsi="Times New Roman" w:eastAsia="黑体" w:cs="Times New Roman"/>
          <w:color w:val="auto"/>
          <w:sz w:val="44"/>
          <w:szCs w:val="44"/>
          <w:highlight w:val="none"/>
        </w:rPr>
        <w:t>第</w:t>
      </w:r>
      <w:r>
        <w:rPr>
          <w:rFonts w:hint="default" w:ascii="Times New Roman" w:hAnsi="Times New Roman" w:eastAsia="黑体" w:cs="Times New Roman"/>
          <w:color w:val="auto"/>
          <w:sz w:val="44"/>
          <w:szCs w:val="44"/>
          <w:highlight w:val="none"/>
          <w:lang w:eastAsia="zh-CN"/>
        </w:rPr>
        <w:t>三</w:t>
      </w:r>
      <w:r>
        <w:rPr>
          <w:rFonts w:hint="default" w:ascii="Times New Roman" w:hAnsi="Times New Roman" w:eastAsia="黑体" w:cs="Times New Roman"/>
          <w:color w:val="auto"/>
          <w:sz w:val="44"/>
          <w:szCs w:val="44"/>
          <w:highlight w:val="none"/>
        </w:rPr>
        <w:t>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名词解释</w:t>
      </w:r>
      <w:bookmarkEnd w:id="53"/>
      <w:bookmarkEnd w:id="54"/>
    </w:p>
    <w:p>
      <w:pPr>
        <w:spacing w:line="600" w:lineRule="exact"/>
        <w:jc w:val="left"/>
        <w:rPr>
          <w:rFonts w:hint="default" w:ascii="Times New Roman" w:hAnsi="Times New Roman" w:cs="Times New Roman"/>
          <w:b/>
          <w:color w:val="auto"/>
          <w:sz w:val="44"/>
          <w:szCs w:val="44"/>
          <w:highlight w:val="none"/>
        </w:rPr>
      </w:pP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1.财政拨款收入：指单位从同级财政部门取得的财政预算资金。</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2.事业收入：指事业单位开展专业业务活动及辅助活动取得的收入。</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3.经营收入：指事业单位在专业业务活动及其辅助活动之外开展非独立核算经营活动取得的收入。</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4.其他收入：指单位取得的除上述收入以外的各项收入。 </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5.使用非财政拨款结余（含专用结余）：指事业单位使用以前年度积累的非财政拨款结余弥补当年收支差额的金额。 </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6.年初结转和结余：指以前年度尚未完成、结转到本年按有关规定继续使用的资金。 </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7.结余分配：指事业单位按照会计制度规定缴纳的所得税、提取的专用结余以及转入非财政拨款结余的金额等。</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8.年末结转和结余：指单位按有关规定结转到下年或以后年度继续使用的资金。</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9.一般公共服务（类）政府办公厅（室）及相关机构事务（款）行政运行（项）:反映行政单位（包括实行公务员管理的事业单位）的基本支出。</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10.一般公共服务（类）政府办公厅（室）及相关机构事务（款）一般行政管理事务（项）：反映行政单位（包括实行公务员管理的事业单位）未单独设置项级科目的其他项目支出。</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11.一般公共服务（类）政府办公厅（室）及相关机构事务（款）事业运行（项）：反映事业单位的基本支出，不包括行政单位（包括实行公务员管理的事业单位）后勤服务中心、医务室等附属事业单位</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12.社会保障和就业（类）行政事业单位养老（款）行政单位离退休（项）：反映行政单位（包括实行公务员管理的事业单位）开支的离退休经费。</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13.社会保障和就业（类）行政事业单位养老（款）机关事业单位基本养老保险缴费（项）：反映机关事业单位实施养老保险制度由单位缴纳的基本养老保险费支出。</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14、卫生健康（类）行政事业单位医疗（款）行政单位医疗（项）：指财政部门集中安排的行政单位基本医疗保险缴费。</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15、卫生健康（类）行政事业单位医疗（款）事业单位医疗（项）：指财政部门集中安排的事业单位基本医疗保险缴费。</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16、卫生健康（类）行政事业单位医疗（款）公务员医疗补助（项）：指财政部门集中安排的公务员医疗补助经费。</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18.</w:t>
      </w:r>
      <w:r>
        <w:rPr>
          <w:rFonts w:hint="default" w:ascii="Times New Roman" w:hAnsi="Times New Roman" w:eastAsia="仿宋_GB2312" w:cs="Times New Roman"/>
          <w:color w:val="auto"/>
          <w:sz w:val="32"/>
          <w:szCs w:val="32"/>
          <w:highlight w:val="none"/>
        </w:rPr>
        <w:t>住房保障（类）住房改革（款）住房公积金（项）：</w:t>
      </w:r>
      <w:r>
        <w:rPr>
          <w:rFonts w:hint="default" w:ascii="Times New Roman" w:hAnsi="Times New Roman" w:eastAsia="仿宋_GB2312" w:cs="Times New Roman"/>
          <w:color w:val="auto"/>
          <w:sz w:val="32"/>
          <w:szCs w:val="32"/>
          <w:highlight w:val="none"/>
          <w:lang w:eastAsia="zh-CN"/>
        </w:rPr>
        <w:t>反映行政事业单位按人力资源和社会保障部、财政部规定的基本工资和津贴补贴以及规定比例为职工缴纳的住房公积金</w:t>
      </w:r>
      <w:r>
        <w:rPr>
          <w:rFonts w:hint="default" w:ascii="Times New Roman" w:hAnsi="Times New Roman" w:eastAsia="仿宋_GB2312" w:cs="Times New Roman"/>
          <w:color w:val="auto"/>
          <w:sz w:val="32"/>
          <w:szCs w:val="32"/>
          <w:highlight w:val="none"/>
        </w:rPr>
        <w:t>。</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19.基本支出：指为保障机构正常运转、完成日常工作任务而发生的人员支出和公用支出。</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20.项目支出：指在基本支出之外为完成特定行政任务和事业发展目标所发生的支出。 </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21.经营支出：指事业单位在专业业务活动及其辅助活动之外开展非独立核算经营活动发生的支出。</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Style w:val="30"/>
          <w:rFonts w:hint="default" w:ascii="Times New Roman" w:hAnsi="Times New Roman" w:eastAsia="黑体" w:cs="Times New Roman"/>
          <w:b w:val="0"/>
          <w:color w:val="auto"/>
          <w:highlight w:val="none"/>
          <w:lang w:eastAsia="zh-CN"/>
        </w:rPr>
      </w:pPr>
      <w:bookmarkStart w:id="55" w:name="_Toc15377226"/>
      <w:r>
        <w:rPr>
          <w:rFonts w:hint="default" w:ascii="Times New Roman" w:hAnsi="Times New Roman" w:eastAsia="仿宋_GB2312" w:cs="Times New Roman"/>
          <w:color w:val="auto"/>
          <w:kern w:val="2"/>
          <w:sz w:val="32"/>
          <w:szCs w:val="32"/>
          <w:highlight w:val="none"/>
          <w:lang w:val="en-US" w:eastAsia="zh-CN" w:bidi="ar-SA"/>
        </w:rPr>
        <w:br w:type="page"/>
      </w:r>
      <w:bookmarkStart w:id="56" w:name="_Toc15396614"/>
      <w:r>
        <w:rPr>
          <w:rFonts w:hint="default" w:ascii="Times New Roman" w:hAnsi="Times New Roman" w:eastAsia="黑体" w:cs="Times New Roman"/>
          <w:color w:val="auto"/>
          <w:sz w:val="44"/>
          <w:szCs w:val="44"/>
          <w:highlight w:val="none"/>
        </w:rPr>
        <w:t>第四部分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 xml:space="preserve"> 附件</w:t>
      </w:r>
      <w:bookmarkEnd w:id="56"/>
    </w:p>
    <w:p>
      <w:pPr>
        <w:pStyle w:val="8"/>
        <w:keepNext w:val="0"/>
        <w:keepLines w:val="0"/>
        <w:pageBreakBefore w:val="0"/>
        <w:numPr>
          <w:ilvl w:val="0"/>
          <w:numId w:val="0"/>
        </w:numPr>
        <w:kinsoku/>
        <w:wordWrap/>
        <w:overflowPunct/>
        <w:topLinePunct w:val="0"/>
        <w:autoSpaceDE/>
        <w:autoSpaceDN/>
        <w:bidi w:val="0"/>
        <w:spacing w:line="560" w:lineRule="exact"/>
        <w:textAlignment w:val="auto"/>
        <w:rPr>
          <w:rFonts w:hint="default" w:ascii="Times New Roman" w:hAnsi="Times New Roman" w:eastAsia="仿宋_GB2312" w:cs="Times New Roman"/>
          <w:color w:val="auto"/>
          <w:kern w:val="2"/>
          <w:sz w:val="32"/>
          <w:szCs w:val="32"/>
          <w:u w:val="none"/>
          <w:lang w:val="zh-CN" w:eastAsia="zh-CN" w:bidi="ar"/>
        </w:rPr>
      </w:pPr>
    </w:p>
    <w:p>
      <w:pPr>
        <w:pStyle w:val="8"/>
        <w:keepNext w:val="0"/>
        <w:keepLines w:val="0"/>
        <w:pageBreakBefore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eastAsia="仿宋_GB2312" w:cs="Times New Roman"/>
          <w:color w:val="auto"/>
          <w:kern w:val="2"/>
          <w:sz w:val="32"/>
          <w:szCs w:val="32"/>
          <w:u w:val="none"/>
          <w:lang w:val="zh-CN" w:eastAsia="zh-CN" w:bidi="ar"/>
        </w:rPr>
      </w:pPr>
      <w:r>
        <w:rPr>
          <w:rFonts w:hint="eastAsia" w:ascii="Times New Roman" w:eastAsia="仿宋_GB2312" w:cs="Times New Roman"/>
          <w:color w:val="auto"/>
          <w:kern w:val="2"/>
          <w:sz w:val="32"/>
          <w:szCs w:val="32"/>
          <w:u w:val="none"/>
          <w:lang w:val="zh-CN" w:eastAsia="zh-CN" w:bidi="ar"/>
        </w:rPr>
        <w:t>单位</w:t>
      </w:r>
      <w:r>
        <w:rPr>
          <w:rFonts w:hint="default" w:ascii="Times New Roman" w:hAnsi="Times New Roman" w:eastAsia="仿宋_GB2312" w:cs="Times New Roman"/>
          <w:color w:val="auto"/>
          <w:kern w:val="2"/>
          <w:sz w:val="32"/>
          <w:szCs w:val="32"/>
          <w:u w:val="none"/>
          <w:lang w:val="en-US" w:eastAsia="zh-CN" w:bidi="ar"/>
        </w:rPr>
        <w:t>预算项目支出绩效自评表（2024年度）</w:t>
      </w:r>
      <w:r>
        <w:rPr>
          <w:rFonts w:hint="eastAsia" w:ascii="Times New Roman" w:eastAsia="仿宋_GB2312" w:cs="Times New Roman"/>
          <w:color w:val="auto"/>
          <w:kern w:val="2"/>
          <w:sz w:val="32"/>
          <w:szCs w:val="32"/>
          <w:u w:val="none"/>
          <w:lang w:val="en-US" w:eastAsia="zh-CN" w:bidi="ar"/>
        </w:rPr>
        <w:t>（见公开附件3）</w:t>
      </w:r>
    </w:p>
    <w:p>
      <w:pPr>
        <w:pStyle w:val="8"/>
        <w:keepNext w:val="0"/>
        <w:keepLines w:val="0"/>
        <w:pageBreakBefore w:val="0"/>
        <w:numPr>
          <w:ilvl w:val="0"/>
          <w:numId w:val="0"/>
        </w:numPr>
        <w:kinsoku/>
        <w:wordWrap/>
        <w:overflowPunct/>
        <w:topLinePunct w:val="0"/>
        <w:autoSpaceDE/>
        <w:autoSpaceDN/>
        <w:bidi w:val="0"/>
        <w:spacing w:line="560" w:lineRule="exact"/>
        <w:textAlignment w:val="auto"/>
        <w:rPr>
          <w:rFonts w:hint="default" w:ascii="Times New Roman" w:hAnsi="Times New Roman" w:cs="Times New Roman"/>
          <w:sz w:val="32"/>
          <w:szCs w:val="32"/>
          <w:highlight w:val="yellow"/>
          <w:lang w:val="zh-CN" w:eastAsia="zh-CN"/>
        </w:rPr>
      </w:pPr>
    </w:p>
    <w:p>
      <w:pPr>
        <w:pStyle w:val="6"/>
        <w:rPr>
          <w:rFonts w:hint="default" w:ascii="Times New Roman" w:hAnsi="Times New Roman" w:cs="Times New Roman"/>
          <w:color w:val="FF0000"/>
          <w:kern w:val="0"/>
          <w:sz w:val="32"/>
          <w:szCs w:val="32"/>
          <w:highlight w:val="yellow"/>
          <w:shd w:val="clear" w:color="auto" w:fill="FFFFFF"/>
          <w:lang w:val="zh-CN"/>
        </w:rPr>
      </w:pPr>
    </w:p>
    <w:p>
      <w:pPr>
        <w:rPr>
          <w:rFonts w:hint="default" w:ascii="Times New Roman" w:hAnsi="Times New Roman" w:eastAsia="仿宋_GB2312" w:cs="Times New Roman"/>
          <w:b w:val="0"/>
          <w:bCs w:val="0"/>
          <w:kern w:val="0"/>
          <w:position w:val="0"/>
          <w:sz w:val="32"/>
          <w:szCs w:val="32"/>
          <w:highlight w:val="none"/>
          <w:lang w:val="en-US" w:eastAsia="zh-CN" w:bidi="ar-SA"/>
        </w:rPr>
      </w:pPr>
      <w:bookmarkStart w:id="57" w:name="_Toc15396618"/>
      <w:r>
        <w:rPr>
          <w:rFonts w:hint="default" w:ascii="Times New Roman" w:hAnsi="Times New Roman" w:eastAsia="仿宋_GB2312" w:cs="Times New Roman"/>
          <w:b w:val="0"/>
          <w:bCs w:val="0"/>
          <w:kern w:val="0"/>
          <w:position w:val="0"/>
          <w:sz w:val="32"/>
          <w:szCs w:val="32"/>
          <w:highlight w:val="none"/>
          <w:lang w:val="en-US" w:eastAsia="zh-CN" w:bidi="ar-SA"/>
        </w:rPr>
        <w:br w:type="page"/>
      </w:r>
    </w:p>
    <w:p>
      <w:pPr>
        <w:widowControl/>
        <w:jc w:val="center"/>
        <w:rPr>
          <w:rFonts w:hint="default" w:ascii="Times New Roman" w:hAnsi="Times New Roman" w:eastAsia="仿宋" w:cs="Times New Roman"/>
          <w:b w:val="0"/>
          <w:color w:val="auto"/>
          <w:highlight w:val="none"/>
        </w:rPr>
      </w:pPr>
      <w:r>
        <w:rPr>
          <w:rFonts w:hint="default" w:ascii="Times New Roman" w:hAnsi="Times New Roman" w:eastAsia="黑体" w:cs="Times New Roman"/>
          <w:color w:val="auto"/>
          <w:sz w:val="44"/>
          <w:szCs w:val="44"/>
          <w:highlight w:val="none"/>
        </w:rPr>
        <w:t>第</w:t>
      </w:r>
      <w:r>
        <w:rPr>
          <w:rStyle w:val="30"/>
          <w:rFonts w:hint="default" w:ascii="Times New Roman" w:hAnsi="Times New Roman" w:eastAsia="黑体" w:cs="Times New Roman"/>
          <w:b w:val="0"/>
          <w:color w:val="auto"/>
          <w:highlight w:val="none"/>
        </w:rPr>
        <w:t>五部分 附表</w:t>
      </w:r>
      <w:bookmarkEnd w:id="55"/>
      <w:bookmarkEnd w:id="57"/>
      <w:bookmarkStart w:id="58" w:name="_Toc1539661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一、收入支出决算总表</w:t>
      </w:r>
      <w:bookmarkEnd w:id="58"/>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9" w:name="_Toc15396620"/>
      <w:r>
        <w:rPr>
          <w:rFonts w:hint="default" w:ascii="Times New Roman" w:hAnsi="Times New Roman" w:eastAsia="仿宋_GB2312" w:cs="Times New Roman"/>
          <w:color w:val="auto"/>
          <w:sz w:val="32"/>
          <w:szCs w:val="32"/>
          <w:highlight w:val="none"/>
        </w:rPr>
        <w:t>二、收入决算表</w:t>
      </w:r>
      <w:bookmarkEnd w:id="5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0" w:name="_Toc15396621"/>
      <w:r>
        <w:rPr>
          <w:rFonts w:hint="default" w:ascii="Times New Roman" w:hAnsi="Times New Roman" w:eastAsia="仿宋_GB2312" w:cs="Times New Roman"/>
          <w:color w:val="auto"/>
          <w:sz w:val="32"/>
          <w:szCs w:val="32"/>
          <w:highlight w:val="none"/>
        </w:rPr>
        <w:t>三、支出决算表</w:t>
      </w:r>
      <w:bookmarkEnd w:id="60"/>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1" w:name="_Toc15396622"/>
      <w:r>
        <w:rPr>
          <w:rFonts w:hint="default" w:ascii="Times New Roman" w:hAnsi="Times New Roman" w:eastAsia="仿宋_GB2312" w:cs="Times New Roman"/>
          <w:color w:val="auto"/>
          <w:sz w:val="32"/>
          <w:szCs w:val="32"/>
          <w:highlight w:val="none"/>
        </w:rPr>
        <w:t>四、财政拨款收入支出决算总表</w:t>
      </w:r>
      <w:bookmarkEnd w:id="61"/>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2" w:name="_Toc15396623"/>
      <w:r>
        <w:rPr>
          <w:rFonts w:hint="default" w:ascii="Times New Roman" w:hAnsi="Times New Roman" w:eastAsia="仿宋_GB2312" w:cs="Times New Roman"/>
          <w:color w:val="auto"/>
          <w:sz w:val="32"/>
          <w:szCs w:val="32"/>
          <w:highlight w:val="none"/>
        </w:rPr>
        <w:t>五、财政拨款支出决算明细表</w:t>
      </w:r>
      <w:bookmarkEnd w:id="62"/>
      <w:bookmarkStart w:id="63" w:name="_Toc15396624"/>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六、一般公共预算财政拨款支出决算表</w:t>
      </w:r>
      <w:bookmarkEnd w:id="63"/>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4" w:name="_Toc15396625"/>
      <w:r>
        <w:rPr>
          <w:rFonts w:hint="default" w:ascii="Times New Roman" w:hAnsi="Times New Roman" w:eastAsia="仿宋_GB2312" w:cs="Times New Roman"/>
          <w:color w:val="auto"/>
          <w:sz w:val="32"/>
          <w:szCs w:val="32"/>
          <w:highlight w:val="none"/>
        </w:rPr>
        <w:t>七、一般公共预算财政拨款支出决算明细表</w:t>
      </w:r>
      <w:bookmarkEnd w:id="64"/>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5" w:name="_Toc15396626"/>
      <w:r>
        <w:rPr>
          <w:rFonts w:hint="default" w:ascii="Times New Roman" w:hAnsi="Times New Roman" w:eastAsia="仿宋_GB2312" w:cs="Times New Roman"/>
          <w:color w:val="auto"/>
          <w:sz w:val="32"/>
          <w:szCs w:val="32"/>
          <w:highlight w:val="none"/>
        </w:rPr>
        <w:t>八、一般公共预算财政拨款基本支出决算表</w:t>
      </w:r>
      <w:bookmarkEnd w:id="65"/>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6" w:name="_Toc15396627"/>
      <w:r>
        <w:rPr>
          <w:rFonts w:hint="default" w:ascii="Times New Roman" w:hAnsi="Times New Roman" w:eastAsia="仿宋_GB2312" w:cs="Times New Roman"/>
          <w:color w:val="auto"/>
          <w:sz w:val="32"/>
          <w:szCs w:val="32"/>
          <w:highlight w:val="none"/>
        </w:rPr>
        <w:t>九、一般公共预算财政拨款项目支出决算表</w:t>
      </w:r>
      <w:bookmarkEnd w:id="66"/>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7" w:name="_Toc15396628"/>
      <w:r>
        <w:rPr>
          <w:rFonts w:hint="default" w:ascii="Times New Roman" w:hAnsi="Times New Roman" w:eastAsia="仿宋_GB2312" w:cs="Times New Roman"/>
          <w:color w:val="auto"/>
          <w:sz w:val="32"/>
          <w:szCs w:val="32"/>
          <w:highlight w:val="none"/>
        </w:rPr>
        <w:t>十、</w:t>
      </w:r>
      <w:bookmarkEnd w:id="67"/>
      <w:r>
        <w:rPr>
          <w:rFonts w:hint="default" w:ascii="Times New Roman" w:hAnsi="Times New Roman" w:eastAsia="仿宋_GB2312" w:cs="Times New Roman"/>
          <w:color w:val="auto"/>
          <w:sz w:val="32"/>
          <w:szCs w:val="32"/>
          <w:highlight w:val="none"/>
        </w:rPr>
        <w:t>政府性基金预算财政拨款收入支出决算表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8" w:name="_Toc15396629"/>
      <w:r>
        <w:rPr>
          <w:rFonts w:hint="default" w:ascii="Times New Roman" w:hAnsi="Times New Roman" w:eastAsia="仿宋_GB2312" w:cs="Times New Roman"/>
          <w:color w:val="auto"/>
          <w:sz w:val="32"/>
          <w:szCs w:val="32"/>
          <w:highlight w:val="none"/>
        </w:rPr>
        <w:t>十一、</w:t>
      </w:r>
      <w:bookmarkEnd w:id="68"/>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财政拨款收入</w:t>
      </w:r>
      <w:r>
        <w:rPr>
          <w:rFonts w:hint="default" w:ascii="Times New Roman" w:hAnsi="Times New Roman" w:eastAsia="仿宋_GB2312" w:cs="Times New Roman"/>
          <w:color w:val="auto"/>
          <w:sz w:val="32"/>
          <w:szCs w:val="32"/>
          <w:highlight w:val="none"/>
        </w:rPr>
        <w:t>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9" w:name="_Toc15396630"/>
      <w:r>
        <w:rPr>
          <w:rFonts w:hint="default" w:ascii="Times New Roman" w:hAnsi="Times New Roman" w:eastAsia="仿宋_GB2312" w:cs="Times New Roman"/>
          <w:color w:val="auto"/>
          <w:sz w:val="32"/>
          <w:szCs w:val="32"/>
          <w:highlight w:val="none"/>
        </w:rPr>
        <w:t>十二、</w:t>
      </w:r>
      <w:bookmarkEnd w:id="69"/>
      <w:r>
        <w:rPr>
          <w:rFonts w:hint="default" w:ascii="Times New Roman" w:hAnsi="Times New Roman" w:eastAsia="仿宋_GB2312" w:cs="Times New Roman"/>
          <w:color w:val="auto"/>
          <w:sz w:val="32"/>
          <w:szCs w:val="32"/>
          <w:highlight w:val="none"/>
          <w:lang w:eastAsia="zh-CN"/>
        </w:rPr>
        <w:t>国有资本经营预算财政拨款支出决算表</w:t>
      </w: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lang w:eastAsia="zh-CN"/>
        </w:rPr>
      </w:pPr>
      <w:bookmarkStart w:id="70" w:name="_Toc15396631"/>
      <w:r>
        <w:rPr>
          <w:rFonts w:hint="default" w:ascii="Times New Roman" w:hAnsi="Times New Roman" w:eastAsia="仿宋_GB2312" w:cs="Times New Roman"/>
          <w:color w:val="auto"/>
          <w:sz w:val="32"/>
          <w:szCs w:val="32"/>
          <w:highlight w:val="none"/>
        </w:rPr>
        <w:t>十三、</w:t>
      </w:r>
      <w:bookmarkEnd w:id="70"/>
      <w:r>
        <w:rPr>
          <w:rFonts w:hint="default" w:ascii="Times New Roman" w:hAnsi="Times New Roman" w:eastAsia="仿宋_GB2312" w:cs="Times New Roman"/>
          <w:color w:val="auto"/>
          <w:sz w:val="32"/>
          <w:szCs w:val="32"/>
          <w:highlight w:val="none"/>
          <w:lang w:eastAsia="zh-CN"/>
        </w:rPr>
        <w:t>财政拨款“三公”经费支出决算表</w:t>
      </w:r>
    </w:p>
    <w:p>
      <w:pPr>
        <w:rPr>
          <w:rFonts w:hint="default" w:ascii="Times New Roman" w:hAnsi="Times New Roman" w:cs="Times New Roman"/>
          <w:lang w:eastAsia="zh-CN"/>
        </w:rPr>
      </w:pPr>
    </w:p>
    <w:sectPr>
      <w:footerReference r:id="rId9" w:type="first"/>
      <w:footerReference r:id="rId8"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方正兰亭黑_GBK">
    <w:panose1 w:val="02000000000000000000"/>
    <w:charset w:val="86"/>
    <w:family w:val="script"/>
    <w:pitch w:val="default"/>
    <w:sig w:usb0="A00002BF" w:usb1="3ACF7CFA" w:usb2="00080016" w:usb3="00000000" w:csb0="00040001" w:csb1="00000000"/>
  </w:font>
  <w:font w:name="方正仿宋_GBK">
    <w:panose1 w:val="02000000000000000000"/>
    <w:charset w:val="86"/>
    <w:family w:val="script"/>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E3D4F"/>
    <w:multiLevelType w:val="singleLevel"/>
    <w:tmpl w:val="AFFE3D4F"/>
    <w:lvl w:ilvl="0" w:tentative="0">
      <w:start w:val="1"/>
      <w:numFmt w:val="chineseCounting"/>
      <w:suff w:val="nothing"/>
      <w:lvlText w:val="%1、"/>
      <w:lvlJc w:val="left"/>
      <w:rPr>
        <w:rFonts w:hint="eastAsia"/>
      </w:rPr>
    </w:lvl>
  </w:abstractNum>
  <w:abstractNum w:abstractNumId="1">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A3E3DFC"/>
    <w:rsid w:val="1BE8440E"/>
    <w:rsid w:val="1D155CEE"/>
    <w:rsid w:val="1D1638FE"/>
    <w:rsid w:val="1DED2F97"/>
    <w:rsid w:val="1E312DEB"/>
    <w:rsid w:val="1E740ACF"/>
    <w:rsid w:val="1F7F987D"/>
    <w:rsid w:val="1FF35744"/>
    <w:rsid w:val="1FF6BC77"/>
    <w:rsid w:val="2186353C"/>
    <w:rsid w:val="23860B96"/>
    <w:rsid w:val="240371BF"/>
    <w:rsid w:val="244F3473"/>
    <w:rsid w:val="24C97D99"/>
    <w:rsid w:val="25A718F0"/>
    <w:rsid w:val="25BB59F6"/>
    <w:rsid w:val="260F557C"/>
    <w:rsid w:val="26970054"/>
    <w:rsid w:val="281408E2"/>
    <w:rsid w:val="29FD04D3"/>
    <w:rsid w:val="2B3E2A50"/>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439021"/>
    <w:rsid w:val="3F55381A"/>
    <w:rsid w:val="3F778510"/>
    <w:rsid w:val="3F7F7599"/>
    <w:rsid w:val="3FD7050B"/>
    <w:rsid w:val="3FDE3156"/>
    <w:rsid w:val="3FF4CAE0"/>
    <w:rsid w:val="3FF7B227"/>
    <w:rsid w:val="3FFE07F4"/>
    <w:rsid w:val="44E268DA"/>
    <w:rsid w:val="450D13D7"/>
    <w:rsid w:val="45506656"/>
    <w:rsid w:val="47BB65AD"/>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CD3F2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7F027E"/>
    <w:rsid w:val="698D0931"/>
    <w:rsid w:val="6A7FE5F3"/>
    <w:rsid w:val="6B053271"/>
    <w:rsid w:val="6BBEC303"/>
    <w:rsid w:val="6BDD78B3"/>
    <w:rsid w:val="6BECB5C9"/>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9FAAE8"/>
    <w:rsid w:val="73AB61DA"/>
    <w:rsid w:val="73AD73D5"/>
    <w:rsid w:val="73B6EB34"/>
    <w:rsid w:val="73FA497D"/>
    <w:rsid w:val="744731E5"/>
    <w:rsid w:val="74BBD01D"/>
    <w:rsid w:val="74ED5379"/>
    <w:rsid w:val="75BFA2EE"/>
    <w:rsid w:val="75DEEEC2"/>
    <w:rsid w:val="75E32345"/>
    <w:rsid w:val="76E3355F"/>
    <w:rsid w:val="76F920D2"/>
    <w:rsid w:val="76FF5125"/>
    <w:rsid w:val="776F6FFA"/>
    <w:rsid w:val="778769C8"/>
    <w:rsid w:val="77A75DCA"/>
    <w:rsid w:val="77DC22F5"/>
    <w:rsid w:val="77EF12C0"/>
    <w:rsid w:val="783E271A"/>
    <w:rsid w:val="78616DE9"/>
    <w:rsid w:val="78E875D7"/>
    <w:rsid w:val="79086DAD"/>
    <w:rsid w:val="79D7FD79"/>
    <w:rsid w:val="79EE5BA4"/>
    <w:rsid w:val="7A894339"/>
    <w:rsid w:val="7AD284E8"/>
    <w:rsid w:val="7AFF7572"/>
    <w:rsid w:val="7B1F75D6"/>
    <w:rsid w:val="7B67F210"/>
    <w:rsid w:val="7B6C7DFB"/>
    <w:rsid w:val="7BBFBED0"/>
    <w:rsid w:val="7BC3E394"/>
    <w:rsid w:val="7C1F3737"/>
    <w:rsid w:val="7CBFC87B"/>
    <w:rsid w:val="7CFE0F48"/>
    <w:rsid w:val="7D272ABC"/>
    <w:rsid w:val="7D7EC23E"/>
    <w:rsid w:val="7E4615FC"/>
    <w:rsid w:val="7E8ADEBF"/>
    <w:rsid w:val="7EAF32C7"/>
    <w:rsid w:val="7EEF11D3"/>
    <w:rsid w:val="7EFE4840"/>
    <w:rsid w:val="7F0971A6"/>
    <w:rsid w:val="7F1D62E7"/>
    <w:rsid w:val="7F3F679B"/>
    <w:rsid w:val="7F4FC4EF"/>
    <w:rsid w:val="7F5E4D54"/>
    <w:rsid w:val="7F689E6F"/>
    <w:rsid w:val="7F6E0135"/>
    <w:rsid w:val="7F79F205"/>
    <w:rsid w:val="7FA30C79"/>
    <w:rsid w:val="7FA79C44"/>
    <w:rsid w:val="7FAF8ABF"/>
    <w:rsid w:val="7FB7269E"/>
    <w:rsid w:val="7FC96657"/>
    <w:rsid w:val="7FD58B5D"/>
    <w:rsid w:val="7FDA9588"/>
    <w:rsid w:val="7FDF220F"/>
    <w:rsid w:val="7FEDC5F7"/>
    <w:rsid w:val="7FEDD9DE"/>
    <w:rsid w:val="7FF5890D"/>
    <w:rsid w:val="7FF93490"/>
    <w:rsid w:val="8FFEC8A9"/>
    <w:rsid w:val="99FF2014"/>
    <w:rsid w:val="A4746823"/>
    <w:rsid w:val="A6DD0D7F"/>
    <w:rsid w:val="A6E1C321"/>
    <w:rsid w:val="ACFF4FBB"/>
    <w:rsid w:val="ADC6F725"/>
    <w:rsid w:val="AF7FCE0B"/>
    <w:rsid w:val="B75A1148"/>
    <w:rsid w:val="B7CF06AB"/>
    <w:rsid w:val="B7CFA926"/>
    <w:rsid w:val="B7F8786B"/>
    <w:rsid w:val="BABB6AA1"/>
    <w:rsid w:val="BB2F4199"/>
    <w:rsid w:val="BCFFB442"/>
    <w:rsid w:val="BD079C78"/>
    <w:rsid w:val="BD733540"/>
    <w:rsid w:val="BDFE5588"/>
    <w:rsid w:val="BF3735D5"/>
    <w:rsid w:val="BF7F09AC"/>
    <w:rsid w:val="BFD475C3"/>
    <w:rsid w:val="BFDE5EA6"/>
    <w:rsid w:val="BFDF4E0B"/>
    <w:rsid w:val="BFDF666C"/>
    <w:rsid w:val="CF6FC6F3"/>
    <w:rsid w:val="CFD3D3D7"/>
    <w:rsid w:val="CFDF1009"/>
    <w:rsid w:val="D6B4FDCB"/>
    <w:rsid w:val="D7D7B16A"/>
    <w:rsid w:val="D8D6DB89"/>
    <w:rsid w:val="DAFF35BE"/>
    <w:rsid w:val="DB6F4CAB"/>
    <w:rsid w:val="DB777682"/>
    <w:rsid w:val="DD1FB521"/>
    <w:rsid w:val="DEFBFEAE"/>
    <w:rsid w:val="DF1F3B80"/>
    <w:rsid w:val="DF6F9789"/>
    <w:rsid w:val="DFD030F4"/>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B6343A"/>
    <w:rsid w:val="F4FBCD07"/>
    <w:rsid w:val="F5BD4CF8"/>
    <w:rsid w:val="F9FF72D5"/>
    <w:rsid w:val="FA5F1E70"/>
    <w:rsid w:val="FA5FDB97"/>
    <w:rsid w:val="FA75ADBA"/>
    <w:rsid w:val="FB6B7879"/>
    <w:rsid w:val="FB7BD20E"/>
    <w:rsid w:val="FB7F486A"/>
    <w:rsid w:val="FBFF5B2E"/>
    <w:rsid w:val="FD7FFE2B"/>
    <w:rsid w:val="FDEC9A93"/>
    <w:rsid w:val="FDEE196B"/>
    <w:rsid w:val="FDFD3AC9"/>
    <w:rsid w:val="FDFE6575"/>
    <w:rsid w:val="FEDFDDC2"/>
    <w:rsid w:val="FEED32F6"/>
    <w:rsid w:val="FEF781DD"/>
    <w:rsid w:val="FF3F7E3F"/>
    <w:rsid w:val="FFBA12D7"/>
    <w:rsid w:val="FFBCA0CE"/>
    <w:rsid w:val="FFCBD314"/>
    <w:rsid w:val="FFDFF91C"/>
    <w:rsid w:val="FFDFFAEE"/>
    <w:rsid w:val="FFEF6777"/>
    <w:rsid w:val="FFF9B57B"/>
    <w:rsid w:val="FFFBD288"/>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ToCaption"/>
    <w:basedOn w:val="1"/>
    <w:next w:val="1"/>
    <w:qFormat/>
    <w:uiPriority w:val="0"/>
    <w:pPr>
      <w:ind w:left="400" w:leftChars="200" w:hanging="200" w:hangingChars="200"/>
      <w:textAlignment w:val="baseline"/>
    </w:pPr>
  </w:style>
  <w:style w:type="paragraph" w:styleId="6">
    <w:name w:val="Body Text"/>
    <w:basedOn w:val="1"/>
    <w:link w:val="27"/>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1"/>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6"/>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3"/>
    <w:qFormat/>
    <w:uiPriority w:val="9"/>
    <w:rPr>
      <w:rFonts w:ascii="Times New Roman" w:hAnsi="Times New Roman"/>
      <w:b/>
      <w:bCs/>
      <w:kern w:val="44"/>
      <w:sz w:val="44"/>
      <w:szCs w:val="44"/>
    </w:rPr>
  </w:style>
  <w:style w:type="character" w:customStyle="1" w:styleId="31">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10"/>
    <w:semiHidden/>
    <w:qFormat/>
    <w:uiPriority w:val="99"/>
    <w:rPr>
      <w:rFonts w:ascii="Times New Roman" w:hAnsi="Times New Roman"/>
      <w:kern w:val="2"/>
      <w:sz w:val="18"/>
      <w:szCs w:val="18"/>
    </w:rPr>
  </w:style>
  <w:style w:type="character" w:customStyle="1" w:styleId="34">
    <w:name w:val="标题 3 Char"/>
    <w:basedOn w:val="18"/>
    <w:link w:val="5"/>
    <w:qFormat/>
    <w:uiPriority w:val="9"/>
    <w:rPr>
      <w:rFonts w:ascii="Times New Roman" w:hAnsi="Times New Roman"/>
      <w:b/>
      <w:bCs/>
      <w:kern w:val="2"/>
      <w:sz w:val="32"/>
      <w:szCs w:val="32"/>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home/user/&#26700;&#38754;/2024&#20915;&#31639;&#20844;&#24320;/2025&#20915;&#31639;&#20844;&#24320;&#30456;&#20851;&#25968;&#25454;/2024&#24180;&#20915;&#31639;&#22270;&#34920;&#25968;&#2545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ome/user/&#26700;&#38754;/2024&#20915;&#31639;&#20844;&#24320;/2025&#20915;&#31639;&#20844;&#24320;&#30456;&#20851;&#25968;&#25454;/2024&#24180;&#20915;&#31639;&#22270;&#34920;&#25968;&#2545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ome/user/&#26700;&#38754;/2024&#20915;&#31639;&#20844;&#24320;/2025&#20915;&#31639;&#20844;&#24320;&#30456;&#20851;&#25968;&#25454;/2024&#24180;&#20915;&#31639;&#22270;&#34920;&#25968;&#2545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ome/user/&#26700;&#38754;/2024&#20915;&#31639;&#20844;&#24320;/2025&#20915;&#31639;&#20844;&#24320;&#30456;&#20851;&#25968;&#25454;/2024&#24180;&#20915;&#31639;&#22270;&#34920;&#25968;&#2545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ome/user/&#26700;&#38754;/2024&#20915;&#31639;&#20844;&#24320;/2025&#20915;&#31639;&#20844;&#24320;&#30456;&#20851;&#25968;&#25454;/2024&#24180;&#20915;&#31639;&#22270;&#34920;&#25968;&#25454;.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ome/user/&#26700;&#38754;/2024&#20915;&#31639;&#20844;&#24320;/2025&#20915;&#31639;&#20844;&#24320;&#30456;&#20851;&#25968;&#25454;/2024&#24180;&#20915;&#31639;&#22270;&#34920;&#25968;&#25454;.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ome/user/&#26700;&#38754;/2024&#20915;&#31639;&#20844;&#24320;/2025&#20915;&#31639;&#20844;&#24320;&#30456;&#20851;&#25968;&#25454;/2024&#24180;&#20915;&#31639;&#22270;&#34920;&#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sz="1800"/>
              <a:t>收、支决算总计变动情况图</a:t>
            </a:r>
            <a:endParaRPr lang="zh-CN" altLang="en-US" sz="1800"/>
          </a:p>
        </c:rich>
      </c:tx>
      <c:layout/>
      <c:overlay val="false"/>
    </c:title>
    <c:autoTitleDeleted val="false"/>
    <c:plotArea>
      <c:layout/>
      <c:barChart>
        <c:barDir val="col"/>
        <c:grouping val="clustered"/>
        <c:varyColors val="false"/>
        <c:ser>
          <c:idx val="0"/>
          <c:order val="0"/>
          <c:tx>
            <c:strRef>
              <c:f>[2024年决算图表数据.xlsx]收支决算总计!$A$2</c:f>
              <c:strCache>
                <c:ptCount val="1"/>
                <c:pt idx="0">
                  <c:v>全年收入总计</c:v>
                </c:pt>
              </c:strCache>
            </c:strRef>
          </c:tx>
          <c:invertIfNegative val="false"/>
          <c:dLbls>
            <c:delete val="true"/>
          </c:dLbls>
          <c:cat>
            <c:strRef>
              <c:f>[2024年决算图表数据.xlsx]收支决算总计!$B$1:$E$1</c:f>
              <c:strCache>
                <c:ptCount val="4"/>
                <c:pt idx="0">
                  <c:v>2023</c:v>
                </c:pt>
                <c:pt idx="1">
                  <c:v>2024</c:v>
                </c:pt>
                <c:pt idx="2">
                  <c:v>同比增减额</c:v>
                </c:pt>
                <c:pt idx="3">
                  <c:v>同比增减率</c:v>
                </c:pt>
              </c:strCache>
            </c:strRef>
          </c:cat>
          <c:val>
            <c:numRef>
              <c:f>[2024年决算图表数据.xlsx]收支决算总计!$B$2:$E$2</c:f>
              <c:numCache>
                <c:formatCode>#,##0.00</c:formatCode>
                <c:ptCount val="4"/>
                <c:pt idx="0">
                  <c:v>8996.1</c:v>
                </c:pt>
                <c:pt idx="1">
                  <c:v>5948.57</c:v>
                </c:pt>
                <c:pt idx="2" c:formatCode="0.00_ ">
                  <c:v>-3047.53</c:v>
                </c:pt>
                <c:pt idx="3" c:formatCode="0.00%">
                  <c:v>-0.338761240982203</c:v>
                </c:pt>
              </c:numCache>
            </c:numRef>
          </c:val>
        </c:ser>
        <c:ser>
          <c:idx val="1"/>
          <c:order val="1"/>
          <c:tx>
            <c:strRef>
              <c:f>[2024年决算图表数据.xlsx]收支决算总计!$A$3</c:f>
              <c:strCache>
                <c:ptCount val="1"/>
                <c:pt idx="0">
                  <c:v>全年支出总计</c:v>
                </c:pt>
              </c:strCache>
            </c:strRef>
          </c:tx>
          <c:invertIfNegative val="false"/>
          <c:dLbls>
            <c:delete val="true"/>
          </c:dLbls>
          <c:cat>
            <c:strRef>
              <c:f>[2024年决算图表数据.xlsx]收支决算总计!$B$1:$E$1</c:f>
              <c:strCache>
                <c:ptCount val="4"/>
                <c:pt idx="0">
                  <c:v>2023</c:v>
                </c:pt>
                <c:pt idx="1">
                  <c:v>2024</c:v>
                </c:pt>
                <c:pt idx="2">
                  <c:v>同比增减额</c:v>
                </c:pt>
                <c:pt idx="3">
                  <c:v>同比增减率</c:v>
                </c:pt>
              </c:strCache>
            </c:strRef>
          </c:cat>
          <c:val>
            <c:numRef>
              <c:f>[2024年决算图表数据.xlsx]收支决算总计!$B$3:$E$3</c:f>
              <c:numCache>
                <c:formatCode>#,##0.00</c:formatCode>
                <c:ptCount val="4"/>
                <c:pt idx="0">
                  <c:v>8996.1</c:v>
                </c:pt>
                <c:pt idx="1">
                  <c:v>5948.57</c:v>
                </c:pt>
                <c:pt idx="2" c:formatCode="0.00_ ">
                  <c:v>-3047.53</c:v>
                </c:pt>
                <c:pt idx="3" c:formatCode="0.00%">
                  <c:v>-0.338761240982203</c:v>
                </c:pt>
              </c:numCache>
            </c:numRef>
          </c:val>
        </c:ser>
        <c:dLbls>
          <c:showLegendKey val="false"/>
          <c:showVal val="false"/>
          <c:showCatName val="false"/>
          <c:showSerName val="false"/>
          <c:showPercent val="false"/>
          <c:showBubbleSize val="false"/>
        </c:dLbls>
        <c:gapWidth val="150"/>
        <c:axId val="65180416"/>
        <c:axId val="65181952"/>
      </c:barChart>
      <c:catAx>
        <c:axId val="65180416"/>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65181952"/>
        <c:crosses val="autoZero"/>
        <c:auto val="true"/>
        <c:lblAlgn val="ctr"/>
        <c:lblOffset val="100"/>
        <c:noMultiLvlLbl val="false"/>
      </c:catAx>
      <c:valAx>
        <c:axId val="65181952"/>
        <c:scaling>
          <c:orientation val="minMax"/>
        </c:scaling>
        <c:delete val="false"/>
        <c:axPos val="l"/>
        <c:majorGridlines/>
        <c:numFmt formatCode="#,##0.00"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65180416"/>
        <c:crosses val="autoZero"/>
        <c:crossBetween val="between"/>
      </c:valAx>
      <c:dTable>
        <c:showHorzBorder val="true"/>
        <c:showVertBorder val="true"/>
        <c:showOutline val="true"/>
        <c:showKeys val="tru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dTable>
    </c:plotArea>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收入决算结构图</a:t>
            </a:r>
            <a:endParaRPr lang="zh-CN" altLang="en-US"/>
          </a:p>
        </c:rich>
      </c:tx>
      <c:layout/>
      <c:overlay val="false"/>
    </c:title>
    <c:autoTitleDeleted val="false"/>
    <c:plotArea>
      <c:layout>
        <c:manualLayout>
          <c:layoutTarget val="inner"/>
          <c:xMode val="edge"/>
          <c:yMode val="edge"/>
          <c:x val="0.0847222222222226"/>
          <c:y val="0.254050743657043"/>
          <c:w val="0.81388888888889"/>
          <c:h val="0.641898512685917"/>
        </c:manualLayout>
      </c:layout>
      <c:pieChart>
        <c:varyColors val="true"/>
        <c:ser>
          <c:idx val="0"/>
          <c:order val="0"/>
          <c:explosion val="0"/>
          <c:dPt>
            <c:idx val="0"/>
            <c:bubble3D val="false"/>
          </c:dPt>
          <c:dLbls>
            <c:dLbl>
              <c:idx val="0"/>
              <c:layout>
                <c:manualLayout>
                  <c:x val="0.062141023157951"/>
                  <c:y val="-0.45082506393057"/>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一般公共预算财政拨款收入
</a:t>
                    </a:r>
                    <a:r>
                      <a:rPr lang="en-US" altLang="zh-CN"/>
                      <a:t>100%</a:t>
                    </a:r>
                    <a:endParaRPr lang="zh-CN" altLang="en-US"/>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[2024年决算图表数据.xlsx]收入决算结构!$A$1</c:f>
              <c:strCache>
                <c:ptCount val="1"/>
                <c:pt idx="0">
                  <c:v>一般公共预算财政拨款收入</c:v>
                </c:pt>
              </c:strCache>
            </c:strRef>
          </c:cat>
          <c:val>
            <c:numRef>
              <c:f>[2024年决算图表数据.xlsx]收入决算结构!$B$1</c:f>
              <c:numCache>
                <c:formatCode>0.00%</c:formatCode>
                <c:ptCount val="1"/>
                <c:pt idx="0">
                  <c:v>1</c:v>
                </c:pt>
              </c:numCache>
            </c:numRef>
          </c:val>
        </c:ser>
        <c:ser>
          <c:idx val="1"/>
          <c:order val="1"/>
          <c:explosion val="0"/>
          <c:dPt>
            <c:idx val="0"/>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[2024年决算图表数据.xlsx]收入决算结构!$A$1</c:f>
              <c:strCache>
                <c:ptCount val="1"/>
                <c:pt idx="0">
                  <c:v>一般公共预算财政拨款收入</c:v>
                </c:pt>
              </c:strCache>
            </c:strRef>
          </c:cat>
          <c:val>
            <c:numRef>
              <c:f>[2024年决算图表数据.xlsx]收入决算结构!$C$1</c:f>
              <c:numCache>
                <c:formatCode>General</c:formatCode>
                <c:ptCount val="1"/>
                <c:pt idx="0">
                  <c:v>5948.57</c:v>
                </c:pt>
              </c:numCache>
            </c:numRef>
          </c:val>
        </c:ser>
        <c:dLbls>
          <c:showLegendKey val="false"/>
          <c:showVal val="false"/>
          <c:showCatName val="true"/>
          <c:showSerName val="false"/>
          <c:showPercent val="true"/>
          <c:showBubbleSize val="false"/>
          <c:showLeaderLines val="true"/>
        </c:dLbls>
        <c:firstSliceAng val="15"/>
      </c:pieChart>
      <c:spPr>
        <a:noFill/>
        <a:ln>
          <a:noFill/>
        </a:ln>
        <a:effectLst/>
      </c:spPr>
    </c:plotArea>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sz="1800"/>
              <a:t>支出决算结构图</a:t>
            </a:r>
            <a:endParaRPr lang="zh-CN" altLang="en-US" sz="1800"/>
          </a:p>
        </c:rich>
      </c:tx>
      <c:layout/>
      <c:overlay val="false"/>
    </c:title>
    <c:autoTitleDeleted val="false"/>
    <c:plotArea>
      <c:layout/>
      <c:pieChart>
        <c:varyColors val="true"/>
        <c:ser>
          <c:idx val="0"/>
          <c:order val="0"/>
          <c:explosion val="0"/>
          <c:dPt>
            <c:idx val="0"/>
            <c:bubble3D val="false"/>
          </c:dPt>
          <c:dPt>
            <c:idx val="1"/>
            <c:bubble3D val="false"/>
          </c:dPt>
          <c:dLbls>
            <c:dLbl>
              <c:idx val="0"/>
              <c:layout>
                <c:manualLayout>
                  <c:x val="-0.0523256512081995"/>
                  <c:y val="0.109370583845145"/>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基本支出
</a:t>
                    </a:r>
                    <a:r>
                      <a:rPr lang="en-US" altLang="zh-CN"/>
                      <a:t>11.61%</a:t>
                    </a:r>
                    <a:endParaRPr lang="zh-CN" altLang="en-US"/>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a:t>项目支出
</a:t>
                    </a:r>
                    <a:r>
                      <a:rPr lang="en-US" altLang="zh-CN"/>
                      <a:t>88.39%</a:t>
                    </a:r>
                    <a:endParaRPr lang="en-US" altLang="zh-CN"/>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[2024年决算图表数据.xlsx]支出决算结构!$A$1:$A$2</c:f>
              <c:strCache>
                <c:ptCount val="2"/>
                <c:pt idx="0">
                  <c:v>基本支出</c:v>
                </c:pt>
                <c:pt idx="1">
                  <c:v>项目支出</c:v>
                </c:pt>
              </c:strCache>
            </c:strRef>
          </c:cat>
          <c:val>
            <c:numRef>
              <c:f>[2024年决算图表数据.xlsx]支出决算结构!$B$1:$B$2</c:f>
              <c:numCache>
                <c:formatCode>0.00%</c:formatCode>
                <c:ptCount val="2"/>
                <c:pt idx="0">
                  <c:v>0.116069912600844</c:v>
                </c:pt>
                <c:pt idx="1">
                  <c:v>0.883930087399156</c:v>
                </c:pt>
              </c:numCache>
            </c:numRef>
          </c:val>
        </c:ser>
        <c:dLbls>
          <c:showLegendKey val="false"/>
          <c:showVal val="false"/>
          <c:showCatName val="true"/>
          <c:showSerName val="false"/>
          <c:showPercent val="true"/>
          <c:showBubbleSize val="false"/>
          <c:showLeaderLines val="true"/>
        </c:dLbls>
        <c:firstSliceAng val="15"/>
      </c:pieChart>
      <c:spPr>
        <a:noFill/>
        <a:ln>
          <a:noFill/>
        </a:ln>
        <a:effectLst/>
      </c:spPr>
    </c:plotArea>
    <c:plotVisOnly val="true"/>
    <c:dispBlanksAs val="zero"/>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sz="1800"/>
              <a:t>财政拨款收、支决算总计变动情况</a:t>
            </a:r>
            <a:endParaRPr lang="zh-CN" altLang="en-US" sz="1800"/>
          </a:p>
        </c:rich>
      </c:tx>
      <c:layout/>
      <c:overlay val="false"/>
    </c:title>
    <c:autoTitleDeleted val="false"/>
    <c:plotArea>
      <c:layout/>
      <c:barChart>
        <c:barDir val="col"/>
        <c:grouping val="clustered"/>
        <c:varyColors val="false"/>
        <c:ser>
          <c:idx val="0"/>
          <c:order val="0"/>
          <c:tx>
            <c:strRef>
              <c:f>[2024年决算图表数据.xlsx]财政拨款收、支决算总计变动!$A$2</c:f>
              <c:strCache>
                <c:ptCount val="1"/>
                <c:pt idx="0">
                  <c:v>财政拨款收入总计</c:v>
                </c:pt>
              </c:strCache>
            </c:strRef>
          </c:tx>
          <c:invertIfNegative val="false"/>
          <c:dLbls>
            <c:delete val="true"/>
          </c:dLbls>
          <c:cat>
            <c:strRef>
              <c:f>[2024年决算图表数据.xlsx]财政拨款收、支决算总计变动!$B$1:$E$1</c:f>
              <c:strCache>
                <c:ptCount val="4"/>
                <c:pt idx="0">
                  <c:v>2023年</c:v>
                </c:pt>
                <c:pt idx="1">
                  <c:v>2024年</c:v>
                </c:pt>
                <c:pt idx="2">
                  <c:v>同比增减额</c:v>
                </c:pt>
                <c:pt idx="3">
                  <c:v>同比增减率</c:v>
                </c:pt>
              </c:strCache>
            </c:strRef>
          </c:cat>
          <c:val>
            <c:numRef>
              <c:f>[2024年决算图表数据.xlsx]财政拨款收、支决算总计变动!$B$2:$E$2</c:f>
              <c:numCache>
                <c:formatCode>_ * #,##0.00_ ;_ * \-#,##0.00_ ;_ * "-"??_ ;_ @_ </c:formatCode>
                <c:ptCount val="4"/>
                <c:pt idx="0">
                  <c:v>8996.1</c:v>
                </c:pt>
                <c:pt idx="1">
                  <c:v>5948.57</c:v>
                </c:pt>
                <c:pt idx="2" c:formatCode="0.00_ ">
                  <c:v>-3047.53</c:v>
                </c:pt>
                <c:pt idx="3" c:formatCode="0.00%">
                  <c:v>-0.338761240982203</c:v>
                </c:pt>
              </c:numCache>
            </c:numRef>
          </c:val>
        </c:ser>
        <c:ser>
          <c:idx val="1"/>
          <c:order val="1"/>
          <c:tx>
            <c:strRef>
              <c:f>[2024年决算图表数据.xlsx]财政拨款收、支决算总计变动!$A$3</c:f>
              <c:strCache>
                <c:ptCount val="1"/>
                <c:pt idx="0">
                  <c:v>财政拨款支出总计</c:v>
                </c:pt>
              </c:strCache>
            </c:strRef>
          </c:tx>
          <c:invertIfNegative val="false"/>
          <c:dLbls>
            <c:delete val="true"/>
          </c:dLbls>
          <c:cat>
            <c:strRef>
              <c:f>[2024年决算图表数据.xlsx]财政拨款收、支决算总计变动!$B$1:$E$1</c:f>
              <c:strCache>
                <c:ptCount val="4"/>
                <c:pt idx="0">
                  <c:v>2023年</c:v>
                </c:pt>
                <c:pt idx="1">
                  <c:v>2024年</c:v>
                </c:pt>
                <c:pt idx="2">
                  <c:v>同比增减额</c:v>
                </c:pt>
                <c:pt idx="3">
                  <c:v>同比增减率</c:v>
                </c:pt>
              </c:strCache>
            </c:strRef>
          </c:cat>
          <c:val>
            <c:numRef>
              <c:f>[2024年决算图表数据.xlsx]财政拨款收、支决算总计变动!$B$3:$E$3</c:f>
              <c:numCache>
                <c:formatCode>_ * #,##0.00_ ;_ * \-#,##0.00_ ;_ * "-"??_ ;_ @_ </c:formatCode>
                <c:ptCount val="4"/>
                <c:pt idx="0">
                  <c:v>8996.1</c:v>
                </c:pt>
                <c:pt idx="1">
                  <c:v>5948.57</c:v>
                </c:pt>
                <c:pt idx="2" c:formatCode="0.00_ ">
                  <c:v>-3047.53</c:v>
                </c:pt>
                <c:pt idx="3" c:formatCode="0.00%">
                  <c:v>-0.338761240982203</c:v>
                </c:pt>
              </c:numCache>
            </c:numRef>
          </c:val>
        </c:ser>
        <c:dLbls>
          <c:showLegendKey val="false"/>
          <c:showVal val="false"/>
          <c:showCatName val="false"/>
          <c:showSerName val="false"/>
          <c:showPercent val="false"/>
          <c:showBubbleSize val="false"/>
        </c:dLbls>
        <c:gapWidth val="150"/>
        <c:axId val="65911424"/>
        <c:axId val="65913216"/>
      </c:barChart>
      <c:catAx>
        <c:axId val="65911424"/>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65913216"/>
        <c:crosses val="autoZero"/>
        <c:auto val="true"/>
        <c:lblAlgn val="ctr"/>
        <c:lblOffset val="100"/>
        <c:noMultiLvlLbl val="false"/>
      </c:catAx>
      <c:valAx>
        <c:axId val="65913216"/>
        <c:scaling>
          <c:orientation val="minMax"/>
        </c:scaling>
        <c:delete val="false"/>
        <c:axPos val="l"/>
        <c:majorGridlines/>
        <c:numFmt formatCode="_ * #,##0.00_ ;_ * \-#,##0.00_ ;_ * &quot;-&quot;??_ ;_ @_ "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65911424"/>
        <c:crosses val="autoZero"/>
        <c:crossBetween val="between"/>
      </c:valAx>
      <c:dTable>
        <c:showHorzBorder val="true"/>
        <c:showVertBorder val="true"/>
        <c:showOutline val="true"/>
        <c:showKeys val="tru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dTable>
    </c:plotArea>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sz="1400" baseline="0"/>
              <a:t>一般公共预算财政拨款支出决算变动情况</a:t>
            </a:r>
            <a:endParaRPr lang="zh-CN" altLang="en-US" sz="1400" baseline="0"/>
          </a:p>
        </c:rich>
      </c:tx>
      <c:layout>
        <c:manualLayout>
          <c:xMode val="edge"/>
          <c:yMode val="edge"/>
          <c:x val="0.110416666666667"/>
          <c:y val="0.018140589569161"/>
        </c:manualLayout>
      </c:layout>
      <c:overlay val="false"/>
    </c:title>
    <c:autoTitleDeleted val="false"/>
    <c:plotArea>
      <c:layout>
        <c:manualLayout>
          <c:layoutTarget val="inner"/>
          <c:xMode val="edge"/>
          <c:yMode val="edge"/>
          <c:x val="0.0444444444444445"/>
          <c:y val="0.217227482640619"/>
          <c:w val="0.938888888888891"/>
          <c:h val="0.771533273530684"/>
        </c:manualLayout>
      </c:layout>
      <c:barChart>
        <c:barDir val="col"/>
        <c:grouping val="clustered"/>
        <c:varyColors val="false"/>
        <c:ser>
          <c:idx val="0"/>
          <c:order val="0"/>
          <c:tx>
            <c:strRef>
              <c:f>[2024年决算图表数据.xlsx]一般公共预算财政拨款支出!$A$2</c:f>
              <c:strCache>
                <c:ptCount val="1"/>
                <c:pt idx="0">
                  <c:v>一般公共预算财政拨款支出</c:v>
                </c:pt>
              </c:strCache>
            </c:strRef>
          </c:tx>
          <c:invertIfNegative val="false"/>
          <c:dLbls>
            <c:dLbl>
              <c:idx val="1"/>
              <c:layout>
                <c:manualLayout>
                  <c:x val="0.00208333333333333"/>
                  <c:y val="-0.0385487528344671"/>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0833333333333335"/>
                  <c:y val="0"/>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0486089238845138"/>
                  <c:y val="-0.0548516562012027"/>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[2024年决算图表数据.xlsx]一般公共预算财政拨款支出!$B$1:$E$1</c:f>
              <c:strCache>
                <c:ptCount val="4"/>
                <c:pt idx="0">
                  <c:v>2023年</c:v>
                </c:pt>
                <c:pt idx="1">
                  <c:v>2024年</c:v>
                </c:pt>
                <c:pt idx="2">
                  <c:v>同比减少</c:v>
                </c:pt>
                <c:pt idx="3">
                  <c:v>同比减少</c:v>
                </c:pt>
              </c:strCache>
            </c:strRef>
          </c:cat>
          <c:val>
            <c:numRef>
              <c:f>[2024年决算图表数据.xlsx]一般公共预算财政拨款支出!$B$2:$E$2</c:f>
              <c:numCache>
                <c:formatCode>_ * #,##0.00_ ;_ * \-#,##0.00_ ;_ * "-"??_ ;_ @_ </c:formatCode>
                <c:ptCount val="4"/>
                <c:pt idx="0">
                  <c:v>8996.1</c:v>
                </c:pt>
                <c:pt idx="1">
                  <c:v>5948.57</c:v>
                </c:pt>
                <c:pt idx="2" c:formatCode="0.00_ ">
                  <c:v>-3047.53</c:v>
                </c:pt>
                <c:pt idx="3" c:formatCode="0.00%">
                  <c:v>-0.338761240982203</c:v>
                </c:pt>
              </c:numCache>
            </c:numRef>
          </c:val>
        </c:ser>
        <c:ser>
          <c:idx val="1"/>
          <c:order val="1"/>
          <c:tx>
            <c:strRef>
              <c:f>[2024年决算图表数据.xlsx]一般公共预算财政拨款支出!$A$3</c:f>
              <c:strCache>
                <c:ptCount val="1"/>
                <c:pt idx="0">
                  <c:v>全年支出</c:v>
                </c:pt>
              </c:strCache>
            </c:strRef>
          </c:tx>
          <c:invertIfNegative val="false"/>
          <c:dLbls>
            <c:dLbl>
              <c:idx val="1"/>
              <c:layout>
                <c:manualLayout>
                  <c:x val="0.0229166666666667"/>
                  <c:y val="0.00996727805046071"/>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111111111111111"/>
                  <c:y val="0.00843948303930368"/>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144212962962944"/>
                  <c:y val="-0.00195801474182824"/>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[2024年决算图表数据.xlsx]一般公共预算财政拨款支出!$B$1:$E$1</c:f>
              <c:strCache>
                <c:ptCount val="4"/>
                <c:pt idx="0">
                  <c:v>2023年</c:v>
                </c:pt>
                <c:pt idx="1">
                  <c:v>2024年</c:v>
                </c:pt>
                <c:pt idx="2">
                  <c:v>同比减少</c:v>
                </c:pt>
                <c:pt idx="3">
                  <c:v>同比减少</c:v>
                </c:pt>
              </c:strCache>
            </c:strRef>
          </c:cat>
          <c:val>
            <c:numRef>
              <c:f>[2024年决算图表数据.xlsx]一般公共预算财政拨款支出!$B$3:$E$3</c:f>
              <c:numCache>
                <c:formatCode>_ * #,##0.00_ ;_ * \-#,##0.00_ ;_ * "-"??_ ;_ @_ </c:formatCode>
                <c:ptCount val="4"/>
                <c:pt idx="0">
                  <c:v>8996.1</c:v>
                </c:pt>
                <c:pt idx="1">
                  <c:v>5948.57</c:v>
                </c:pt>
                <c:pt idx="2" c:formatCode="0.00_ ">
                  <c:v>-3047.53</c:v>
                </c:pt>
                <c:pt idx="3" c:formatCode="0.00%">
                  <c:v>-0.338761240982203</c:v>
                </c:pt>
              </c:numCache>
            </c:numRef>
          </c:val>
        </c:ser>
        <c:dLbls>
          <c:showLegendKey val="false"/>
          <c:showVal val="true"/>
          <c:showCatName val="false"/>
          <c:showSerName val="false"/>
          <c:showPercent val="false"/>
          <c:showBubbleSize val="false"/>
        </c:dLbls>
        <c:gapWidth val="150"/>
        <c:overlap val="-25"/>
        <c:axId val="65989248"/>
        <c:axId val="67776896"/>
      </c:barChart>
      <c:catAx>
        <c:axId val="65989248"/>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67776896"/>
        <c:crosses val="autoZero"/>
        <c:auto val="true"/>
        <c:lblAlgn val="ctr"/>
        <c:lblOffset val="100"/>
        <c:noMultiLvlLbl val="false"/>
      </c:catAx>
      <c:valAx>
        <c:axId val="67776896"/>
        <c:scaling>
          <c:orientation val="minMax"/>
        </c:scaling>
        <c:delete val="true"/>
        <c:axPos val="l"/>
        <c:numFmt formatCode="_ * #,##0.00_ ;_ * \-#,##0.00_ ;_ * &quot;-&quot;??_ ;_ @_ " sourceLinked="true"/>
        <c:majorTickMark val="none"/>
        <c:minorTickMark val="none"/>
        <c:tickLblPos val="none"/>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65989248"/>
        <c:crosses val="autoZero"/>
        <c:crossBetween val="between"/>
      </c:valAx>
    </c:plotArea>
    <c:legend>
      <c:legendPos val="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Lbl>
              <c:idx val="1"/>
              <c:layout>
                <c:manualLayout>
                  <c:x val="-0.0993908279417614"/>
                  <c:y val="0.235876401411751"/>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2"/>
              <c:layout>
                <c:manualLayout>
                  <c:x val="0.101948334308223"/>
                  <c:y val="0.161569244833361"/>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tru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[2024年决算图表数据.xlsx]一般公共预算财政拨款支出决算结构!$A$1:$A$4</c15:sqref>
                  </c15:fullRef>
                </c:ext>
              </c:extLst>
              <c:f>[2024年决算图表数据.xlsx]一般公共预算财政拨款支出决算结构!$A$1:$A$4</c:f>
              <c:strCache>
                <c:ptCount val="4"/>
                <c:pt idx="0">
                  <c:v>一般公共服务支出</c:v>
                </c:pt>
                <c:pt idx="1">
                  <c:v>社会保障和就业支出</c:v>
                </c:pt>
                <c:pt idx="2">
                  <c:v>卫生健康支出</c:v>
                </c:pt>
                <c:pt idx="3">
                  <c:v>住房保障支出</c:v>
                </c:pt>
              </c:strCache>
            </c:strRef>
          </c:cat>
          <c:val>
            <c:numRef>
              <c:extLst>
                <c:ext xmlns:c15="http://schemas.microsoft.com/office/drawing/2012/chart" uri="{02D57815-91ED-43cb-92C2-25804820EDAC}">
                  <c15:fullRef>
                    <c15:sqref>一般公共预算财政拨款支出决算结构!$B$1:$B$4</c15:sqref>
                  </c15:fullRef>
                </c:ext>
              </c:extLst>
              <c:f>[2024年决算图表数据.xlsx]一般公共预算财政拨款支出决算结构!$B$1:$B$4</c:f>
              <c:numCache>
                <c:formatCode>0.00%</c:formatCode>
                <c:ptCount val="4"/>
                <c:pt idx="0">
                  <c:v>0.9747</c:v>
                </c:pt>
                <c:pt idx="1">
                  <c:v>0.0108</c:v>
                </c:pt>
                <c:pt idx="2">
                  <c:v>0.006</c:v>
                </c:pt>
                <c:pt idx="3">
                  <c:v>0.0085</c:v>
                </c:pt>
              </c:numCache>
            </c:numRef>
          </c:val>
        </c:ser>
        <c:ser>
          <c:idx val="1"/>
          <c:order val="1"/>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tru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[2024年决算图表数据.xlsx]一般公共预算财政拨款支出决算结构!$A$1:$A$4</c15:sqref>
                  </c15:fullRef>
                </c:ext>
              </c:extLst>
              <c:f>[2024年决算图表数据.xlsx]一般公共预算财政拨款支出决算结构!$A$1:$A$4</c:f>
              <c:strCache>
                <c:ptCount val="4"/>
                <c:pt idx="0">
                  <c:v>一般公共服务支出</c:v>
                </c:pt>
                <c:pt idx="1">
                  <c:v>社会保障和就业支出</c:v>
                </c:pt>
                <c:pt idx="2">
                  <c:v>卫生健康支出</c:v>
                </c:pt>
                <c:pt idx="3">
                  <c:v>住房保障支出</c:v>
                </c:pt>
              </c:strCache>
            </c:strRef>
          </c:cat>
          <c:val>
            <c:numRef>
              <c:extLst>
                <c:ext xmlns:c15="http://schemas.microsoft.com/office/drawing/2012/chart" uri="{02D57815-91ED-43cb-92C2-25804820EDAC}">
                  <c15:fullRef>
                    <c15:sqref>一般公共预算财政拨款支出决算结构!$C$1:$C$5</c15:sqref>
                  </c15:fullRef>
                </c:ext>
              </c:extLst>
              <c:f>[2024年决算图表数据.xlsx]一般公共预算财政拨款支出决算结构!$C$1:$C$4</c:f>
              <c:numCache>
                <c:formatCode>_ * #,##0.00_ ;_ * \-#,##0.00_ ;_ * "-"??_ ;_ @_ </c:formatCode>
                <c:ptCount val="4"/>
                <c:pt idx="0">
                  <c:v>5798.33</c:v>
                </c:pt>
                <c:pt idx="1" c:formatCode="General">
                  <c:v>63.95</c:v>
                </c:pt>
                <c:pt idx="2" c:formatCode="General">
                  <c:v>35.54</c:v>
                </c:pt>
                <c:pt idx="3" c:formatCode="General">
                  <c:v>50.75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公务用车购置及运行维护费支出9</a:t>
                    </a:r>
                    <a:r>
                      <a:rPr lang="en-US" altLang="zh-CN"/>
                      <a:t>7.75</a:t>
                    </a:r>
                    <a:r>
                      <a:t>%</a:t>
                    </a:r>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公务接待费支出2</a:t>
                    </a:r>
                    <a:r>
                      <a:rPr lang="en-US" altLang="zh-CN"/>
                      <a:t>.25</a:t>
                    </a:r>
                    <a:r>
                      <a:t>%</a:t>
                    </a:r>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[2024年决算图表数据.xlsx]“三公”经费财政拨款支出结构!$A$1:$A$2</c:f>
              <c:strCache>
                <c:ptCount val="2"/>
                <c:pt idx="0">
                  <c:v>公务用车购置及运行维护费支出</c:v>
                </c:pt>
                <c:pt idx="1">
                  <c:v>公务接待费支出</c:v>
                </c:pt>
              </c:strCache>
            </c:strRef>
          </c:cat>
          <c:val>
            <c:numRef>
              <c:f>[2024年决算图表数据.xlsx]“三公”经费财政拨款支出结构!$B$1:$B$2</c:f>
              <c:numCache>
                <c:formatCode>0.00%</c:formatCode>
                <c:ptCount val="2"/>
                <c:pt idx="0">
                  <c:v>0.9775</c:v>
                </c:pt>
                <c:pt idx="1">
                  <c:v>0.0225</c:v>
                </c:pt>
              </c:numCache>
            </c:numRef>
          </c:val>
        </c:ser>
        <c:dLbls>
          <c:showLegendKey val="false"/>
          <c:showVal val="false"/>
          <c:showCatName val="true"/>
          <c:showSerName val="false"/>
          <c:showPercent val="tru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TotalTime>1</TotalTime>
  <ScaleCrop>false</ScaleCrop>
  <LinksUpToDate>false</LinksUpToDate>
  <CharactersWithSpaces>8692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2020-08-14T09:49:00Z</dcterms:created>
  <dc:creator>曹颖</dc:creator>
  <cp:lastModifiedBy>user</cp:lastModifiedBy>
  <cp:lastPrinted>2025-08-11T17:34:00Z</cp:lastPrinted>
  <dcterms:modified xsi:type="dcterms:W3CDTF">2025-09-12T08:30:40Z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ies>
</file>