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6A9E9">
      <w:pPr>
        <w:rPr>
          <w:rFonts w:ascii="Times New Roman" w:hAnsi="Times New Roman"/>
        </w:rPr>
      </w:pPr>
      <w:bookmarkStart w:id="0" w:name="_Toc15377193"/>
      <w:bookmarkStart w:id="1" w:name="_Toc15378441"/>
      <w:bookmarkStart w:id="2" w:name="_Toc15396475"/>
      <w:bookmarkStart w:id="3" w:name="_Toc15377425"/>
      <w:bookmarkStart w:id="4" w:name="_Toc15396597"/>
      <w:bookmarkStart w:id="5" w:name="_Toc15306267"/>
    </w:p>
    <w:p w14:paraId="1808DFA6">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25DF17DC">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343594BB">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00E2A207">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533F6B63">
      <w:pPr>
        <w:pStyle w:val="2"/>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96598"/>
      <w:bookmarkStart w:id="8" w:name="_Toc15396476"/>
      <w:bookmarkStart w:id="9" w:name="_Toc15377194"/>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攀枝花市人民政府驻北京联络处</w:t>
      </w: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14:paraId="4A47B08D">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4A22904B">
      <w:pPr>
        <w:widowControl/>
        <w:jc w:val="center"/>
        <w:rPr>
          <w:rFonts w:ascii="Times New Roman" w:hAnsi="Times New Roman" w:eastAsia="黑体" w:cstheme="minorBidi"/>
          <w:color w:val="auto"/>
          <w:sz w:val="28"/>
          <w:szCs w:val="28"/>
          <w:highlight w:val="none"/>
        </w:rPr>
      </w:pPr>
    </w:p>
    <w:p w14:paraId="7AFC3233">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10</w:t>
      </w:r>
      <w:bookmarkStart w:id="70" w:name="_GoBack"/>
      <w:bookmarkEnd w:id="70"/>
      <w:r>
        <w:rPr>
          <w:rFonts w:hint="eastAsia" w:ascii="Times New Roman" w:hAnsi="Times New Roman" w:eastAsia="仿宋_GB2312" w:cs="仿宋_GB2312"/>
          <w:color w:val="auto"/>
          <w:sz w:val="32"/>
          <w:szCs w:val="32"/>
          <w:highlight w:val="none"/>
        </w:rPr>
        <w:t>日</w:t>
      </w:r>
    </w:p>
    <w:p w14:paraId="0D485497">
      <w:pPr>
        <w:rPr>
          <w:rFonts w:ascii="Times New Roman" w:hAnsi="Times New Roman"/>
          <w:color w:val="auto"/>
          <w:highlight w:val="none"/>
        </w:rPr>
      </w:pPr>
    </w:p>
    <w:p w14:paraId="42A92C76">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r>
        <w:rPr>
          <w:rFonts w:hint="eastAsia"/>
          <w:color w:val="auto"/>
          <w:sz w:val="24"/>
          <w:highlight w:val="none"/>
          <w:lang w:eastAsia="zh-CN"/>
        </w:rPr>
        <w:t>…………………………………………………………</w:t>
      </w:r>
      <w:r>
        <w:rPr>
          <w:rFonts w:hint="eastAsia"/>
          <w:color w:val="auto"/>
          <w:sz w:val="24"/>
          <w:highlight w:val="none"/>
          <w:lang w:val="en-US" w:eastAsia="zh-CN"/>
        </w:rPr>
        <w:t>4</w:t>
      </w:r>
    </w:p>
    <w:p w14:paraId="16678A1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color w:val="auto"/>
          <w:sz w:val="24"/>
          <w:highlight w:val="none"/>
          <w:lang w:eastAsia="zh-CN"/>
        </w:rPr>
        <w:t>……………………………………………………………</w:t>
      </w:r>
      <w:r>
        <w:rPr>
          <w:rFonts w:hint="eastAsia"/>
          <w:color w:val="auto"/>
          <w:sz w:val="24"/>
          <w:highlight w:val="none"/>
          <w:lang w:val="en-US" w:eastAsia="zh-CN"/>
        </w:rPr>
        <w:t>4</w:t>
      </w:r>
    </w:p>
    <w:p w14:paraId="311EC1A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color w:val="auto"/>
          <w:sz w:val="24"/>
          <w:highlight w:val="none"/>
          <w:lang w:eastAsia="zh-CN"/>
        </w:rPr>
        <w:t>……………………………………………………………</w:t>
      </w:r>
      <w:r>
        <w:rPr>
          <w:rFonts w:hint="eastAsia"/>
          <w:color w:val="auto"/>
          <w:sz w:val="24"/>
          <w:highlight w:val="none"/>
          <w:lang w:val="en-US" w:eastAsia="zh-CN"/>
        </w:rPr>
        <w:t>4</w:t>
      </w:r>
    </w:p>
    <w:p w14:paraId="56ACF1BB">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color w:val="auto"/>
          <w:sz w:val="24"/>
          <w:highlight w:val="none"/>
          <w:lang w:eastAsia="zh-CN"/>
        </w:rPr>
        <w:t>……………………………</w:t>
      </w:r>
      <w:r>
        <w:rPr>
          <w:rFonts w:hint="eastAsia"/>
          <w:color w:val="auto"/>
          <w:sz w:val="24"/>
          <w:highlight w:val="none"/>
          <w:lang w:val="en-US" w:eastAsia="zh-CN"/>
        </w:rPr>
        <w:t>6</w:t>
      </w:r>
    </w:p>
    <w:p w14:paraId="130D2B0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6</w:t>
      </w:r>
    </w:p>
    <w:p w14:paraId="47074FA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6</w:t>
      </w:r>
    </w:p>
    <w:p w14:paraId="15746E5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7</w:t>
      </w:r>
    </w:p>
    <w:p w14:paraId="364EE53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7</w:t>
      </w:r>
    </w:p>
    <w:p w14:paraId="11133AC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8</w:t>
      </w:r>
    </w:p>
    <w:p w14:paraId="0318A62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10</w:t>
      </w:r>
    </w:p>
    <w:p w14:paraId="2042BC5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color w:val="auto"/>
          <w:sz w:val="24"/>
          <w:highlight w:val="none"/>
          <w:lang w:eastAsia="zh-CN"/>
        </w:rPr>
        <w:t>…………</w:t>
      </w:r>
      <w:r>
        <w:rPr>
          <w:rFonts w:hint="eastAsia"/>
          <w:color w:val="auto"/>
          <w:sz w:val="24"/>
          <w:highlight w:val="none"/>
          <w:lang w:val="en-US" w:eastAsia="zh-CN"/>
        </w:rPr>
        <w:t>11</w:t>
      </w:r>
    </w:p>
    <w:p w14:paraId="381298D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12</w:t>
      </w:r>
    </w:p>
    <w:p w14:paraId="7187026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color w:val="auto"/>
          <w:sz w:val="24"/>
          <w:highlight w:val="none"/>
          <w:lang w:eastAsia="zh-CN"/>
        </w:rPr>
        <w:t>…………………</w:t>
      </w:r>
      <w:r>
        <w:rPr>
          <w:rFonts w:hint="eastAsia"/>
          <w:color w:val="auto"/>
          <w:sz w:val="24"/>
          <w:highlight w:val="none"/>
          <w:lang w:val="en-US" w:eastAsia="zh-CN"/>
        </w:rPr>
        <w:t>12</w:t>
      </w:r>
    </w:p>
    <w:p w14:paraId="3EDDBFF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color w:val="auto"/>
          <w:sz w:val="24"/>
          <w:highlight w:val="none"/>
          <w:lang w:eastAsia="zh-CN"/>
        </w:rPr>
        <w:t>……………………………………</w:t>
      </w:r>
      <w:r>
        <w:rPr>
          <w:rFonts w:hint="eastAsia"/>
          <w:color w:val="auto"/>
          <w:sz w:val="24"/>
          <w:highlight w:val="none"/>
          <w:lang w:val="en-US" w:eastAsia="zh-CN"/>
        </w:rPr>
        <w:t>12</w:t>
      </w:r>
    </w:p>
    <w:p w14:paraId="5BF01D53">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r>
        <w:rPr>
          <w:rFonts w:hint="eastAsia"/>
          <w:color w:val="auto"/>
          <w:sz w:val="24"/>
          <w:highlight w:val="none"/>
          <w:lang w:eastAsia="zh-CN"/>
        </w:rPr>
        <w:t>…………………………………………………………</w:t>
      </w:r>
      <w:r>
        <w:rPr>
          <w:rFonts w:hint="eastAsia"/>
          <w:color w:val="auto"/>
          <w:sz w:val="24"/>
          <w:highlight w:val="none"/>
          <w:lang w:val="en-US" w:eastAsia="zh-CN"/>
        </w:rPr>
        <w:t>14</w:t>
      </w:r>
    </w:p>
    <w:p w14:paraId="37CE2F59">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r>
        <w:rPr>
          <w:rFonts w:hint="eastAsia"/>
          <w:color w:val="auto"/>
          <w:sz w:val="24"/>
          <w:highlight w:val="none"/>
          <w:lang w:eastAsia="zh-CN"/>
        </w:rPr>
        <w:t>………………………………………………………………</w:t>
      </w:r>
      <w:r>
        <w:rPr>
          <w:rFonts w:hint="eastAsia"/>
          <w:color w:val="auto"/>
          <w:sz w:val="24"/>
          <w:highlight w:val="none"/>
          <w:lang w:val="en-US" w:eastAsia="zh-CN"/>
        </w:rPr>
        <w:t>17</w:t>
      </w:r>
    </w:p>
    <w:p w14:paraId="1A9A2FB3">
      <w:pPr>
        <w:pStyle w:val="12"/>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r>
        <w:rPr>
          <w:rFonts w:hint="eastAsia"/>
          <w:color w:val="auto"/>
          <w:sz w:val="24"/>
          <w:highlight w:val="none"/>
          <w:lang w:eastAsia="zh-CN"/>
        </w:rPr>
        <w:t>………………………………………………………………</w:t>
      </w:r>
      <w:r>
        <w:rPr>
          <w:rFonts w:hint="eastAsia"/>
          <w:color w:val="auto"/>
          <w:sz w:val="24"/>
          <w:highlight w:val="none"/>
          <w:lang w:val="en-US" w:eastAsia="zh-CN"/>
        </w:rPr>
        <w:t>22</w:t>
      </w:r>
    </w:p>
    <w:p w14:paraId="73554BF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r>
        <w:rPr>
          <w:rFonts w:hint="eastAsia"/>
          <w:color w:val="auto"/>
          <w:sz w:val="24"/>
          <w:highlight w:val="none"/>
          <w:lang w:eastAsia="zh-CN"/>
        </w:rPr>
        <w:t>……………………………………………</w:t>
      </w:r>
      <w:r>
        <w:rPr>
          <w:rFonts w:hint="eastAsia"/>
          <w:color w:val="auto"/>
          <w:sz w:val="24"/>
          <w:highlight w:val="none"/>
          <w:lang w:val="en-US" w:eastAsia="zh-CN"/>
        </w:rPr>
        <w:t>22</w:t>
      </w:r>
    </w:p>
    <w:p w14:paraId="03E4504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r>
        <w:rPr>
          <w:rFonts w:hint="eastAsia"/>
          <w:color w:val="auto"/>
          <w:sz w:val="24"/>
          <w:highlight w:val="none"/>
          <w:lang w:eastAsia="zh-CN"/>
        </w:rPr>
        <w:t>…………………………………………………………</w:t>
      </w:r>
      <w:r>
        <w:rPr>
          <w:rFonts w:hint="eastAsia"/>
          <w:color w:val="auto"/>
          <w:sz w:val="24"/>
          <w:highlight w:val="none"/>
          <w:lang w:val="en-US" w:eastAsia="zh-CN"/>
        </w:rPr>
        <w:t>22</w:t>
      </w:r>
    </w:p>
    <w:p w14:paraId="4F22F98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r>
        <w:rPr>
          <w:rFonts w:hint="eastAsia"/>
          <w:color w:val="auto"/>
          <w:sz w:val="24"/>
          <w:highlight w:val="none"/>
          <w:lang w:eastAsia="zh-CN"/>
        </w:rPr>
        <w:t>…………………………………………………………</w:t>
      </w:r>
      <w:r>
        <w:rPr>
          <w:rFonts w:hint="eastAsia"/>
          <w:color w:val="auto"/>
          <w:sz w:val="24"/>
          <w:highlight w:val="none"/>
          <w:lang w:val="en-US" w:eastAsia="zh-CN"/>
        </w:rPr>
        <w:t>22</w:t>
      </w:r>
    </w:p>
    <w:p w14:paraId="3DD2282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r>
        <w:rPr>
          <w:rFonts w:hint="eastAsia"/>
          <w:color w:val="auto"/>
          <w:sz w:val="24"/>
          <w:highlight w:val="none"/>
          <w:lang w:eastAsia="zh-CN"/>
        </w:rPr>
        <w:t>………………………………</w:t>
      </w:r>
      <w:r>
        <w:rPr>
          <w:rFonts w:hint="eastAsia"/>
          <w:color w:val="auto"/>
          <w:sz w:val="24"/>
          <w:highlight w:val="none"/>
          <w:lang w:val="en-US" w:eastAsia="zh-CN"/>
        </w:rPr>
        <w:t>22</w:t>
      </w:r>
    </w:p>
    <w:p w14:paraId="5ECB72E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r>
        <w:rPr>
          <w:rFonts w:hint="eastAsia"/>
          <w:color w:val="auto"/>
          <w:sz w:val="24"/>
          <w:highlight w:val="none"/>
          <w:lang w:eastAsia="zh-CN"/>
        </w:rPr>
        <w:t>……………………………………</w:t>
      </w:r>
      <w:r>
        <w:rPr>
          <w:rFonts w:hint="eastAsia"/>
          <w:color w:val="auto"/>
          <w:sz w:val="24"/>
          <w:highlight w:val="none"/>
          <w:lang w:val="en-US" w:eastAsia="zh-CN"/>
        </w:rPr>
        <w:t>22</w:t>
      </w:r>
    </w:p>
    <w:p w14:paraId="17729DC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r>
        <w:rPr>
          <w:rFonts w:hint="eastAsia"/>
          <w:color w:val="auto"/>
          <w:sz w:val="24"/>
          <w:highlight w:val="none"/>
          <w:lang w:eastAsia="zh-CN"/>
        </w:rPr>
        <w:t>……………………</w:t>
      </w:r>
      <w:r>
        <w:rPr>
          <w:rFonts w:hint="eastAsia"/>
          <w:color w:val="auto"/>
          <w:sz w:val="24"/>
          <w:highlight w:val="none"/>
          <w:lang w:val="en-US" w:eastAsia="zh-CN"/>
        </w:rPr>
        <w:t>22</w:t>
      </w:r>
    </w:p>
    <w:p w14:paraId="0DE08CD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color w:val="auto"/>
          <w:sz w:val="24"/>
          <w:highlight w:val="none"/>
          <w:lang w:eastAsia="zh-CN"/>
        </w:rPr>
        <w:t>………………</w:t>
      </w:r>
      <w:r>
        <w:rPr>
          <w:rFonts w:hint="eastAsia"/>
          <w:color w:val="auto"/>
          <w:sz w:val="24"/>
          <w:highlight w:val="none"/>
          <w:lang w:val="en-US" w:eastAsia="zh-CN"/>
        </w:rPr>
        <w:t>22</w:t>
      </w:r>
    </w:p>
    <w:p w14:paraId="7994B80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color w:val="auto"/>
          <w:sz w:val="24"/>
          <w:highlight w:val="none"/>
          <w:lang w:eastAsia="zh-CN"/>
        </w:rPr>
        <w:t>………</w:t>
      </w:r>
      <w:r>
        <w:rPr>
          <w:rFonts w:hint="eastAsia"/>
          <w:color w:val="auto"/>
          <w:sz w:val="24"/>
          <w:highlight w:val="none"/>
          <w:lang w:val="en-US" w:eastAsia="zh-CN"/>
        </w:rPr>
        <w:t>22</w:t>
      </w:r>
    </w:p>
    <w:p w14:paraId="4A60179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color w:val="auto"/>
          <w:sz w:val="24"/>
          <w:highlight w:val="none"/>
          <w:lang w:eastAsia="zh-CN"/>
        </w:rPr>
        <w:t>………………</w:t>
      </w:r>
      <w:r>
        <w:rPr>
          <w:rFonts w:hint="eastAsia"/>
          <w:color w:val="auto"/>
          <w:sz w:val="24"/>
          <w:highlight w:val="none"/>
          <w:lang w:val="en-US" w:eastAsia="zh-CN"/>
        </w:rPr>
        <w:t>22</w:t>
      </w:r>
    </w:p>
    <w:p w14:paraId="2924A94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color w:val="auto"/>
          <w:sz w:val="24"/>
          <w:highlight w:val="none"/>
          <w:lang w:eastAsia="zh-CN"/>
        </w:rPr>
        <w:t>…………</w:t>
      </w:r>
      <w:r>
        <w:rPr>
          <w:rFonts w:hint="eastAsia"/>
          <w:color w:val="auto"/>
          <w:sz w:val="24"/>
          <w:highlight w:val="none"/>
          <w:lang w:val="en-US" w:eastAsia="zh-CN"/>
        </w:rPr>
        <w:t>22</w:t>
      </w:r>
    </w:p>
    <w:p w14:paraId="50183DD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color w:val="auto"/>
          <w:sz w:val="24"/>
          <w:highlight w:val="none"/>
          <w:lang w:eastAsia="zh-CN"/>
        </w:rPr>
        <w:t>……</w:t>
      </w:r>
      <w:r>
        <w:rPr>
          <w:rFonts w:hint="eastAsia"/>
          <w:color w:val="auto"/>
          <w:sz w:val="24"/>
          <w:highlight w:val="none"/>
          <w:lang w:val="en-US" w:eastAsia="zh-CN"/>
        </w:rPr>
        <w:t>22</w:t>
      </w:r>
    </w:p>
    <w:p w14:paraId="4CFE81F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color w:val="auto"/>
          <w:sz w:val="24"/>
          <w:highlight w:val="none"/>
          <w:lang w:eastAsia="zh-CN"/>
        </w:rPr>
        <w:t>…………</w:t>
      </w:r>
      <w:r>
        <w:rPr>
          <w:rFonts w:hint="eastAsia"/>
          <w:color w:val="auto"/>
          <w:sz w:val="24"/>
          <w:highlight w:val="none"/>
          <w:lang w:val="en-US" w:eastAsia="zh-CN"/>
        </w:rPr>
        <w:t>22</w:t>
      </w:r>
    </w:p>
    <w:p w14:paraId="3C4C077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r>
        <w:rPr>
          <w:rFonts w:hint="eastAsia"/>
          <w:color w:val="auto"/>
          <w:sz w:val="24"/>
          <w:highlight w:val="none"/>
          <w:lang w:eastAsia="zh-CN"/>
        </w:rPr>
        <w:t>…………………</w:t>
      </w:r>
      <w:r>
        <w:rPr>
          <w:rFonts w:hint="eastAsia"/>
          <w:color w:val="auto"/>
          <w:sz w:val="24"/>
          <w:highlight w:val="none"/>
          <w:lang w:val="en-US" w:eastAsia="zh-CN"/>
        </w:rPr>
        <w:t>22</w:t>
      </w:r>
    </w:p>
    <w:p w14:paraId="1752840D">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96599"/>
      <w:bookmarkStart w:id="13" w:name="_Toc15377196"/>
      <w:r>
        <w:rPr>
          <w:rFonts w:hint="eastAsia" w:ascii="Times New Roman" w:hAnsi="Times New Roman" w:eastAsia="仿宋_GB2312" w:cs="仿宋_GB2312"/>
          <w:b/>
          <w:color w:val="auto"/>
          <w:sz w:val="32"/>
          <w:szCs w:val="32"/>
          <w:highlight w:val="none"/>
        </w:rPr>
        <w:br w:type="page"/>
      </w:r>
    </w:p>
    <w:p w14:paraId="60072BA7">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p>
    <w:p w14:paraId="61144C3D">
      <w:pPr>
        <w:widowControl/>
        <w:jc w:val="left"/>
        <w:rPr>
          <w:rFonts w:ascii="Times New Roman" w:hAnsi="Times New Roman" w:eastAsia="黑体"/>
          <w:color w:val="auto"/>
          <w:sz w:val="32"/>
          <w:szCs w:val="32"/>
          <w:highlight w:val="none"/>
        </w:rPr>
      </w:pPr>
    </w:p>
    <w:p w14:paraId="2D8603C3">
      <w:pPr>
        <w:pStyle w:val="4"/>
        <w:rPr>
          <w:rFonts w:hint="eastAsia" w:ascii="Times New Roman" w:hAnsi="Times New Roman" w:eastAsia="黑体"/>
          <w:b w:val="0"/>
          <w:color w:val="auto"/>
          <w:highlight w:val="none"/>
          <w:lang w:eastAsia="zh-CN"/>
        </w:rPr>
      </w:pPr>
      <w:bookmarkStart w:id="14" w:name="_Toc15396600"/>
      <w:bookmarkStart w:id="15" w:name="_Toc15377197"/>
      <w:r>
        <w:rPr>
          <w:rFonts w:hint="eastAsia" w:ascii="Times New Roman" w:hAnsi="Times New Roman" w:eastAsia="黑体"/>
          <w:b w:val="0"/>
          <w:color w:val="auto"/>
          <w:highlight w:val="none"/>
        </w:rPr>
        <w:t>一、</w:t>
      </w:r>
      <w:bookmarkEnd w:id="14"/>
      <w:bookmarkEnd w:id="15"/>
      <w:r>
        <w:rPr>
          <w:rFonts w:hint="eastAsia" w:ascii="Times New Roman" w:hAnsi="Times New Roman" w:eastAsia="黑体"/>
          <w:b w:val="0"/>
          <w:color w:val="auto"/>
          <w:highlight w:val="none"/>
          <w:lang w:eastAsia="zh-CN"/>
        </w:rPr>
        <w:t>部门职责</w:t>
      </w:r>
    </w:p>
    <w:p w14:paraId="79777E3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根据《攀枝花市人民政府办公室　关于印发攀枝花市人民政府驻北京联络处主要职责内设机构和人员编制规定的通知》（攀办发﹝2011﹞46号），攀枝花市人民政府驻北京联络处主要职责为：</w:t>
      </w:r>
    </w:p>
    <w:p w14:paraId="1B2C3BD1">
      <w:pPr>
        <w:ind w:firstLine="640" w:firstLineChars="200"/>
        <w:rPr>
          <w:rFonts w:hint="eastAsia"/>
          <w:lang w:eastAsia="zh-CN"/>
        </w:rPr>
      </w:pPr>
      <w:r>
        <w:rPr>
          <w:rFonts w:hint="eastAsia" w:ascii="仿宋_GB2312" w:hAnsi="仿宋_GB2312" w:eastAsia="仿宋_GB2312" w:cs="仿宋_GB2312"/>
          <w:color w:val="auto"/>
          <w:sz w:val="32"/>
          <w:szCs w:val="32"/>
          <w:highlight w:val="none"/>
        </w:rPr>
        <w:t>1.负责与中央国家机关和相关驻京机构的联络。2.开展宣传、联络、协调、信息收集与传递工作，为市委、市政府决策提供参考。3.开展招商引资和区域间经济、技术、人才、文化交流与合作。4.承担有关接待工作，为市级</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县（区）、企事业单位以及基层组织、社会组织和人民群众在京活动提供服务。5.协助做好我市在京流动党员教育管理服务工作，配合做好维护首都稳定的有关工作。6.负责对联络处的国有资产进行监督管理。7.承办市委、市政府和主管</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交办的其它工作。</w:t>
      </w:r>
    </w:p>
    <w:p w14:paraId="69CF8412">
      <w:pPr>
        <w:pStyle w:val="4"/>
        <w:rPr>
          <w:rStyle w:val="29"/>
          <w:rFonts w:ascii="Times New Roman" w:hAnsi="Times New Roman"/>
          <w:b w:val="0"/>
          <w:bCs w:val="0"/>
          <w:color w:val="auto"/>
          <w:highlight w:val="none"/>
        </w:rPr>
      </w:pPr>
      <w:bookmarkStart w:id="16" w:name="_Toc15377200"/>
      <w:bookmarkStart w:id="17"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6"/>
      <w:bookmarkEnd w:id="17"/>
    </w:p>
    <w:p w14:paraId="5EAF30AB">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四川省攀枝花市人民政府驻北京联络处</w:t>
      </w:r>
      <w:r>
        <w:rPr>
          <w:rFonts w:hint="eastAsia" w:ascii="Times New Roman" w:hAnsi="Times New Roman" w:eastAsia="仿宋_GB2312" w:cs="仿宋_GB2312"/>
          <w:color w:val="auto"/>
          <w:sz w:val="32"/>
          <w:szCs w:val="32"/>
          <w:highlight w:val="none"/>
        </w:rPr>
        <w:t>攀枝花市人民政府驻北京联络处下属二级单位1个，其中全额拨款事业单位1个，财务不独立。</w:t>
      </w:r>
    </w:p>
    <w:p w14:paraId="52C6BDDD">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311F2770">
      <w:pPr>
        <w:pStyle w:val="3"/>
        <w:jc w:val="center"/>
        <w:rPr>
          <w:rFonts w:hint="eastAsia" w:ascii="Times New Roman" w:hAnsi="Times New Roman" w:eastAsia="方正小标宋简体" w:cs="方正小标宋简体"/>
          <w:b w:val="0"/>
          <w:color w:val="auto"/>
          <w:highlight w:val="none"/>
        </w:rPr>
      </w:pPr>
      <w:bookmarkStart w:id="18" w:name="_Toc15377204"/>
      <w:bookmarkStart w:id="19"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8"/>
      <w:bookmarkEnd w:id="19"/>
    </w:p>
    <w:p w14:paraId="3602A036">
      <w:pPr>
        <w:rPr>
          <w:rFonts w:ascii="Times New Roman" w:hAnsi="Times New Roman"/>
          <w:color w:val="auto"/>
          <w:highlight w:val="none"/>
        </w:rPr>
      </w:pPr>
    </w:p>
    <w:p w14:paraId="007D938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0" w:name="_Toc15396603"/>
      <w:bookmarkStart w:id="21"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0"/>
      <w:bookmarkEnd w:id="21"/>
    </w:p>
    <w:p w14:paraId="6EBEB23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bookmarkStart w:id="22" w:name="_Toc15396604"/>
      <w:bookmarkStart w:id="23" w:name="_Toc15377206"/>
      <w:r>
        <w:rPr>
          <w:rFonts w:hint="eastAsia" w:ascii="Times New Roman" w:hAnsi="Times New Roman" w:eastAsia="仿宋_GB2312" w:cs="仿宋_GB2312"/>
          <w:color w:val="auto"/>
          <w:sz w:val="32"/>
          <w:szCs w:val="32"/>
          <w:highlight w:val="none"/>
          <w:lang w:eastAsia="zh-CN"/>
        </w:rPr>
        <w:t>2024年度收入、支出总计均为237.41万元。与202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年度相比，收入、支出总计各减少</w:t>
      </w:r>
      <w:r>
        <w:rPr>
          <w:rFonts w:hint="eastAsia" w:ascii="Times New Roman" w:hAnsi="Times New Roman" w:eastAsia="仿宋_GB2312" w:cs="仿宋_GB2312"/>
          <w:color w:val="auto"/>
          <w:sz w:val="32"/>
          <w:szCs w:val="32"/>
          <w:highlight w:val="none"/>
          <w:lang w:val="en-US" w:eastAsia="zh-CN"/>
        </w:rPr>
        <w:t>31.88</w:t>
      </w:r>
      <w:r>
        <w:rPr>
          <w:rFonts w:hint="eastAsia" w:ascii="Times New Roman" w:hAnsi="Times New Roman" w:eastAsia="仿宋_GB2312" w:cs="仿宋_GB2312"/>
          <w:color w:val="auto"/>
          <w:sz w:val="32"/>
          <w:szCs w:val="32"/>
          <w:highlight w:val="none"/>
          <w:lang w:eastAsia="zh-CN"/>
        </w:rPr>
        <w:t>万元，下降</w:t>
      </w:r>
      <w:r>
        <w:rPr>
          <w:rFonts w:hint="eastAsia" w:ascii="Times New Roman" w:hAnsi="Times New Roman" w:eastAsia="仿宋_GB2312" w:cs="仿宋_GB2312"/>
          <w:color w:val="auto"/>
          <w:sz w:val="32"/>
          <w:szCs w:val="32"/>
          <w:highlight w:val="none"/>
          <w:lang w:val="en-US" w:eastAsia="zh-CN"/>
        </w:rPr>
        <w:t>11.84</w:t>
      </w:r>
      <w:r>
        <w:rPr>
          <w:rFonts w:hint="eastAsia" w:ascii="Times New Roman" w:hAnsi="Times New Roman" w:eastAsia="仿宋_GB2312" w:cs="仿宋_GB2312"/>
          <w:color w:val="auto"/>
          <w:sz w:val="32"/>
          <w:szCs w:val="32"/>
          <w:highlight w:val="none"/>
          <w:lang w:eastAsia="zh-CN"/>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ascii="Times New Roman" w:hAnsi="Times New Roman" w:eastAsia="仿宋_GB2312" w:cs="仿宋_GB2312"/>
          <w:color w:val="auto"/>
          <w:sz w:val="32"/>
          <w:szCs w:val="32"/>
          <w:highlight w:val="none"/>
          <w:lang w:eastAsia="zh-CN"/>
        </w:rPr>
        <w:t>有人员调出。</w:t>
      </w:r>
    </w:p>
    <w:p w14:paraId="0DC262A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ascii="Times New Roman" w:hAnsi="Times New Roman" w:eastAsia="黑体"/>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100965</wp:posOffset>
            </wp:positionH>
            <wp:positionV relativeFrom="paragraph">
              <wp:posOffset>299720</wp:posOffset>
            </wp:positionV>
            <wp:extent cx="4827905" cy="2498725"/>
            <wp:effectExtent l="4445" t="4445" r="6350" b="1143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黑体"/>
          <w:color w:val="auto"/>
          <w:sz w:val="32"/>
          <w:szCs w:val="32"/>
          <w:highlight w:val="none"/>
          <w:lang w:eastAsia="zh-CN"/>
        </w:rPr>
        <w:t>二、收入决算情况说明</w:t>
      </w:r>
      <w:bookmarkEnd w:id="22"/>
      <w:bookmarkEnd w:id="23"/>
    </w:p>
    <w:p w14:paraId="6A42CD9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237.41万元，其中：一般公共预算财政拨款收入237.41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p>
    <w:p w14:paraId="3A9664A6">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474210" cy="2108835"/>
            <wp:effectExtent l="4445" t="5080" r="17145" b="19685"/>
            <wp:docPr id="5" name="图表 4" descr="7b0a202020202263686172745265734964223a2022323034373638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295D3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4" w:name="_Toc15377207"/>
      <w:bookmarkStart w:id="25"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4"/>
      <w:bookmarkEnd w:id="25"/>
    </w:p>
    <w:p w14:paraId="0880FB9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237.41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198.09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83.43</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39.32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16.56</w:t>
      </w:r>
      <w:r>
        <w:rPr>
          <w:rFonts w:hint="eastAsia" w:ascii="仿宋_GB2312" w:hAnsi="仿宋_GB2312" w:eastAsia="仿宋_GB2312" w:cs="仿宋_GB2312"/>
          <w:color w:val="auto"/>
          <w:sz w:val="32"/>
          <w:szCs w:val="32"/>
          <w:highlight w:val="none"/>
          <w:lang w:eastAsia="zh-CN"/>
        </w:rPr>
        <w:t>%。</w:t>
      </w:r>
    </w:p>
    <w:p w14:paraId="7CD28DC0">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820285" cy="2828925"/>
            <wp:effectExtent l="4445" t="5080" r="13970" b="44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734E4B">
      <w:pPr>
        <w:ind w:firstLine="800" w:firstLineChars="250"/>
        <w:rPr>
          <w:rFonts w:hint="eastAsia" w:ascii="Times New Roman" w:hAnsi="Times New Roman" w:eastAsia="仿宋_GB2312" w:cs="仿宋_GB2312"/>
          <w:color w:val="auto"/>
          <w:sz w:val="32"/>
          <w:szCs w:val="32"/>
          <w:highlight w:val="none"/>
          <w:lang w:eastAsia="zh-CN"/>
        </w:rPr>
      </w:pPr>
    </w:p>
    <w:p w14:paraId="2A8F45C2">
      <w:pPr>
        <w:spacing w:line="600" w:lineRule="exact"/>
        <w:ind w:firstLine="640" w:firstLineChars="200"/>
        <w:outlineLvl w:val="1"/>
        <w:rPr>
          <w:rStyle w:val="29"/>
          <w:rFonts w:ascii="Times New Roman" w:hAnsi="Times New Roman" w:eastAsia="黑体"/>
          <w:b w:val="0"/>
          <w:color w:val="auto"/>
          <w:highlight w:val="none"/>
        </w:rPr>
      </w:pPr>
      <w:bookmarkStart w:id="26" w:name="_Toc15377208"/>
      <w:bookmarkStart w:id="27"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6"/>
      <w:bookmarkEnd w:id="27"/>
    </w:p>
    <w:p w14:paraId="45FEA8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237.41</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ascii="Times New Roman" w:hAnsi="Times New Roman" w:eastAsia="仿宋_GB2312" w:cs="仿宋_GB2312"/>
          <w:color w:val="auto"/>
          <w:sz w:val="32"/>
          <w:szCs w:val="32"/>
          <w:highlight w:val="none"/>
          <w:lang w:eastAsia="zh-CN"/>
        </w:rPr>
        <w:t>减少</w:t>
      </w:r>
      <w:r>
        <w:rPr>
          <w:rFonts w:hint="eastAsia" w:ascii="Times New Roman" w:hAnsi="Times New Roman" w:eastAsia="仿宋_GB2312" w:cs="仿宋_GB2312"/>
          <w:color w:val="auto"/>
          <w:sz w:val="32"/>
          <w:szCs w:val="32"/>
          <w:highlight w:val="none"/>
          <w:lang w:val="en-US" w:eastAsia="zh-CN"/>
        </w:rPr>
        <w:t>31.88</w:t>
      </w:r>
      <w:r>
        <w:rPr>
          <w:rFonts w:hint="eastAsia" w:ascii="Times New Roman" w:hAnsi="Times New Roman" w:eastAsia="仿宋_GB2312" w:cs="仿宋_GB2312"/>
          <w:color w:val="auto"/>
          <w:sz w:val="32"/>
          <w:szCs w:val="32"/>
          <w:highlight w:val="none"/>
          <w:lang w:eastAsia="zh-CN"/>
        </w:rPr>
        <w:t>万元，下降</w:t>
      </w:r>
      <w:r>
        <w:rPr>
          <w:rFonts w:hint="eastAsia" w:ascii="Times New Roman" w:hAnsi="Times New Roman" w:eastAsia="仿宋_GB2312" w:cs="仿宋_GB2312"/>
          <w:color w:val="auto"/>
          <w:sz w:val="32"/>
          <w:szCs w:val="32"/>
          <w:highlight w:val="none"/>
          <w:lang w:val="en-US" w:eastAsia="zh-CN"/>
        </w:rPr>
        <w:t>11.84</w:t>
      </w:r>
      <w:r>
        <w:rPr>
          <w:rFonts w:hint="eastAsia" w:ascii="Times New Roman" w:hAnsi="Times New Roman" w:eastAsia="仿宋_GB2312" w:cs="仿宋_GB2312"/>
          <w:color w:val="auto"/>
          <w:sz w:val="32"/>
          <w:szCs w:val="32"/>
          <w:highlight w:val="none"/>
          <w:lang w:eastAsia="zh-CN"/>
        </w:rPr>
        <w:t>%。主要变动原因是</w:t>
      </w:r>
      <w:r>
        <w:rPr>
          <w:rFonts w:hint="eastAsia" w:ascii="Times New Roman" w:hAnsi="Times New Roman" w:eastAsia="仿宋_GB2312" w:cs="仿宋_GB2312"/>
          <w:color w:val="auto"/>
          <w:sz w:val="32"/>
          <w:szCs w:val="32"/>
          <w:highlight w:val="none"/>
          <w:lang w:val="en-US" w:eastAsia="zh-CN"/>
        </w:rPr>
        <w:t>2024年</w:t>
      </w:r>
      <w:r>
        <w:rPr>
          <w:rFonts w:hint="eastAsia" w:ascii="Times New Roman" w:hAnsi="Times New Roman" w:eastAsia="仿宋_GB2312" w:cs="仿宋_GB2312"/>
          <w:color w:val="auto"/>
          <w:sz w:val="32"/>
          <w:szCs w:val="32"/>
          <w:highlight w:val="none"/>
          <w:lang w:eastAsia="zh-CN"/>
        </w:rPr>
        <w:t>有人员调出。</w:t>
      </w:r>
    </w:p>
    <w:p w14:paraId="5752C3D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0288" behindDoc="0" locked="0" layoutInCell="1" allowOverlap="1">
            <wp:simplePos x="0" y="0"/>
            <wp:positionH relativeFrom="column">
              <wp:posOffset>361950</wp:posOffset>
            </wp:positionH>
            <wp:positionV relativeFrom="paragraph">
              <wp:posOffset>111125</wp:posOffset>
            </wp:positionV>
            <wp:extent cx="4653915" cy="2270125"/>
            <wp:effectExtent l="4445" t="4445" r="8890" b="1143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B4B365B">
      <w:pPr>
        <w:spacing w:line="600" w:lineRule="exact"/>
        <w:ind w:firstLine="640" w:firstLineChars="200"/>
        <w:outlineLvl w:val="1"/>
        <w:rPr>
          <w:rStyle w:val="29"/>
          <w:rFonts w:ascii="Times New Roman" w:hAnsi="Times New Roman" w:eastAsia="黑体"/>
          <w:b w:val="0"/>
          <w:color w:val="auto"/>
          <w:highlight w:val="none"/>
        </w:rPr>
      </w:pPr>
      <w:bookmarkStart w:id="28" w:name="_Toc15396607"/>
      <w:bookmarkStart w:id="29"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8"/>
      <w:bookmarkEnd w:id="29"/>
    </w:p>
    <w:p w14:paraId="4749CED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0"/>
    </w:p>
    <w:p w14:paraId="0BCCD39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237.41</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lang w:val="en-US" w:eastAsia="zh-CN"/>
        </w:rPr>
        <w:t>减少31.88万元，下降11.84%。主要变动原因是2024年有人员调出。</w:t>
      </w:r>
    </w:p>
    <w:p w14:paraId="72D02ABB">
      <w:pPr>
        <w:spacing w:line="600" w:lineRule="exact"/>
        <w:ind w:firstLine="640"/>
        <w:rPr>
          <w:rFonts w:hint="eastAsia" w:ascii="Times New Roman" w:hAnsi="Times New Roman" w:eastAsia="楷体_GB2312" w:cs="楷体_GB2312"/>
          <w:b/>
          <w:color w:val="auto"/>
          <w:sz w:val="32"/>
          <w:szCs w:val="32"/>
          <w:highlight w:val="none"/>
        </w:rPr>
      </w:pPr>
      <w:r>
        <w:drawing>
          <wp:anchor distT="0" distB="0" distL="114300" distR="114300" simplePos="0" relativeHeight="251661312" behindDoc="0" locked="0" layoutInCell="1" allowOverlap="1">
            <wp:simplePos x="0" y="0"/>
            <wp:positionH relativeFrom="column">
              <wp:posOffset>305435</wp:posOffset>
            </wp:positionH>
            <wp:positionV relativeFrom="paragraph">
              <wp:posOffset>151765</wp:posOffset>
            </wp:positionV>
            <wp:extent cx="4829810" cy="2828925"/>
            <wp:effectExtent l="4445" t="4445" r="23495" b="5080"/>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234E98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1"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1"/>
    </w:p>
    <w:p w14:paraId="3F524454">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237.41</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196.15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82.62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21.04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8.86</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8.31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3.5</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11.92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5.02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F001ED3">
      <w:pPr>
        <w:pStyle w:val="2"/>
        <w:rPr>
          <w:rFonts w:hint="eastAsia"/>
          <w:lang w:val="en-US" w:eastAsia="zh-CN"/>
        </w:rPr>
      </w:pPr>
      <w:r>
        <w:drawing>
          <wp:inline distT="0" distB="0" distL="114300" distR="114300">
            <wp:extent cx="4824095" cy="2828925"/>
            <wp:effectExtent l="4445" t="5080" r="10160" b="444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108BD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2"/>
    </w:p>
    <w:p w14:paraId="667CBC3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3" w:name="_Toc15378460"/>
      <w:bookmarkStart w:id="34" w:name="_Toc15377213"/>
      <w:bookmarkStart w:id="35"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2024年度一般公共预算财政拨款支出决算数为237.41万元，完成预算100%。其中：</w:t>
      </w:r>
      <w:bookmarkEnd w:id="33"/>
      <w:bookmarkEnd w:id="34"/>
      <w:bookmarkEnd w:id="35"/>
    </w:p>
    <w:p w14:paraId="3A8FB5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1.一般公共服务（类）政府办公厅（室）及相关机构事务（款）行政运行（项）:支出决算为136.18万元，完成预算100%。</w:t>
      </w:r>
    </w:p>
    <w:p w14:paraId="1D06A0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2.一般公共服务（类）政府办公厅（室）及相关机构事务（款）一般行政管理事务（项）: 支出决算为39.32万元，完成预算100%。</w:t>
      </w:r>
    </w:p>
    <w:p w14:paraId="7CCA4A1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3.一般公共服务（类）政府办公厅（室）及相关机构事务（款）事业运行（项）: 支出决算为21.04万元，完成预算100%。</w:t>
      </w:r>
    </w:p>
    <w:p w14:paraId="0E21D57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4.社会保障和就业（类）行政事业单位离退休（款）行政单位离退休（项）：支出决算为6.06万元，完成预算100%。</w:t>
      </w:r>
    </w:p>
    <w:p w14:paraId="34528DD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5.社会保障和就业（类）行政事业单位离退休（款）机关事业单位基本养老保险缴费支出（项）：支出决算为14.98万元，完成预算100%。</w:t>
      </w:r>
    </w:p>
    <w:p w14:paraId="36780F0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6.卫生健康支出（类）行政事业单位医疗（款）行政单位医疗（项）：支出决算为6.45万元，完成预算100%。</w:t>
      </w:r>
    </w:p>
    <w:p w14:paraId="709A48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7.卫生健康支出（类）行政事业单位医疗（款）事业单位医疗（项）：支出决算为1.19万元，完成预算100%。</w:t>
      </w:r>
    </w:p>
    <w:p w14:paraId="312D531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8.卫生健康支出（类）行政事业单位医疗（款）公务员医疗补助（项）：支出决算为0.55万元，完成预算100%。</w:t>
      </w:r>
    </w:p>
    <w:p w14:paraId="7504506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9.卫生健康支出（类）其他卫生健康支出（款）其他卫生健康支出（项）：支出决算为0.11万元，完成预算100%。</w:t>
      </w:r>
    </w:p>
    <w:p w14:paraId="7B11B6B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10.住房保障支出（类）住房改革支出（款）住房公积金（项）:支出决算为11.92万元，完成预算100%。</w:t>
      </w:r>
    </w:p>
    <w:p w14:paraId="1BAC22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302C149">
      <w:pPr>
        <w:tabs>
          <w:tab w:val="right" w:pos="8306"/>
        </w:tabs>
        <w:spacing w:line="600" w:lineRule="exact"/>
        <w:ind w:firstLine="640"/>
        <w:outlineLvl w:val="1"/>
        <w:rPr>
          <w:rStyle w:val="29"/>
          <w:rFonts w:ascii="Times New Roman" w:hAnsi="Times New Roman"/>
          <w:color w:val="auto"/>
          <w:highlight w:val="none"/>
        </w:rPr>
      </w:pPr>
      <w:bookmarkStart w:id="36" w:name="_Toc15396608"/>
      <w:bookmarkStart w:id="37"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6"/>
      <w:bookmarkEnd w:id="37"/>
      <w:r>
        <w:rPr>
          <w:rStyle w:val="29"/>
          <w:rFonts w:ascii="Times New Roman" w:hAnsi="Times New Roman" w:eastAsia="黑体"/>
          <w:b w:val="0"/>
          <w:color w:val="auto"/>
          <w:highlight w:val="none"/>
        </w:rPr>
        <w:tab/>
      </w:r>
    </w:p>
    <w:p w14:paraId="132F5EE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2024年度一般公共预算财政拨款基本支出198.09万元，其中：</w:t>
      </w:r>
    </w:p>
    <w:p w14:paraId="4F57553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143.55万元，主要包括：基本工资、津贴补贴、奖金、绩效工资、机关事业单位基本养老保险缴费、职业年金缴费、其他社会保障缴费、其他工资福利支出、退休费、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54.54万元，主要包括：办公费、印刷费、水费、电费、邮电费、物业管理费、差旅费维修（护）费、租赁费、劳务费、委托业务费、工会经费、福利费、公务用车运行维护费、其他交通费、税金及附加费用、其他商品和服务支出等。</w:t>
      </w:r>
    </w:p>
    <w:p w14:paraId="5F247898">
      <w:pPr>
        <w:pStyle w:val="2"/>
        <w:rPr>
          <w:rFonts w:hint="eastAsia"/>
          <w:lang w:val="en-US" w:eastAsia="zh-CN"/>
        </w:rPr>
      </w:pPr>
    </w:p>
    <w:p w14:paraId="39224403">
      <w:pPr>
        <w:spacing w:line="600" w:lineRule="exact"/>
        <w:ind w:firstLine="640"/>
        <w:outlineLvl w:val="1"/>
        <w:rPr>
          <w:rStyle w:val="29"/>
          <w:rFonts w:ascii="Times New Roman" w:hAnsi="Times New Roman" w:eastAsia="黑体"/>
          <w:b w:val="0"/>
          <w:color w:val="auto"/>
          <w:highlight w:val="none"/>
        </w:rPr>
      </w:pPr>
      <w:bookmarkStart w:id="38" w:name="_Toc15396609"/>
      <w:bookmarkStart w:id="39"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8"/>
      <w:bookmarkEnd w:id="39"/>
    </w:p>
    <w:p w14:paraId="2E427C4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16"/>
      <w:bookmarkStart w:id="41" w:name="_Toc15396610"/>
      <w:bookmarkStart w:id="42" w:name="_Toc15377218"/>
      <w:r>
        <w:rPr>
          <w:rFonts w:hint="eastAsia" w:ascii="Times New Roman" w:hAnsi="Times New Roman" w:eastAsia="楷体_GB2312" w:cs="楷体_GB2312"/>
          <w:b/>
          <w:color w:val="auto"/>
          <w:sz w:val="32"/>
          <w:szCs w:val="32"/>
          <w:highlight w:val="none"/>
        </w:rPr>
        <w:t>（一）“三公”经费财政拨款支出决算总体情况说明</w:t>
      </w:r>
      <w:bookmarkEnd w:id="40"/>
    </w:p>
    <w:p w14:paraId="4136678C">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2024年度“三公”经费财政拨款支出决算为4.54万元，完成预算100%，较上年度减少0.13万元，下降2.78%。</w:t>
      </w:r>
    </w:p>
    <w:p w14:paraId="1B1CB61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3"/>
    </w:p>
    <w:p w14:paraId="49A95C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2024年度“三公”经费财政拨款支出决算中，因公出国（境）费支出决算0万元，占0%；公务用车购置及运行维护费支出决算4.54万元，占100%；公务接待费支出决算0万元，占0%。具体情况如下：</w:t>
      </w:r>
    </w:p>
    <w:p w14:paraId="61329077">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212725</wp:posOffset>
            </wp:positionH>
            <wp:positionV relativeFrom="paragraph">
              <wp:posOffset>132080</wp:posOffset>
            </wp:positionV>
            <wp:extent cx="4818380" cy="2743200"/>
            <wp:effectExtent l="4445" t="4445" r="15875" b="14605"/>
            <wp:wrapTopAndBottom/>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3D72052">
      <w:pPr>
        <w:numPr>
          <w:ilvl w:val="0"/>
          <w:numId w:val="1"/>
        </w:num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p>
    <w:p w14:paraId="4862E4B0">
      <w:pPr>
        <w:numPr>
          <w:ilvl w:val="0"/>
          <w:numId w:val="0"/>
        </w:num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4.54万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公务用车购置及运行维护费支出决算比2023年度减少0.13万元，下降2.78%。主要原因是根据要求减少公用经费支出。</w:t>
      </w:r>
    </w:p>
    <w:p w14:paraId="6568BDB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其中：公务用车购置支出0万元。截至2024年12月31日，单位共有公务用车4辆，其中：轿车2辆、商务车2辆。</w:t>
      </w:r>
    </w:p>
    <w:p w14:paraId="5EEEC2F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公务用车运行维护费支出4.54万元。主要用于对外联络、招商引资、信访维稳等所需的公务用车燃料费、维修费、过路过桥费、保险费等支出。</w:t>
      </w:r>
    </w:p>
    <w:p w14:paraId="4826D8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p>
    <w:p w14:paraId="08B611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0656F36">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1"/>
      <w:bookmarkEnd w:id="42"/>
    </w:p>
    <w:p w14:paraId="0775F58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14:paraId="6147E3E0">
      <w:pPr>
        <w:pStyle w:val="2"/>
        <w:rPr>
          <w:rFonts w:hint="eastAsia"/>
          <w:lang w:val="en-US" w:eastAsia="zh-CN"/>
        </w:rPr>
      </w:pPr>
    </w:p>
    <w:p w14:paraId="6E7D6ADF">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4" w:name="_Toc15377219"/>
      <w:bookmarkStart w:id="45"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4"/>
      <w:bookmarkEnd w:id="45"/>
    </w:p>
    <w:p w14:paraId="6F2BFA08">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14:paraId="0723E488">
      <w:pPr>
        <w:pStyle w:val="2"/>
        <w:rPr>
          <w:rFonts w:hint="eastAsia"/>
          <w:lang w:val="en-US" w:eastAsia="zh-CN"/>
        </w:rPr>
      </w:pPr>
    </w:p>
    <w:p w14:paraId="3BADE78C">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6" w:name="_Toc15396612"/>
      <w:bookmarkStart w:id="47"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6"/>
      <w:bookmarkEnd w:id="47"/>
    </w:p>
    <w:p w14:paraId="0F3582E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2"/>
      <w:r>
        <w:rPr>
          <w:rFonts w:hint="eastAsia" w:ascii="Times New Roman" w:hAnsi="Times New Roman" w:eastAsia="楷体_GB2312" w:cs="楷体_GB2312"/>
          <w:b/>
          <w:color w:val="auto"/>
          <w:sz w:val="32"/>
          <w:szCs w:val="32"/>
          <w:highlight w:val="none"/>
        </w:rPr>
        <w:t>（一）机关运行经费支出情况</w:t>
      </w:r>
      <w:bookmarkEnd w:id="48"/>
    </w:p>
    <w:p w14:paraId="1AA768A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四川省攀枝花市人民政府驻北京联络处</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54.54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元，比2023年度比2023年度增加28.95万元，增长</w:t>
      </w:r>
      <w:r>
        <w:rPr>
          <w:rFonts w:hint="eastAsia" w:eastAsia="仿宋_GB2312" w:cs="仿宋_GB2312"/>
          <w:color w:val="auto"/>
          <w:kern w:val="2"/>
          <w:sz w:val="32"/>
          <w:szCs w:val="32"/>
          <w:highlight w:val="none"/>
          <w:lang w:val="en-US" w:eastAsia="zh-CN" w:bidi="ar-SA"/>
        </w:rPr>
        <w:t>113.13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调整经费使用科目。</w:t>
      </w:r>
    </w:p>
    <w:p w14:paraId="4AA741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0C1734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23"/>
      <w:r>
        <w:rPr>
          <w:rFonts w:hint="eastAsia" w:ascii="Times New Roman" w:hAnsi="Times New Roman" w:eastAsia="楷体_GB2312" w:cs="楷体_GB2312"/>
          <w:b/>
          <w:color w:val="auto"/>
          <w:sz w:val="32"/>
          <w:szCs w:val="32"/>
          <w:highlight w:val="none"/>
        </w:rPr>
        <w:t>（二）政府采购支出情况</w:t>
      </w:r>
      <w:bookmarkEnd w:id="49"/>
    </w:p>
    <w:p w14:paraId="755B6B9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四川省攀枝花市人民政府驻北京联络处</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14:paraId="19422EE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7D6C81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4"/>
      <w:r>
        <w:rPr>
          <w:rFonts w:hint="eastAsia" w:ascii="Times New Roman" w:hAnsi="Times New Roman" w:eastAsia="楷体_GB2312" w:cs="楷体_GB2312"/>
          <w:b/>
          <w:color w:val="auto"/>
          <w:sz w:val="32"/>
          <w:szCs w:val="32"/>
          <w:highlight w:val="none"/>
        </w:rPr>
        <w:t>（三）国有资产占有使用情况</w:t>
      </w:r>
      <w:bookmarkEnd w:id="50"/>
    </w:p>
    <w:p w14:paraId="46F8AD2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四川省攀枝花市人民政府驻北京联络处</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w:t>
      </w:r>
      <w:r>
        <w:rPr>
          <w:rFonts w:hint="eastAsia" w:ascii="Times New Roman" w:hAnsi="Times New Roman" w:eastAsia="仿宋_GB2312" w:cs="仿宋_GB2312"/>
          <w:color w:val="auto"/>
          <w:kern w:val="2"/>
          <w:sz w:val="32"/>
          <w:szCs w:val="32"/>
          <w:highlight w:val="none"/>
          <w:lang w:val="en-US" w:eastAsia="zh-CN" w:bidi="ar-SA"/>
        </w:rPr>
        <w:t>保障联络处正常业务开展和运行。</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1E4E39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3EA9B9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518C3B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攀枝花市人民政府驻北京联络处</w:t>
      </w:r>
      <w:r>
        <w:rPr>
          <w:rFonts w:hint="eastAsia" w:ascii="Times New Roman" w:hAnsi="Times New Roman" w:eastAsia="仿宋_GB2312" w:cs="仿宋_GB2312"/>
          <w:color w:val="auto"/>
          <w:kern w:val="2"/>
          <w:sz w:val="32"/>
          <w:szCs w:val="32"/>
          <w:highlight w:val="none"/>
          <w:lang w:val="en-US" w:eastAsia="zh-CN" w:bidi="ar-SA"/>
        </w:rPr>
        <w:t>在2024年度预算编制阶段，组织对房屋租赁费、招商引资及信访维稳费</w:t>
      </w:r>
      <w:r>
        <w:rPr>
          <w:rFonts w:hint="eastAsia" w:eastAsia="仿宋_GB2312" w:cs="仿宋_GB2312"/>
          <w:color w:val="auto"/>
          <w:kern w:val="2"/>
          <w:sz w:val="32"/>
          <w:szCs w:val="32"/>
          <w:highlight w:val="none"/>
          <w:lang w:val="en-US" w:eastAsia="zh-CN" w:bidi="ar-SA"/>
        </w:rPr>
        <w:t>、干部异地体检</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含人员经费和日常公用经费在内的43</w:t>
      </w:r>
      <w:r>
        <w:rPr>
          <w:rFonts w:hint="eastAsia" w:ascii="Times New Roman" w:hAnsi="Times New Roman" w:eastAsia="仿宋_GB2312" w:cs="仿宋_GB2312"/>
          <w:color w:val="auto"/>
          <w:kern w:val="2"/>
          <w:sz w:val="32"/>
          <w:szCs w:val="32"/>
          <w:highlight w:val="none"/>
          <w:lang w:val="en-US" w:eastAsia="zh-CN" w:bidi="ar-SA"/>
        </w:rPr>
        <w:t>个</w:t>
      </w:r>
      <w:r>
        <w:rPr>
          <w:rFonts w:hint="eastAsia" w:eastAsia="仿宋_GB2312" w:cs="仿宋_GB2312"/>
          <w:color w:val="auto"/>
          <w:kern w:val="2"/>
          <w:sz w:val="32"/>
          <w:szCs w:val="32"/>
          <w:highlight w:val="none"/>
          <w:lang w:val="en-US" w:eastAsia="zh-CN" w:bidi="ar-SA"/>
        </w:rPr>
        <w:t>整体</w:t>
      </w:r>
      <w:r>
        <w:rPr>
          <w:rFonts w:hint="eastAsia" w:ascii="Times New Roman" w:hAnsi="Times New Roman" w:eastAsia="仿宋_GB2312" w:cs="仿宋_GB2312"/>
          <w:color w:val="auto"/>
          <w:kern w:val="2"/>
          <w:sz w:val="32"/>
          <w:szCs w:val="32"/>
          <w:highlight w:val="none"/>
          <w:lang w:val="en-US" w:eastAsia="zh-CN" w:bidi="ar-SA"/>
        </w:rPr>
        <w:t>项目开展绩效监控。</w:t>
      </w:r>
    </w:p>
    <w:p w14:paraId="5EE91FA6">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组织对2024年度一般公共预算全面开展绩效自评，形成</w:t>
      </w:r>
      <w:r>
        <w:rPr>
          <w:rFonts w:hint="eastAsia" w:eastAsia="仿宋_GB2312" w:cs="仿宋_GB2312"/>
          <w:color w:val="auto"/>
          <w:kern w:val="2"/>
          <w:sz w:val="32"/>
          <w:szCs w:val="32"/>
          <w:highlight w:val="none"/>
          <w:lang w:val="en-US" w:eastAsia="zh-CN" w:bidi="ar-SA"/>
        </w:rPr>
        <w:t>市政府驻北京联络处单位</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预算项目）绩效自评报告，其中，</w:t>
      </w:r>
      <w:r>
        <w:rPr>
          <w:rFonts w:hint="eastAsia" w:eastAsia="仿宋_GB2312" w:cs="仿宋_GB2312"/>
          <w:color w:val="auto"/>
          <w:kern w:val="2"/>
          <w:sz w:val="32"/>
          <w:szCs w:val="32"/>
          <w:highlight w:val="none"/>
          <w:lang w:val="en-US" w:eastAsia="zh-CN" w:bidi="ar-SA"/>
        </w:rPr>
        <w:t>市政府驻北京联络处单位</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预算项目）绩效自评得分为</w:t>
      </w:r>
      <w:r>
        <w:rPr>
          <w:rFonts w:hint="eastAsia" w:eastAsia="仿宋_GB2312" w:cs="仿宋_GB2312"/>
          <w:color w:val="auto"/>
          <w:kern w:val="2"/>
          <w:sz w:val="32"/>
          <w:szCs w:val="32"/>
          <w:highlight w:val="none"/>
          <w:lang w:val="en-US" w:eastAsia="zh-CN" w:bidi="ar-SA"/>
        </w:rPr>
        <w:t>96</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客观全面</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14:paraId="26B66D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F095318">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1" w:name="_Toc15377225"/>
      <w:bookmarkStart w:id="52"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1"/>
      <w:bookmarkEnd w:id="52"/>
    </w:p>
    <w:p w14:paraId="5589FDC3">
      <w:pPr>
        <w:spacing w:line="600" w:lineRule="exact"/>
        <w:jc w:val="left"/>
        <w:rPr>
          <w:rFonts w:ascii="Times New Roman" w:hAnsi="Times New Roman"/>
          <w:b/>
          <w:color w:val="auto"/>
          <w:sz w:val="44"/>
          <w:szCs w:val="44"/>
          <w:highlight w:val="none"/>
        </w:rPr>
      </w:pPr>
    </w:p>
    <w:p w14:paraId="4F10E62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1BEFF9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6E92B0F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2BB089D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2CD82C4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2C6838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1D7CD9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6730D99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1F275C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9.一般公共服务（类）政府办公厅（室）及相关机构事务（款）行政运行（项）：指行政单位的基本支出。</w:t>
      </w:r>
    </w:p>
    <w:p w14:paraId="0FE1C89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10.一般公共服务（类）政府办公厅（室）及相关机构事务（款）一般行政管理事务（项）:指行政单位未单独设置项级科目的其他项目支出。</w:t>
      </w:r>
    </w:p>
    <w:p w14:paraId="095686B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11.一般公共服务（类）政府办公厅（室）及相关机构事务（款）事业运行（项）:指事业单位基本支出。</w:t>
      </w:r>
    </w:p>
    <w:p w14:paraId="1C9C6C5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12.社会保障和就业（类）行政事业单位离退休（款）行政单位离退休（项）: 指行政事业单位开支的离退休支出。</w:t>
      </w:r>
    </w:p>
    <w:p w14:paraId="2F6BEBC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13.社会保障和就业（类）行政事业单位离退休（款）机关事业单位基本养老保险缴费支出（项）:指机关事业单位实施养老保险制度由单位缴纳的基本养老保险费支出。</w:t>
      </w:r>
    </w:p>
    <w:p w14:paraId="2737931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14.卫生健康支出（类）行政事业单位医疗（款）行政单位医疗（项）：指本单位行政机关按规定缴纳的基本医疗保险支出。</w:t>
      </w:r>
    </w:p>
    <w:p w14:paraId="64DAD16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15.卫生健康支出（类）行政事业单位医疗（款）事业单位医疗（项）：指本单位下属事业单位按规定缴纳的基本医疗保险支出。</w:t>
      </w:r>
    </w:p>
    <w:p w14:paraId="6F574CE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16.卫生健康支出（类）行政事业单位医疗（款）公务员医疗补助（项）：指本单位行政机关缴纳的公务员医疗补助支出。</w:t>
      </w:r>
    </w:p>
    <w:p w14:paraId="0088F54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17.卫生健康支出（类）其他卫生健康支出（款）其他卫生健康支出（项）：指在职及退休市管干部异地体检费支出。  </w:t>
      </w:r>
    </w:p>
    <w:p w14:paraId="28569DA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.住房保障支出（类）住房改革支出（款）住房公积金（项）:指行政事业单位按相关规定及比例为职工缴纳的住房公积金。</w:t>
      </w:r>
    </w:p>
    <w:p w14:paraId="714DDC0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5DB8D88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0DFA0E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7FE3331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AB011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23</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0F09B8">
      <w:pPr>
        <w:spacing w:line="600" w:lineRule="exact"/>
        <w:jc w:val="center"/>
        <w:rPr>
          <w:rStyle w:val="28"/>
          <w:rFonts w:hint="eastAsia" w:ascii="Times New Roman" w:hAnsi="Times New Roman" w:eastAsia="黑体"/>
          <w:b w:val="0"/>
          <w:color w:val="auto"/>
          <w:highlight w:val="none"/>
          <w:lang w:eastAsia="zh-CN"/>
        </w:rPr>
      </w:pPr>
      <w:bookmarkStart w:id="5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4"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4"/>
    </w:p>
    <w:p w14:paraId="0C7DB02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3C2A7CF1">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19F50B07">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42241C5E">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eastAsia" w:eastAsia="方正小标宋简体" w:cs="Times New Roman"/>
          <w:b w:val="0"/>
          <w:bCs/>
          <w:sz w:val="44"/>
          <w:szCs w:val="44"/>
          <w:highlight w:val="none"/>
          <w:shd w:val="clear" w:color="auto" w:fill="FFFFFF"/>
          <w:lang w:eastAsia="zh-CN"/>
        </w:rPr>
        <w:t>攀枝花市人民政府驻北京联络处</w:t>
      </w:r>
      <w:r>
        <w:rPr>
          <w:rFonts w:hint="eastAsia" w:eastAsia="方正小标宋简体" w:cs="Times New Roman"/>
          <w:b w:val="0"/>
          <w:bCs/>
          <w:sz w:val="44"/>
          <w:szCs w:val="44"/>
          <w:highlight w:val="none"/>
          <w:shd w:val="clear" w:color="auto" w:fill="FFFFFF"/>
          <w:lang w:val="en-US" w:eastAsia="zh-CN"/>
        </w:rPr>
        <w:t>2024年度</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770F8947">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02C1132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4696959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Times New Roman" w:hAnsi="Times New Roman" w:eastAsia="仿宋_GB2312" w:cs="仿宋_GB2312"/>
          <w:color w:val="auto"/>
          <w:kern w:val="2"/>
          <w:sz w:val="32"/>
          <w:szCs w:val="32"/>
          <w:highlight w:val="none"/>
          <w:lang w:val="en-US" w:eastAsia="zh-CN" w:bidi="ar-SA"/>
        </w:rPr>
        <w:t>攀枝花市人民政府驻北京联络处内设综合科及联络科两个科室，下属财务不独立公益一类事业单位1个。</w:t>
      </w:r>
    </w:p>
    <w:p w14:paraId="6C13258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r>
        <w:rPr>
          <w:rFonts w:hint="eastAsia" w:ascii="Times New Roman" w:hAnsi="Times New Roman" w:eastAsia="仿宋_GB2312" w:cs="仿宋_GB2312"/>
          <w:color w:val="auto"/>
          <w:kern w:val="2"/>
          <w:sz w:val="32"/>
          <w:szCs w:val="32"/>
          <w:highlight w:val="none"/>
          <w:lang w:val="en-US" w:eastAsia="zh-CN" w:bidi="ar-SA"/>
        </w:rPr>
        <w:t>根据《攀枝花市人民政府办公室　关于印发攀枝花市人民政府驻北京联络处主要职责内设机构和人员编制规定的通知》（攀办发﹝2011﹞46号），攀枝花市人民政府驻北京联络处主要职责为：1、负责与中央国家机关和相关驻京机构的联络。2、开展宣传、联络、协调、信息收集与传递工作，为市委、市政府决策提供参考。3、开展招商引资和区域间经济、技术、人才、文化交流与合作。4、承担有关接待工作，为市级</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县（区）、企事业单位以及基层组织、社会组织和人民群众在京活动提供服务。5、协助做好我市在京流动党员教育管理服务工作，配合做好维护首都稳定的有关工作。6、负责对联络处的国有资产进行监督管理。7、承办市委、市政府和主管</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交办的其它工作。</w:t>
      </w:r>
    </w:p>
    <w:p w14:paraId="53C5F9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截至2024年末，市政府驻北京联络处及下属单位编制情况为：行政编制4人，工勤编制2人，事业编制2人。年末实有人数情况为：行政人员3人，86号文工勤编制人员1人，事业人员1人。</w:t>
      </w:r>
    </w:p>
    <w:p w14:paraId="0B4F29E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676519C3">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市政府驻北京联络处2024年年初预算收入255.42万元、决算报表收入237.41万元。</w:t>
      </w:r>
    </w:p>
    <w:p w14:paraId="7B59D833">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市政府驻北京联络处2024年年初预算支出为255.42万元、决算报表支出237.41万元，主要包括联络处人员支出，含职工基本工资、津贴补贴、绩效工资等工资性支出等；保证养老保险、医疗保险、失业保险、住房公积金等按期足额上缴；保障联络处日常工作正常开展，保障业务工作圆满完成；支付房屋租赁费，让联络处人员有固定生活居住场所；为攀枝花在京宣传推介、招商引资、招才引智、服务联络、协助做好首都社会稳定等工作提供保障，展示攀枝花发展成果，打造攀枝花在京形象展示的“样板间”。</w:t>
      </w:r>
    </w:p>
    <w:p w14:paraId="0610686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仿宋_GB2312"/>
          <w:b w:val="0"/>
          <w:bCs w:val="0"/>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仿宋_GB2312"/>
          <w:color w:val="auto"/>
          <w:kern w:val="2"/>
          <w:sz w:val="32"/>
          <w:szCs w:val="32"/>
          <w:highlight w:val="none"/>
          <w:lang w:val="en-US" w:eastAsia="zh-CN" w:bidi="ar-SA"/>
        </w:rPr>
        <w:t>市政府驻北京联络处2024年决算报表无结转结余。</w:t>
      </w:r>
    </w:p>
    <w:p w14:paraId="018FA08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4A9328A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0F3C69F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一是强化了联络处对外联络平台，为攀枝花在京宣传推介、对外联络等提供了服务，为我市争取更多的支持和帮助；二是为攀枝花在京招商引资，招才引智，助力攀枝花经济高质量发展；三是协助处理好信访维稳相关事宜，保证了“三个不发生”底线，维护了首都稳定。</w:t>
      </w:r>
    </w:p>
    <w:p w14:paraId="02B8586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市政府驻北京联络处</w:t>
      </w:r>
      <w:r>
        <w:rPr>
          <w:rFonts w:hint="eastAsia" w:ascii="Times New Roman" w:hAnsi="Times New Roman" w:eastAsia="仿宋_GB2312" w:cs="仿宋_GB2312"/>
          <w:color w:val="auto"/>
          <w:kern w:val="2"/>
          <w:sz w:val="32"/>
          <w:szCs w:val="32"/>
          <w:highlight w:val="none"/>
          <w:lang w:val="zh-CN" w:eastAsia="zh-CN" w:bidi="ar-SA"/>
        </w:rPr>
        <w:t>预算编制质量</w:t>
      </w:r>
      <w:r>
        <w:rPr>
          <w:rFonts w:hint="eastAsia" w:eastAsia="仿宋_GB2312" w:cs="仿宋_GB2312"/>
          <w:color w:val="auto"/>
          <w:kern w:val="2"/>
          <w:sz w:val="32"/>
          <w:szCs w:val="32"/>
          <w:highlight w:val="none"/>
          <w:lang w:val="zh-CN" w:eastAsia="zh-CN" w:bidi="ar-SA"/>
        </w:rPr>
        <w:t>较高</w:t>
      </w:r>
      <w:r>
        <w:rPr>
          <w:rFonts w:hint="eastAsia" w:ascii="Times New Roman" w:hAnsi="Times New Roman" w:eastAsia="仿宋_GB2312" w:cs="仿宋_GB2312"/>
          <w:color w:val="auto"/>
          <w:kern w:val="2"/>
          <w:sz w:val="32"/>
          <w:szCs w:val="32"/>
          <w:highlight w:val="none"/>
          <w:lang w:val="zh-CN" w:eastAsia="zh-CN" w:bidi="ar-SA"/>
        </w:rPr>
        <w:t>、单位收入统筹、支出执行进度</w:t>
      </w:r>
      <w:r>
        <w:rPr>
          <w:rFonts w:hint="eastAsia" w:eastAsia="仿宋_GB2312" w:cs="仿宋_GB2312"/>
          <w:color w:val="auto"/>
          <w:kern w:val="2"/>
          <w:sz w:val="32"/>
          <w:szCs w:val="32"/>
          <w:highlight w:val="none"/>
          <w:lang w:val="zh-CN" w:eastAsia="zh-CN" w:bidi="ar-SA"/>
        </w:rPr>
        <w:t>基本完成</w:t>
      </w:r>
      <w:r>
        <w:rPr>
          <w:rFonts w:hint="eastAsia" w:ascii="Times New Roman" w:hAnsi="Times New Roman" w:eastAsia="仿宋_GB2312" w:cs="仿宋_GB2312"/>
          <w:color w:val="auto"/>
          <w:kern w:val="2"/>
          <w:sz w:val="32"/>
          <w:szCs w:val="32"/>
          <w:highlight w:val="none"/>
          <w:lang w:val="zh-CN" w:eastAsia="zh-CN" w:bidi="ar-SA"/>
        </w:rPr>
        <w:t>、预算年终</w:t>
      </w:r>
      <w:r>
        <w:rPr>
          <w:rFonts w:hint="eastAsia" w:eastAsia="仿宋_GB2312" w:cs="仿宋_GB2312"/>
          <w:color w:val="auto"/>
          <w:kern w:val="2"/>
          <w:sz w:val="32"/>
          <w:szCs w:val="32"/>
          <w:highlight w:val="none"/>
          <w:lang w:val="zh-CN" w:eastAsia="zh-CN" w:bidi="ar-SA"/>
        </w:rPr>
        <w:t>无</w:t>
      </w:r>
      <w:r>
        <w:rPr>
          <w:rFonts w:hint="eastAsia" w:ascii="Times New Roman" w:hAnsi="Times New Roman" w:eastAsia="仿宋_GB2312" w:cs="仿宋_GB2312"/>
          <w:color w:val="auto"/>
          <w:kern w:val="2"/>
          <w:sz w:val="32"/>
          <w:szCs w:val="32"/>
          <w:highlight w:val="none"/>
          <w:lang w:val="zh-CN" w:eastAsia="zh-CN" w:bidi="ar-SA"/>
        </w:rPr>
        <w:t>结余、严控一般性支出。</w:t>
      </w:r>
    </w:p>
    <w:p w14:paraId="4767978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ascii="Times New Roman" w:hAnsi="Times New Roman" w:eastAsia="仿宋_GB2312" w:cs="仿宋_GB2312"/>
          <w:color w:val="auto"/>
          <w:kern w:val="2"/>
          <w:sz w:val="32"/>
          <w:szCs w:val="32"/>
          <w:highlight w:val="none"/>
          <w:lang w:val="zh-CN" w:eastAsia="zh-CN" w:bidi="ar-SA"/>
        </w:rPr>
        <w:t>。人员类、运转类、特定目标类预算目标均基本完成，严格内部管理和支出控制，及时处置调整，基本按预计执行进度执行，无资金结余和违规记录。</w:t>
      </w:r>
    </w:p>
    <w:p w14:paraId="2AA21D1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ascii="Times New Roman" w:hAnsi="Times New Roman" w:eastAsia="仿宋_GB2312" w:cs="仿宋_GB2312"/>
          <w:color w:val="auto"/>
          <w:kern w:val="2"/>
          <w:sz w:val="32"/>
          <w:szCs w:val="32"/>
          <w:highlight w:val="none"/>
          <w:lang w:val="zh-CN" w:eastAsia="zh-CN" w:bidi="ar-SA"/>
        </w:rPr>
        <w:t>。市政府驻北京联络处因年中调出1人，人均资产变化率较2023年增加、资产利用率较高、没有闲置或低效状态资产。</w:t>
      </w:r>
    </w:p>
    <w:p w14:paraId="1FE2E8A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。市政府驻北京联络处2024年度无采购计划和支出。</w:t>
      </w:r>
    </w:p>
    <w:p w14:paraId="17748A3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75DDEB9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常年项目绩效分析。该类项目总数2个，涉及预算总金额39.32万元，1—12月预算执行总体进度为100%，其中：预算结余率大于10%的项目共计0个。</w:t>
      </w:r>
    </w:p>
    <w:p w14:paraId="29280B3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阶段（含一次性）项目绩效分析。该类项目总数0个，涉及预算总金额0万元，1—12月预算执行总体进度为0 %，其中：预算结余率大于10%的项目共计0个。</w:t>
      </w:r>
    </w:p>
    <w:p w14:paraId="497FD93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项目决策。2024年度，联络处根据相关规定和要求对项目预算目标进行科学设置，通过集体决策，在市财政相关科室的指导下完成了项目入库，全面完成了年度</w:t>
      </w:r>
      <w:r>
        <w:rPr>
          <w:rFonts w:hint="eastAsia" w:eastAsia="仿宋_GB2312" w:cs="仿宋_GB2312"/>
          <w:color w:val="auto"/>
          <w:kern w:val="2"/>
          <w:sz w:val="32"/>
          <w:szCs w:val="32"/>
          <w:highlight w:val="none"/>
          <w:lang w:val="zh-CN" w:eastAsia="zh-CN" w:bidi="ar-SA"/>
        </w:rPr>
        <w:t>单位</w:t>
      </w:r>
      <w:r>
        <w:rPr>
          <w:rFonts w:hint="eastAsia" w:ascii="Times New Roman" w:hAnsi="Times New Roman" w:eastAsia="仿宋_GB2312" w:cs="仿宋_GB2312"/>
          <w:color w:val="auto"/>
          <w:kern w:val="2"/>
          <w:sz w:val="32"/>
          <w:szCs w:val="32"/>
          <w:highlight w:val="none"/>
          <w:lang w:val="zh-CN" w:eastAsia="zh-CN" w:bidi="ar-SA"/>
        </w:rPr>
        <w:t>预决算的编制、上报和信息公开。</w:t>
      </w:r>
    </w:p>
    <w:p w14:paraId="5E65352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。在市财政相关科室的专业指导下，市政府驻北京联络处在年度</w:t>
      </w:r>
      <w:r>
        <w:rPr>
          <w:rFonts w:hint="eastAsia" w:eastAsia="仿宋_GB2312" w:cs="仿宋_GB2312"/>
          <w:color w:val="auto"/>
          <w:kern w:val="2"/>
          <w:sz w:val="32"/>
          <w:szCs w:val="32"/>
          <w:highlight w:val="none"/>
          <w:lang w:val="zh-CN" w:eastAsia="zh-CN" w:bidi="ar-SA"/>
        </w:rPr>
        <w:t>单位</w:t>
      </w:r>
      <w:r>
        <w:rPr>
          <w:rFonts w:hint="eastAsia" w:ascii="Times New Roman" w:hAnsi="Times New Roman" w:eastAsia="仿宋_GB2312" w:cs="仿宋_GB2312"/>
          <w:color w:val="auto"/>
          <w:kern w:val="2"/>
          <w:sz w:val="32"/>
          <w:szCs w:val="32"/>
          <w:highlight w:val="none"/>
          <w:lang w:val="zh-CN" w:eastAsia="zh-CN" w:bidi="ar-SA"/>
        </w:rPr>
        <w:t>预算绩效目标执行过程中严格按规定完成了资金的申报和使用，能够做到事前评估报备使用财政资金，健全资金的管理及内部控制，确保了资金的安全，基础数据信息和会计信息资料真实、完整、准确。</w:t>
      </w:r>
    </w:p>
    <w:p w14:paraId="4101D9C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目标实现。市政府驻北京联络处严格按照市财政局要求统一制定、申报并使用财政资金，加强经费的审批和日常监管，控制各项经费支出，</w:t>
      </w:r>
      <w:r>
        <w:rPr>
          <w:rFonts w:hint="eastAsia" w:eastAsia="仿宋_GB2312" w:cs="仿宋_GB2312"/>
          <w:color w:val="auto"/>
          <w:kern w:val="2"/>
          <w:sz w:val="32"/>
          <w:szCs w:val="32"/>
          <w:highlight w:val="none"/>
          <w:lang w:val="zh-CN" w:eastAsia="zh-CN" w:bidi="ar-SA"/>
        </w:rPr>
        <w:t>单位</w:t>
      </w:r>
      <w:r>
        <w:rPr>
          <w:rFonts w:hint="eastAsia" w:ascii="Times New Roman" w:hAnsi="Times New Roman" w:eastAsia="仿宋_GB2312" w:cs="仿宋_GB2312"/>
          <w:color w:val="auto"/>
          <w:kern w:val="2"/>
          <w:sz w:val="32"/>
          <w:szCs w:val="32"/>
          <w:highlight w:val="none"/>
          <w:lang w:val="zh-CN" w:eastAsia="zh-CN" w:bidi="ar-SA"/>
        </w:rPr>
        <w:t>年度项目经费实际支出数与调整后预算安排数的比率为100%。全面实现了各项年初目标。</w:t>
      </w:r>
    </w:p>
    <w:p w14:paraId="67AFD94E">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市政府驻北京联络处2024年度一般公共预算绩效目标完成率为100%，没有政府性基金预算、国有资本经营预算安排的常年项目、阶段项目以及债券资金、政府购买服务等情况。</w:t>
      </w:r>
    </w:p>
    <w:p w14:paraId="109C59F0">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sz w:val="32"/>
          <w:szCs w:val="32"/>
          <w:highlight w:val="none"/>
          <w:u w:val="none"/>
          <w:lang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Times New Roman" w:hAnsi="Times New Roman" w:eastAsia="仿宋_GB2312" w:cs="Times New Roman"/>
          <w:sz w:val="32"/>
          <w:szCs w:val="32"/>
          <w:highlight w:val="none"/>
          <w:u w:val="none"/>
          <w:lang w:val="zh-CN" w:eastAsia="zh-CN" w:bidi="ar"/>
        </w:rPr>
        <w:t>联络处严格按照市财政局相关科室要求对预决算及绩效信息进行公开，但因没有公共外网，故联络处没有自行公开</w:t>
      </w:r>
      <w:r>
        <w:rPr>
          <w:rFonts w:hint="eastAsia" w:eastAsia="仿宋_GB2312" w:cs="Times New Roman"/>
          <w:sz w:val="32"/>
          <w:szCs w:val="32"/>
          <w:highlight w:val="none"/>
          <w:u w:val="none"/>
          <w:lang w:val="zh-CN" w:eastAsia="zh-CN" w:bidi="ar"/>
        </w:rPr>
        <w:t>单位</w:t>
      </w:r>
      <w:r>
        <w:rPr>
          <w:rFonts w:hint="eastAsia" w:ascii="Times New Roman" w:hAnsi="Times New Roman" w:eastAsia="仿宋_GB2312" w:cs="Times New Roman"/>
          <w:sz w:val="32"/>
          <w:szCs w:val="32"/>
          <w:highlight w:val="none"/>
          <w:u w:val="none"/>
          <w:lang w:val="zh-CN" w:eastAsia="zh-CN" w:bidi="ar"/>
        </w:rPr>
        <w:t>绩效目标和</w:t>
      </w:r>
      <w:r>
        <w:rPr>
          <w:rFonts w:hint="eastAsia" w:eastAsia="仿宋_GB2312" w:cs="Times New Roman"/>
          <w:sz w:val="32"/>
          <w:szCs w:val="32"/>
          <w:highlight w:val="none"/>
          <w:u w:val="none"/>
          <w:lang w:val="zh-CN" w:eastAsia="zh-CN" w:bidi="ar"/>
        </w:rPr>
        <w:t>单位</w:t>
      </w:r>
      <w:r>
        <w:rPr>
          <w:rFonts w:hint="eastAsia" w:ascii="Times New Roman" w:hAnsi="Times New Roman" w:eastAsia="仿宋_GB2312" w:cs="Times New Roman"/>
          <w:sz w:val="32"/>
          <w:szCs w:val="32"/>
          <w:highlight w:val="none"/>
          <w:u w:val="none"/>
          <w:lang w:val="zh-CN" w:eastAsia="zh-CN" w:bidi="ar"/>
        </w:rPr>
        <w:t>绩效评估报告，应用反馈较好。</w:t>
      </w:r>
    </w:p>
    <w:p w14:paraId="5D33FDF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68FF9F4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Times New Roman" w:hAnsi="Times New Roman" w:eastAsia="仿宋_GB2312" w:cs="Times New Roman"/>
          <w:sz w:val="32"/>
          <w:szCs w:val="32"/>
          <w:u w:val="none"/>
          <w:lang w:val="en-US" w:eastAsia="zh-CN" w:bidi="ar"/>
        </w:rPr>
        <w:t>一是基础管理责任实，领导高度重视，组织安排专人负责预算绩效管理工作，其他人员积极配合，将责任压实，工作做细；二是绩效评估管理严，联络处严格按照市财政局要求在规定时间内完成年度绩效目标；三是绩效监控管理工作细，按要求编报绩效目标开展事中绩效运行监控和每月</w:t>
      </w:r>
      <w:r>
        <w:rPr>
          <w:rFonts w:hint="eastAsia" w:eastAsia="仿宋_GB2312" w:cs="Times New Roman"/>
          <w:sz w:val="32"/>
          <w:szCs w:val="32"/>
          <w:u w:val="none"/>
          <w:lang w:val="en-US" w:eastAsia="zh-CN" w:bidi="ar"/>
        </w:rPr>
        <w:t>单位</w:t>
      </w:r>
      <w:r>
        <w:rPr>
          <w:rFonts w:hint="eastAsia" w:ascii="Times New Roman" w:hAnsi="Times New Roman" w:eastAsia="仿宋_GB2312" w:cs="Times New Roman"/>
          <w:sz w:val="32"/>
          <w:szCs w:val="32"/>
          <w:u w:val="none"/>
          <w:lang w:val="en-US" w:eastAsia="zh-CN" w:bidi="ar"/>
        </w:rPr>
        <w:t>项目监控；四是</w:t>
      </w:r>
      <w:r>
        <w:rPr>
          <w:rFonts w:hint="eastAsia" w:eastAsia="仿宋_GB2312" w:cs="Times New Roman"/>
          <w:sz w:val="32"/>
          <w:szCs w:val="32"/>
          <w:u w:val="none"/>
          <w:lang w:val="en-US" w:eastAsia="zh-CN" w:bidi="ar"/>
        </w:rPr>
        <w:t>单位</w:t>
      </w:r>
      <w:r>
        <w:rPr>
          <w:rFonts w:hint="eastAsia" w:ascii="Times New Roman" w:hAnsi="Times New Roman" w:eastAsia="仿宋_GB2312" w:cs="Times New Roman"/>
          <w:sz w:val="32"/>
          <w:szCs w:val="32"/>
          <w:u w:val="none"/>
          <w:lang w:val="en-US" w:eastAsia="zh-CN" w:bidi="ar"/>
        </w:rPr>
        <w:t>整体支出评价准，根据细化项自评分为96分。</w:t>
      </w:r>
    </w:p>
    <w:p w14:paraId="1F83EF0B">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Times New Roman" w:hAnsi="Times New Roman" w:eastAsia="仿宋_GB2312" w:cs="Times New Roman"/>
          <w:sz w:val="32"/>
          <w:szCs w:val="32"/>
          <w:u w:val="none"/>
          <w:lang w:val="en-US" w:eastAsia="zh-CN" w:bidi="ar"/>
        </w:rPr>
        <w:t>执行过程中因实际工作情况原因，出现经费紧张出现先垫付后归垫的情况。</w:t>
      </w:r>
    </w:p>
    <w:p w14:paraId="30CAB1F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5" w:name="_Hlk110546638"/>
      <w:r>
        <w:rPr>
          <w:rFonts w:hint="eastAsia" w:ascii="Times New Roman" w:hAnsi="Times New Roman" w:eastAsia="仿宋_GB2312" w:cs="Times New Roman"/>
          <w:sz w:val="32"/>
          <w:szCs w:val="32"/>
          <w:u w:val="none"/>
          <w:lang w:val="en-US" w:eastAsia="zh-CN" w:bidi="ar"/>
        </w:rPr>
        <w:t>联络处将继续坚持民主集中制，严格执行“三重一大”决策制度，强化相关人员的业务学习，提升能力本领，进一步压实责任，科学编制和使用预算项目，及时与市财政局等相关</w:t>
      </w:r>
      <w:r>
        <w:rPr>
          <w:rFonts w:hint="eastAsia" w:eastAsia="仿宋_GB2312" w:cs="Times New Roman"/>
          <w:sz w:val="32"/>
          <w:szCs w:val="32"/>
          <w:u w:val="none"/>
          <w:lang w:val="en-US" w:eastAsia="zh-CN" w:bidi="ar"/>
        </w:rPr>
        <w:t>单位</w:t>
      </w:r>
      <w:r>
        <w:rPr>
          <w:rFonts w:hint="eastAsia" w:ascii="Times New Roman" w:hAnsi="Times New Roman" w:eastAsia="仿宋_GB2312" w:cs="Times New Roman"/>
          <w:sz w:val="32"/>
          <w:szCs w:val="32"/>
          <w:u w:val="none"/>
          <w:lang w:val="en-US" w:eastAsia="zh-CN" w:bidi="ar"/>
        </w:rPr>
        <w:t>的沟通和汇报，加强事前绩效评估力度，严格科学预算执行，抓细抓好财政资金的绩效管理，达到预期目标。</w:t>
      </w:r>
    </w:p>
    <w:p w14:paraId="63B33F0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p>
    <w:bookmarkEnd w:id="55"/>
    <w:p w14:paraId="241BDBB5">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767B43A8">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fldChar w:fldCharType="begin"/>
      </w:r>
      <w:r>
        <w:rPr>
          <w:rFonts w:hint="eastAsia" w:ascii="Times New Roman" w:hAnsi="Times New Roman" w:eastAsia="仿宋_GB2312" w:cs="Times New Roman"/>
          <w:kern w:val="2"/>
          <w:sz w:val="32"/>
          <w:szCs w:val="32"/>
          <w:u w:val="none"/>
          <w:lang w:val="en-US" w:eastAsia="zh-CN" w:bidi="ar"/>
        </w:rPr>
        <w:instrText xml:space="preserve"> HYPERLINK "部门预算项目支出绩效自评表.xlsx" </w:instrText>
      </w:r>
      <w:r>
        <w:rPr>
          <w:rFonts w:hint="eastAsia" w:ascii="Times New Roman" w:hAnsi="Times New Roman" w:eastAsia="仿宋_GB2312" w:cs="Times New Roman"/>
          <w:kern w:val="2"/>
          <w:sz w:val="32"/>
          <w:szCs w:val="32"/>
          <w:u w:val="none"/>
          <w:lang w:val="en-US" w:eastAsia="zh-CN" w:bidi="ar"/>
        </w:rPr>
        <w:fldChar w:fldCharType="separate"/>
      </w:r>
      <w:r>
        <w:rPr>
          <w:rStyle w:val="18"/>
          <w:rFonts w:hint="eastAsia" w:ascii="Times New Roman" w:hAnsi="Times New Roman" w:eastAsia="仿宋_GB2312" w:cs="Times New Roman"/>
          <w:kern w:val="2"/>
          <w:sz w:val="32"/>
          <w:szCs w:val="32"/>
          <w:lang w:val="en-US" w:eastAsia="zh-CN" w:bidi="ar"/>
        </w:rPr>
        <w:t>部门预算项目支出绩效自评表（2024年度）</w:t>
      </w:r>
      <w:r>
        <w:rPr>
          <w:rFonts w:hint="eastAsia" w:ascii="Times New Roman" w:hAnsi="Times New Roman" w:eastAsia="仿宋_GB2312" w:cs="Times New Roman"/>
          <w:kern w:val="2"/>
          <w:sz w:val="32"/>
          <w:szCs w:val="32"/>
          <w:u w:val="none"/>
          <w:lang w:val="en-US" w:eastAsia="zh-CN" w:bidi="ar"/>
        </w:rPr>
        <w:fldChar w:fldCharType="end"/>
      </w:r>
    </w:p>
    <w:p w14:paraId="23812DA7">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490EC28A">
      <w:pPr>
        <w:pStyle w:val="2"/>
        <w:rPr>
          <w:rFonts w:hint="eastAsia" w:ascii="Times New Roman" w:hAnsi="Times New Roman" w:cs="宋体"/>
          <w:color w:val="FF0000"/>
          <w:kern w:val="0"/>
          <w:sz w:val="32"/>
          <w:szCs w:val="32"/>
          <w:highlight w:val="yellow"/>
          <w:shd w:val="clear" w:color="auto" w:fill="FFFFFF"/>
          <w:lang w:val="zh-CN"/>
        </w:rPr>
      </w:pPr>
    </w:p>
    <w:p w14:paraId="7868DCE3">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122AFFF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6" w:name="_Toc15396618"/>
    </w:p>
    <w:p w14:paraId="11976017">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3"/>
      <w:bookmarkEnd w:id="56"/>
      <w:bookmarkStart w:id="57" w:name="_Toc15396619"/>
    </w:p>
    <w:p w14:paraId="2D50056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64B829B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7"/>
    </w:p>
    <w:p w14:paraId="0B66FAC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0"/>
      <w:r>
        <w:rPr>
          <w:rFonts w:hint="eastAsia" w:ascii="Times New Roman" w:hAnsi="Times New Roman" w:eastAsia="仿宋_GB2312" w:cs="仿宋_GB2312"/>
          <w:color w:val="auto"/>
          <w:sz w:val="32"/>
          <w:szCs w:val="32"/>
          <w:highlight w:val="none"/>
        </w:rPr>
        <w:t>二、收入决算表</w:t>
      </w:r>
      <w:bookmarkEnd w:id="58"/>
    </w:p>
    <w:p w14:paraId="617C3CB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1"/>
      <w:r>
        <w:rPr>
          <w:rFonts w:hint="eastAsia" w:ascii="Times New Roman" w:hAnsi="Times New Roman" w:eastAsia="仿宋_GB2312" w:cs="仿宋_GB2312"/>
          <w:color w:val="auto"/>
          <w:sz w:val="32"/>
          <w:szCs w:val="32"/>
          <w:highlight w:val="none"/>
        </w:rPr>
        <w:t>三、支出决算表</w:t>
      </w:r>
      <w:bookmarkEnd w:id="59"/>
    </w:p>
    <w:p w14:paraId="4411A07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2"/>
      <w:r>
        <w:rPr>
          <w:rFonts w:hint="eastAsia" w:ascii="Times New Roman" w:hAnsi="Times New Roman" w:eastAsia="仿宋_GB2312" w:cs="仿宋_GB2312"/>
          <w:color w:val="auto"/>
          <w:sz w:val="32"/>
          <w:szCs w:val="32"/>
          <w:highlight w:val="none"/>
        </w:rPr>
        <w:t>四、财政拨款收入支出决算总表</w:t>
      </w:r>
      <w:bookmarkEnd w:id="60"/>
    </w:p>
    <w:p w14:paraId="77F0BAF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3"/>
      <w:r>
        <w:rPr>
          <w:rFonts w:hint="eastAsia" w:ascii="Times New Roman" w:hAnsi="Times New Roman" w:eastAsia="仿宋_GB2312" w:cs="仿宋_GB2312"/>
          <w:color w:val="auto"/>
          <w:sz w:val="32"/>
          <w:szCs w:val="32"/>
          <w:highlight w:val="none"/>
        </w:rPr>
        <w:t>五、财政拨款支出决算明细表</w:t>
      </w:r>
      <w:bookmarkEnd w:id="61"/>
      <w:bookmarkStart w:id="62" w:name="_Toc15396624"/>
    </w:p>
    <w:p w14:paraId="3694801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2"/>
    </w:p>
    <w:p w14:paraId="2A83D3F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5"/>
      <w:r>
        <w:rPr>
          <w:rFonts w:hint="eastAsia" w:ascii="Times New Roman" w:hAnsi="Times New Roman" w:eastAsia="仿宋_GB2312" w:cs="仿宋_GB2312"/>
          <w:color w:val="auto"/>
          <w:sz w:val="32"/>
          <w:szCs w:val="32"/>
          <w:highlight w:val="none"/>
        </w:rPr>
        <w:t>七、一般公共预算财政拨款支出决算明细表</w:t>
      </w:r>
      <w:bookmarkEnd w:id="63"/>
    </w:p>
    <w:p w14:paraId="1EE2FC6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6"/>
      <w:r>
        <w:rPr>
          <w:rFonts w:hint="eastAsia" w:ascii="Times New Roman" w:hAnsi="Times New Roman" w:eastAsia="仿宋_GB2312" w:cs="仿宋_GB2312"/>
          <w:color w:val="auto"/>
          <w:sz w:val="32"/>
          <w:szCs w:val="32"/>
          <w:highlight w:val="none"/>
        </w:rPr>
        <w:t>八、一般公共预算财政拨款基本支出决算表</w:t>
      </w:r>
      <w:bookmarkEnd w:id="64"/>
    </w:p>
    <w:p w14:paraId="6B898B7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7"/>
      <w:r>
        <w:rPr>
          <w:rFonts w:hint="eastAsia" w:ascii="Times New Roman" w:hAnsi="Times New Roman" w:eastAsia="仿宋_GB2312" w:cs="仿宋_GB2312"/>
          <w:color w:val="auto"/>
          <w:sz w:val="32"/>
          <w:szCs w:val="32"/>
          <w:highlight w:val="none"/>
        </w:rPr>
        <w:t>九、一般公共预算财政拨款项目支出决算表</w:t>
      </w:r>
      <w:bookmarkEnd w:id="65"/>
    </w:p>
    <w:p w14:paraId="61C54F2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8"/>
      <w:r>
        <w:rPr>
          <w:rFonts w:hint="eastAsia" w:ascii="Times New Roman" w:hAnsi="Times New Roman" w:eastAsia="仿宋_GB2312" w:cs="仿宋_GB2312"/>
          <w:color w:val="auto"/>
          <w:sz w:val="32"/>
          <w:szCs w:val="32"/>
          <w:highlight w:val="none"/>
        </w:rPr>
        <w:t>十、</w:t>
      </w:r>
      <w:bookmarkEnd w:id="66"/>
      <w:r>
        <w:rPr>
          <w:rFonts w:hint="eastAsia" w:ascii="Times New Roman" w:hAnsi="Times New Roman" w:eastAsia="仿宋_GB2312" w:cs="仿宋_GB2312"/>
          <w:color w:val="auto"/>
          <w:sz w:val="32"/>
          <w:szCs w:val="32"/>
          <w:highlight w:val="none"/>
        </w:rPr>
        <w:t>政府性基金预算财政拨款收入支出决算表</w:t>
      </w:r>
    </w:p>
    <w:p w14:paraId="74030C0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9"/>
      <w:r>
        <w:rPr>
          <w:rFonts w:hint="eastAsia" w:ascii="Times New Roman" w:hAnsi="Times New Roman" w:eastAsia="仿宋_GB2312" w:cs="仿宋_GB2312"/>
          <w:color w:val="auto"/>
          <w:sz w:val="32"/>
          <w:szCs w:val="32"/>
          <w:highlight w:val="none"/>
        </w:rPr>
        <w:t>十一、</w:t>
      </w:r>
      <w:bookmarkEnd w:id="67"/>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20DA28A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30"/>
      <w:r>
        <w:rPr>
          <w:rFonts w:hint="eastAsia" w:ascii="Times New Roman" w:hAnsi="Times New Roman" w:eastAsia="仿宋_GB2312" w:cs="仿宋_GB2312"/>
          <w:color w:val="auto"/>
          <w:sz w:val="32"/>
          <w:szCs w:val="32"/>
          <w:highlight w:val="none"/>
        </w:rPr>
        <w:t>十二、</w:t>
      </w:r>
      <w:bookmarkEnd w:id="68"/>
      <w:r>
        <w:rPr>
          <w:rFonts w:hint="eastAsia" w:ascii="Times New Roman" w:hAnsi="Times New Roman" w:eastAsia="仿宋_GB2312" w:cs="仿宋_GB2312"/>
          <w:color w:val="auto"/>
          <w:sz w:val="32"/>
          <w:szCs w:val="32"/>
          <w:highlight w:val="none"/>
          <w:lang w:eastAsia="zh-CN"/>
        </w:rPr>
        <w:t>国有资本经营预算财政拨款支出决算表</w:t>
      </w:r>
    </w:p>
    <w:p w14:paraId="434D892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9" w:name="_Toc15396631"/>
      <w:r>
        <w:rPr>
          <w:rFonts w:hint="eastAsia" w:ascii="Times New Roman" w:hAnsi="Times New Roman" w:eastAsia="仿宋_GB2312" w:cs="仿宋_GB2312"/>
          <w:color w:val="auto"/>
          <w:sz w:val="32"/>
          <w:szCs w:val="32"/>
          <w:highlight w:val="none"/>
        </w:rPr>
        <w:t>十三、</w:t>
      </w:r>
      <w:bookmarkEnd w:id="69"/>
      <w:r>
        <w:rPr>
          <w:rFonts w:hint="eastAsia" w:ascii="Times New Roman" w:hAnsi="Times New Roman" w:eastAsia="仿宋_GB2312" w:cs="仿宋_GB2312"/>
          <w:color w:val="auto"/>
          <w:sz w:val="32"/>
          <w:szCs w:val="32"/>
          <w:highlight w:val="none"/>
          <w:lang w:eastAsia="zh-CN"/>
        </w:rPr>
        <w:t>财政拨款“三公”经费支出决算表</w:t>
      </w:r>
    </w:p>
    <w:p w14:paraId="524A7811">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5481">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C9570">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EC9570">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4274635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72B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B0FAD">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3B0FAD">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80D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E7DE4"/>
    <w:multiLevelType w:val="singleLevel"/>
    <w:tmpl w:val="085E7D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2E43EC3"/>
    <w:rsid w:val="13D50BC4"/>
    <w:rsid w:val="14B17F78"/>
    <w:rsid w:val="165E0673"/>
    <w:rsid w:val="16B831D5"/>
    <w:rsid w:val="16BB723D"/>
    <w:rsid w:val="17E50567"/>
    <w:rsid w:val="186504BB"/>
    <w:rsid w:val="19A445FC"/>
    <w:rsid w:val="19FB1E5B"/>
    <w:rsid w:val="1BE8440E"/>
    <w:rsid w:val="1D155CEE"/>
    <w:rsid w:val="1D1638FE"/>
    <w:rsid w:val="1E312DEB"/>
    <w:rsid w:val="1E740ACF"/>
    <w:rsid w:val="1FF35744"/>
    <w:rsid w:val="1FF6BC77"/>
    <w:rsid w:val="2186353C"/>
    <w:rsid w:val="23860B96"/>
    <w:rsid w:val="240371BF"/>
    <w:rsid w:val="244F3473"/>
    <w:rsid w:val="24C97D99"/>
    <w:rsid w:val="257E0D99"/>
    <w:rsid w:val="25A718F0"/>
    <w:rsid w:val="25BB59F6"/>
    <w:rsid w:val="260F557C"/>
    <w:rsid w:val="26970054"/>
    <w:rsid w:val="281408E2"/>
    <w:rsid w:val="29FD04D3"/>
    <w:rsid w:val="2BFF7BC6"/>
    <w:rsid w:val="2C8A61B5"/>
    <w:rsid w:val="2DF04E50"/>
    <w:rsid w:val="2E586DFA"/>
    <w:rsid w:val="2F040D46"/>
    <w:rsid w:val="2F221855"/>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AF3D5B"/>
    <w:rsid w:val="5AF92295"/>
    <w:rsid w:val="5B250254"/>
    <w:rsid w:val="5BDD79E6"/>
    <w:rsid w:val="5BF561CA"/>
    <w:rsid w:val="5BFF5DFC"/>
    <w:rsid w:val="5CD71FC4"/>
    <w:rsid w:val="5D1F11B5"/>
    <w:rsid w:val="5D695134"/>
    <w:rsid w:val="5D804A33"/>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85302E"/>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6700;&#38754;\2024&#24180;&#20915;&#31639;&#20844;&#24320;\118001-&#25856;&#26525;&#33457;&#24066;&#20154;&#27665;&#25919;&#24220;&#39547;&#21271;&#20140;&#32852;&#32476;&#2278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图1：收入、支出决算总计变动情况图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'[118001-攀枝花市人民政府驻北京联络处.xls]GK01收入支出决算总表'!$H$14:$H$15</c:f>
              <c:strCache>
                <c:ptCount val="2"/>
                <c:pt idx="0">
                  <c:v>2023年收支总额（万元）</c:v>
                </c:pt>
                <c:pt idx="1">
                  <c:v>2024年收支总额（万元）</c:v>
                </c:pt>
              </c:strCache>
            </c:strRef>
          </c:cat>
          <c:val>
            <c:numRef>
              <c:f>'[118001-攀枝花市人民政府驻北京联络处.xls]GK01收入支出决算总表'!$I$14:$I$15</c:f>
              <c:numCache>
                <c:formatCode>General</c:formatCode>
                <c:ptCount val="2"/>
                <c:pt idx="0">
                  <c:v>269.29</c:v>
                </c:pt>
                <c:pt idx="1">
                  <c:v>237.41</c:v>
                </c:pt>
              </c:numCache>
            </c:numRef>
          </c:val>
        </c:ser>
        <c:dLbls>
          <c:showLegendKey val="0"/>
          <c:showVal val="0"/>
          <c:showCatName val="0"/>
          <c:showSerName val="0"/>
          <c:showPercent val="0"/>
          <c:showBubbleSize val="0"/>
        </c:dLbls>
        <c:gapWidth val="246"/>
        <c:overlap val="-28"/>
        <c:axId val="727774667"/>
        <c:axId val="741845171"/>
      </c:barChart>
      <c:catAx>
        <c:axId val="7277746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845171"/>
        <c:crosses val="autoZero"/>
        <c:auto val="1"/>
        <c:lblAlgn val="ctr"/>
        <c:lblOffset val="100"/>
        <c:noMultiLvlLbl val="0"/>
      </c:catAx>
      <c:valAx>
        <c:axId val="74184517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774667"/>
        <c:crosses val="autoZero"/>
        <c:crossBetween val="between"/>
      </c:valAx>
      <c:spPr>
        <a:noFill/>
        <a:ln>
          <a:noFill/>
        </a:ln>
        <a:effectLst/>
      </c:spPr>
    </c:plotArea>
    <c:plotVisOnly val="1"/>
    <c:dispBlanksAs val="gap"/>
    <c:showDLblsOverMax val="0"/>
    <c:extLst>
      <c:ext uri="{0b15fc19-7d7d-44ad-8c2d-2c3a37ce22c3}">
        <chartProps xmlns="https://web.wps.cn/et/2018/main" chartId="{1044dffb-0559-4d74-b089-df95debc2c4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tx>
            <c:strRef>
              <c:f>'[118001-攀枝花市人民政府驻北京联络处.xls]GK01收入支出决算总表'!$H$13</c:f>
              <c:strCache>
                <c:ptCount val="1"/>
                <c:pt idx="0">
                  <c:v>一般公共预算财政拨款收入（万元）</c:v>
                </c:pt>
              </c:strCache>
            </c:strRef>
          </c:tx>
          <c:spPr/>
          <c:explosion val="0"/>
          <c:dPt>
            <c:idx val="0"/>
            <c:bubble3D val="0"/>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一般公共预算财政拨款收入</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'[118001-攀枝花市人民政府驻北京联络处.xls]GK01收入支出决算总表'!$I$13</c:f>
              <c:numCache>
                <c:formatCode>General</c:formatCode>
                <c:ptCount val="1"/>
                <c:pt idx="0">
                  <c:v>237.41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b9fefd9-046c-46a0-b7c3-d656f1bc84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'[118001-攀枝花市人民政府驻北京联络处.xls]GK03支出决算表'!$F$29:$F$30</c:f>
              <c:strCache>
                <c:ptCount val="2"/>
                <c:pt idx="0">
                  <c:v>基本支出</c:v>
                </c:pt>
                <c:pt idx="1">
                  <c:v>项目支出</c:v>
                </c:pt>
              </c:strCache>
            </c:strRef>
          </c:cat>
          <c:val>
            <c:numRef>
              <c:f>'[118001-攀枝花市人民政府驻北京联络处.xls]GK03支出决算表'!$G$29:$G$30</c:f>
              <c:numCache>
                <c:formatCode>General</c:formatCode>
                <c:ptCount val="2"/>
                <c:pt idx="0">
                  <c:v>198.09</c:v>
                </c:pt>
                <c:pt idx="1">
                  <c:v>39.32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fd3967c-8f53-4e67-9138-f470cc3e56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'[118001-攀枝花市人民政府驻北京联络处.xls]GK04财政拨款收入支出决算总表'!$D$42:$D$43</c:f>
              <c:strCache>
                <c:ptCount val="2"/>
                <c:pt idx="0">
                  <c:v>2023年财政拨款收支总额（万元）</c:v>
                </c:pt>
                <c:pt idx="1">
                  <c:v>2024年财政拨款收支总额（万元）</c:v>
                </c:pt>
              </c:strCache>
            </c:strRef>
          </c:cat>
          <c:val>
            <c:numRef>
              <c:f>'[118001-攀枝花市人民政府驻北京联络处.xls]GK04财政拨款收入支出决算总表'!$E$42:$E$43</c:f>
              <c:numCache>
                <c:formatCode>General</c:formatCode>
                <c:ptCount val="2"/>
                <c:pt idx="0">
                  <c:v>269.28</c:v>
                </c:pt>
                <c:pt idx="1">
                  <c:v>237.41</c:v>
                </c:pt>
              </c:numCache>
            </c:numRef>
          </c:val>
        </c:ser>
        <c:dLbls>
          <c:showLegendKey val="0"/>
          <c:showVal val="0"/>
          <c:showCatName val="0"/>
          <c:showSerName val="0"/>
          <c:showPercent val="0"/>
          <c:showBubbleSize val="0"/>
        </c:dLbls>
        <c:gapWidth val="246"/>
        <c:overlap val="-28"/>
        <c:axId val="257831071"/>
        <c:axId val="80713531"/>
      </c:barChart>
      <c:catAx>
        <c:axId val="2578310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13531"/>
        <c:crosses val="autoZero"/>
        <c:auto val="1"/>
        <c:lblAlgn val="ctr"/>
        <c:lblOffset val="100"/>
        <c:noMultiLvlLbl val="0"/>
      </c:catAx>
      <c:valAx>
        <c:axId val="807135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7831071"/>
        <c:crosses val="autoZero"/>
        <c:crossBetween val="between"/>
      </c:valAx>
      <c:spPr>
        <a:noFill/>
        <a:ln>
          <a:noFill/>
        </a:ln>
        <a:effectLst/>
      </c:spPr>
    </c:plotArea>
    <c:plotVisOnly val="1"/>
    <c:dispBlanksAs val="gap"/>
    <c:showDLblsOverMax val="0"/>
    <c:extLst>
      <c:ext uri="{0b15fc19-7d7d-44ad-8c2d-2c3a37ce22c3}">
        <chartProps xmlns="https://web.wps.cn/et/2018/main" chartId="{430d13e2-0b56-4ae2-b738-988f9c7b77a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图5：一般公共预算财政拨款支出决算变动情况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'[118001-攀枝花市人民政府驻北京联络处.xls]GK06一般公共预算财政拨款支出决算表'!$J$10:$J$11</c:f>
              <c:strCache>
                <c:ptCount val="2"/>
                <c:pt idx="0">
                  <c:v>2023年一般公共预算财政拨款支出</c:v>
                </c:pt>
                <c:pt idx="1">
                  <c:v>2024年一般公共预算财政拨款支出</c:v>
                </c:pt>
              </c:strCache>
            </c:strRef>
          </c:cat>
          <c:val>
            <c:numRef>
              <c:f>'[118001-攀枝花市人民政府驻北京联络处.xls]GK06一般公共预算财政拨款支出决算表'!$K$10:$K$11</c:f>
              <c:numCache>
                <c:formatCode>General</c:formatCode>
                <c:ptCount val="2"/>
                <c:pt idx="0">
                  <c:v>269.28</c:v>
                </c:pt>
                <c:pt idx="1">
                  <c:v>237.41</c:v>
                </c:pt>
              </c:numCache>
            </c:numRef>
          </c:val>
        </c:ser>
        <c:dLbls>
          <c:showLegendKey val="0"/>
          <c:showVal val="0"/>
          <c:showCatName val="0"/>
          <c:showSerName val="0"/>
          <c:showPercent val="0"/>
          <c:showBubbleSize val="0"/>
        </c:dLbls>
        <c:gapWidth val="246"/>
        <c:overlap val="-28"/>
        <c:axId val="397500576"/>
        <c:axId val="975401369"/>
      </c:barChart>
      <c:catAx>
        <c:axId val="397500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401369"/>
        <c:crosses val="autoZero"/>
        <c:auto val="1"/>
        <c:lblAlgn val="ctr"/>
        <c:lblOffset val="100"/>
        <c:noMultiLvlLbl val="0"/>
      </c:catAx>
      <c:valAx>
        <c:axId val="97540136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500576"/>
        <c:crosses val="autoZero"/>
        <c:crossBetween val="between"/>
      </c:valAx>
      <c:spPr>
        <a:noFill/>
        <a:ln>
          <a:noFill/>
        </a:ln>
        <a:effectLst/>
      </c:spPr>
    </c:plotArea>
    <c:plotVisOnly val="1"/>
    <c:dispBlanksAs val="gap"/>
    <c:showDLblsOverMax val="0"/>
    <c:extLst>
      <c:ext uri="{0b15fc19-7d7d-44ad-8c2d-2c3a37ce22c3}">
        <chartProps xmlns="https://web.wps.cn/et/2018/main" chartId="{130917e7-24e0-43dd-8254-2cc3c9b184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'[118001-攀枝花市人民政府驻北京联络处.xls]GK06一般公共预算财政拨款支出决算表'!$J$7:$J$10</c:f>
              <c:strCache>
                <c:ptCount val="4"/>
                <c:pt idx="0">
                  <c:v>一般公共服务支出</c:v>
                </c:pt>
                <c:pt idx="1">
                  <c:v>社会保障和就业支出</c:v>
                </c:pt>
                <c:pt idx="2">
                  <c:v>卫生健康支出</c:v>
                </c:pt>
                <c:pt idx="3">
                  <c:v>住房保障支出</c:v>
                </c:pt>
              </c:strCache>
            </c:strRef>
          </c:cat>
          <c:val>
            <c:numRef>
              <c:f>'[118001-攀枝花市人民政府驻北京联络处.xls]GK06一般公共预算财政拨款支出决算表'!$K$7:$K$10</c:f>
              <c:numCache>
                <c:formatCode>General</c:formatCode>
                <c:ptCount val="4"/>
                <c:pt idx="0">
                  <c:v>196.15</c:v>
                </c:pt>
                <c:pt idx="1">
                  <c:v>21.04</c:v>
                </c:pt>
                <c:pt idx="2">
                  <c:v>8.31</c:v>
                </c:pt>
                <c:pt idx="3">
                  <c:v>11.92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74d1836-aff7-4be4-b466-7a9aec091ae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图7：“三公”经费财政拨款支出结构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'[118001-攀枝花市人民政府驻北京联络处.xls]GK13财政拨款“三公”经费支出决算表'!$D$24:$D$26</c:f>
              <c:strCache>
                <c:ptCount val="3"/>
                <c:pt idx="0">
                  <c:v>因公出国（境）费用</c:v>
                </c:pt>
                <c:pt idx="1">
                  <c:v>公务用车购置及运行维护费</c:v>
                </c:pt>
                <c:pt idx="2">
                  <c:v>公务接待费</c:v>
                </c:pt>
              </c:strCache>
            </c:strRef>
          </c:cat>
          <c:val>
            <c:numRef>
              <c:f>'[118001-攀枝花市人民政府驻北京联络处.xls]GK13财政拨款“三公”经费支出决算表'!$E$24:$E$26</c:f>
              <c:numCache>
                <c:formatCode>General</c:formatCode>
                <c:ptCount val="3"/>
                <c:pt idx="0">
                  <c:v>0</c:v>
                </c:pt>
                <c:pt idx="1">
                  <c:v>4.54</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97ea346-5107-4ef9-8f65-80d8f59319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7192</Words>
  <Characters>7719</Characters>
  <Lines>61</Lines>
  <Paragraphs>17</Paragraphs>
  <TotalTime>1</TotalTime>
  <ScaleCrop>false</ScaleCrop>
  <LinksUpToDate>false</LinksUpToDate>
  <CharactersWithSpaces>7747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飘逸</cp:lastModifiedBy>
  <cp:lastPrinted>2025-08-06T17:34:00Z</cp:lastPrinted>
  <dcterms:modified xsi:type="dcterms:W3CDTF">2025-09-10T05:12:19Z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eyJoZGlkIjoiNDE4MTAwNjY4NmQ1ODlkNDQ1Zjk4YzliYjdmM2E3MjMiLCJ1c2VySWQiOiI2MDg2NzUyMjAifQ==</vt:lpwstr>
  </property>
</Properties>
</file>