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78441"/>
      <w:bookmarkStart w:id="1" w:name="_Toc15396475"/>
      <w:bookmarkStart w:id="2" w:name="_Toc15377193"/>
      <w:bookmarkStart w:id="3" w:name="_Toc15396597"/>
      <w:bookmarkStart w:id="4" w:name="_Toc15377425"/>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96476"/>
      <w:bookmarkStart w:id="6" w:name="_Toc15377426"/>
      <w:bookmarkStart w:id="7" w:name="_Toc15378442"/>
      <w:bookmarkStart w:id="8" w:name="_Toc15377194"/>
      <w:bookmarkStart w:id="9" w:name="_Toc15396598"/>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rPr>
        <w:t>攀枝花市科学技术和知识产权局部门决算</w:t>
      </w:r>
      <w:bookmarkEnd w:id="5"/>
      <w:bookmarkEnd w:id="6"/>
      <w:bookmarkEnd w:id="7"/>
      <w:bookmarkEnd w:id="8"/>
      <w:bookmarkEnd w:id="9"/>
      <w:bookmarkEnd w:id="10"/>
    </w:p>
    <w:p>
      <w:pPr>
        <w:widowControl/>
        <w:jc w:val="center"/>
        <w:rPr>
          <w:rFonts w:ascii="黑体" w:hAnsi="黑体" w:eastAsia="黑体"/>
          <w:bCs/>
          <w:kern w:val="44"/>
          <w:sz w:val="44"/>
          <w:szCs w:val="44"/>
        </w:rPr>
      </w:pPr>
      <w:r>
        <w:rPr>
          <w:rFonts w:ascii="方正小标宋简体" w:hAnsi="宋体" w:eastAsia="方正小标宋简体"/>
          <w:color w:val="000000"/>
          <w:sz w:val="36"/>
          <w:szCs w:val="36"/>
        </w:rPr>
        <w:br w:type="page"/>
      </w:r>
      <w:bookmarkStart w:id="11" w:name="_Toc15396599"/>
      <w:bookmarkStart w:id="12" w:name="_Toc15377196"/>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8"/>
      </w:pPr>
      <w:r>
        <w:rPr>
          <w:rFonts w:hint="eastAsia"/>
        </w:rPr>
        <w:t>公开时间：</w:t>
      </w:r>
      <w:r>
        <w:t>2019</w:t>
      </w:r>
      <w:r>
        <w:rPr>
          <w:rFonts w:hint="eastAsia"/>
        </w:rPr>
        <w:t>年</w:t>
      </w:r>
      <w:r>
        <w:t>9</w:t>
      </w:r>
      <w:r>
        <w:rPr>
          <w:rFonts w:hint="eastAsia"/>
        </w:rPr>
        <w:t>月</w:t>
      </w:r>
      <w:r>
        <w:t>18</w:t>
      </w:r>
      <w:r>
        <w:rPr>
          <w:rFonts w:hint="eastAsia"/>
        </w:rPr>
        <w:t>日</w:t>
      </w:r>
    </w:p>
    <w:p/>
    <w:p>
      <w:pPr>
        <w:pStyle w:val="8"/>
      </w:pPr>
      <w:r>
        <w:fldChar w:fldCharType="begin"/>
      </w:r>
      <w:r>
        <w:instrText xml:space="preserve"> HYPERLINK \l "_Toc15396599" </w:instrText>
      </w:r>
      <w:r>
        <w:fldChar w:fldCharType="separate"/>
      </w:r>
      <w:r>
        <w:rPr>
          <w:rStyle w:val="14"/>
          <w:rFonts w:hint="eastAsia"/>
        </w:rPr>
        <w:t>第一部分部门概况</w:t>
      </w:r>
      <w:r>
        <w:tab/>
      </w:r>
      <w:r>
        <w:t>4</w:t>
      </w:r>
      <w:r>
        <w:fldChar w:fldCharType="end"/>
      </w:r>
    </w:p>
    <w:p>
      <w:pPr>
        <w:pStyle w:val="9"/>
        <w:rPr>
          <w:rFonts w:ascii="仿宋" w:hAnsi="仿宋" w:eastAsia="仿宋"/>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8"/>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9"/>
        <w:rPr>
          <w:rFonts w:ascii="仿宋" w:hAnsi="仿宋" w:eastAsia="仿宋"/>
          <w:sz w:val="28"/>
          <w:szCs w:val="28"/>
        </w:rPr>
      </w:pPr>
      <w:r>
        <w:fldChar w:fldCharType="begin"/>
      </w:r>
      <w:r>
        <w:instrText xml:space="preserve"> HYPERLINK \l "_Toc15396603" </w:instrText>
      </w:r>
      <w:r>
        <w:fldChar w:fldCharType="separate"/>
      </w:r>
      <w:r>
        <w:rPr>
          <w:rStyle w:val="14"/>
          <w:rFonts w:hint="eastAsia" w:ascii="仿宋" w:hAnsi="仿宋" w:eastAsia="仿宋"/>
          <w:bCs/>
          <w:sz w:val="28"/>
          <w:szCs w:val="28"/>
        </w:rPr>
        <w:t>一、</w:t>
      </w:r>
      <w:r>
        <w:rPr>
          <w:rStyle w:val="14"/>
          <w:rFonts w:hint="eastAsia" w:ascii="仿宋" w:hAnsi="仿宋" w:eastAsia="仿宋"/>
          <w:sz w:val="28"/>
          <w:szCs w:val="28"/>
        </w:rPr>
        <w:t>收</w:t>
      </w:r>
      <w:r>
        <w:rPr>
          <w:rStyle w:val="14"/>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"_Toc15396604" </w:instrText>
      </w:r>
      <w:r>
        <w:fldChar w:fldCharType="separate"/>
      </w:r>
      <w:r>
        <w:rPr>
          <w:rStyle w:val="14"/>
          <w:rFonts w:hint="eastAsia" w:ascii="仿宋" w:hAnsi="仿宋" w:eastAsia="仿宋"/>
          <w:bCs/>
          <w:sz w:val="28"/>
          <w:szCs w:val="28"/>
        </w:rPr>
        <w:t>二、</w:t>
      </w:r>
      <w:r>
        <w:rPr>
          <w:rStyle w:val="14"/>
          <w:rFonts w:hint="eastAsia" w:ascii="仿宋" w:hAnsi="仿宋" w:eastAsia="仿宋"/>
          <w:sz w:val="28"/>
          <w:szCs w:val="28"/>
        </w:rPr>
        <w:t>收</w:t>
      </w:r>
      <w:r>
        <w:rPr>
          <w:rStyle w:val="14"/>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"_Toc15396605" </w:instrText>
      </w:r>
      <w:r>
        <w:fldChar w:fldCharType="separate"/>
      </w:r>
      <w:r>
        <w:rPr>
          <w:rStyle w:val="14"/>
          <w:rFonts w:hint="eastAsia" w:ascii="仿宋" w:hAnsi="仿宋" w:eastAsia="仿宋"/>
          <w:bCs/>
          <w:sz w:val="28"/>
          <w:szCs w:val="28"/>
        </w:rPr>
        <w:t>三、</w:t>
      </w:r>
      <w:r>
        <w:rPr>
          <w:rStyle w:val="14"/>
          <w:rFonts w:hint="eastAsia" w:ascii="仿宋" w:hAnsi="仿宋" w:eastAsia="仿宋"/>
          <w:sz w:val="28"/>
          <w:szCs w:val="28"/>
        </w:rPr>
        <w:t>支</w:t>
      </w:r>
      <w:r>
        <w:rPr>
          <w:rStyle w:val="14"/>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"_Toc15396611" </w:instrText>
      </w:r>
      <w:r>
        <w:fldChar w:fldCharType="separate"/>
      </w:r>
      <w:r>
        <w:rPr>
          <w:rStyle w:val="14"/>
          <w:rFonts w:hint="eastAsia" w:ascii="仿宋" w:hAnsi="仿宋" w:eastAsia="仿宋"/>
          <w:bCs/>
          <w:sz w:val="28"/>
          <w:szCs w:val="28"/>
        </w:rPr>
        <w:t>九、</w:t>
      </w:r>
      <w:r>
        <w:rPr>
          <w:rStyle w:val="14"/>
          <w:rFonts w:ascii="仿宋" w:hAnsi="仿宋" w:eastAsia="仿宋"/>
          <w:sz w:val="28"/>
          <w:szCs w:val="28"/>
        </w:rPr>
        <w:t xml:space="preserve"> </w:t>
      </w:r>
      <w:r>
        <w:rPr>
          <w:rStyle w:val="14"/>
          <w:rFonts w:hint="eastAsia" w:ascii="仿宋" w:hAnsi="仿宋" w:eastAsia="仿宋"/>
          <w:sz w:val="28"/>
          <w:szCs w:val="28"/>
        </w:rPr>
        <w:t>国</w:t>
      </w:r>
      <w:r>
        <w:rPr>
          <w:rStyle w:val="14"/>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8"/>
      </w:pPr>
      <w:r>
        <w:fldChar w:fldCharType="begin"/>
      </w:r>
      <w:r>
        <w:instrText xml:space="preserve"> HYPERLINK \l "_Toc15396613" </w:instrText>
      </w:r>
      <w:r>
        <w:fldChar w:fldCharType="separate"/>
      </w:r>
      <w:r>
        <w:rPr>
          <w:rStyle w:val="14"/>
          <w:rFonts w:hint="eastAsia"/>
          <w:bCs/>
          <w:kern w:val="44"/>
        </w:rPr>
        <w:t>第三部分</w:t>
      </w:r>
      <w:r>
        <w:rPr>
          <w:rStyle w:val="14"/>
        </w:rPr>
        <w:t xml:space="preserve"> </w:t>
      </w:r>
      <w:r>
        <w:rPr>
          <w:rStyle w:val="14"/>
          <w:rFonts w:hint="eastAsia"/>
        </w:rPr>
        <w:t>名</w:t>
      </w:r>
      <w:r>
        <w:rPr>
          <w:rStyle w:val="14"/>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8"/>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9"/>
        <w:rPr>
          <w:rFonts w:ascii="仿宋" w:hAnsi="仿宋" w:eastAsia="仿宋"/>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8"/>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9"/>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2"/>
        <w:rPr>
          <w:rFonts w:ascii="黑体" w:hAnsi="黑体" w:eastAsia="黑体"/>
          <w:b w:val="0"/>
          <w:bCs w:val="0"/>
        </w:rPr>
      </w:pPr>
      <w:r>
        <w:rPr>
          <w:rFonts w:ascii="黑体" w:hAnsi="黑体" w:eastAsia="黑体"/>
          <w:b w:val="0"/>
        </w:rPr>
        <w:t xml:space="preserve">       </w:t>
      </w:r>
      <w:r>
        <w:rPr>
          <w:rFonts w:hint="eastAsia" w:ascii="黑体" w:hAnsi="黑体" w:eastAsia="黑体"/>
          <w:b w:val="0"/>
        </w:rPr>
        <w:t>第一部分</w:t>
      </w:r>
      <w:r>
        <w:rPr>
          <w:rFonts w:ascii="黑体" w:hAnsi="黑体" w:eastAsia="黑体"/>
          <w:b w:val="0"/>
        </w:rPr>
        <w:t xml:space="preserve"> </w:t>
      </w:r>
      <w:r>
        <w:rPr>
          <w:rStyle w:val="15"/>
          <w:rFonts w:hint="eastAsia" w:ascii="黑体" w:hAnsi="黑体" w:eastAsia="黑体"/>
          <w:b w:val="0"/>
          <w:bCs w:val="0"/>
        </w:rPr>
        <w:t>部门概</w:t>
      </w:r>
      <w:bookmarkEnd w:id="11"/>
      <w:bookmarkEnd w:id="12"/>
      <w:r>
        <w:rPr>
          <w:rStyle w:val="15"/>
          <w:rFonts w:hint="eastAsia" w:ascii="黑体" w:hAnsi="黑体" w:eastAsia="黑体"/>
          <w:b w:val="0"/>
          <w:bCs w:val="0"/>
        </w:rPr>
        <w:t>述</w:t>
      </w:r>
    </w:p>
    <w:p>
      <w:pPr>
        <w:pStyle w:val="3"/>
        <w:rPr>
          <w:rStyle w:val="16"/>
          <w:rFonts w:ascii="仿宋" w:hAnsi="仿宋" w:eastAsia="仿宋"/>
          <w:b w:val="0"/>
          <w:bCs w:val="0"/>
        </w:rPr>
      </w:pPr>
      <w:bookmarkStart w:id="13" w:name="_Toc15396600"/>
      <w:bookmarkStart w:id="14" w:name="_Toc15377197"/>
      <w:r>
        <w:rPr>
          <w:rFonts w:hint="eastAsia" w:ascii="黑体" w:hAnsi="黑体" w:eastAsia="黑体"/>
          <w:b w:val="0"/>
          <w:color w:val="000000"/>
        </w:rPr>
        <w:t>一、</w:t>
      </w:r>
      <w:r>
        <w:rPr>
          <w:rFonts w:hint="eastAsia" w:ascii="仿宋" w:hAnsi="仿宋" w:eastAsia="仿宋"/>
          <w:b w:val="0"/>
          <w:color w:val="000000"/>
        </w:rPr>
        <w:t>基</w:t>
      </w:r>
      <w:r>
        <w:rPr>
          <w:rStyle w:val="16"/>
          <w:rFonts w:hint="eastAsia" w:ascii="仿宋" w:hAnsi="仿宋" w:eastAsia="仿宋"/>
          <w:b w:val="0"/>
          <w:bCs w:val="0"/>
        </w:rPr>
        <w:t>本职能及主要工作</w:t>
      </w:r>
      <w:bookmarkEnd w:id="13"/>
      <w:bookmarkEnd w:id="14"/>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（一）主要职能。</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贯彻执行国家、省有关科学技术和知识产权发展的方针政策和法律法规；拟订促进全市科学技术和知识产权发展的政策措施并组织实施和监督检查。</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拟订全市科学技术和知识产权发展规划并组织实施</w:t>
      </w:r>
      <w:r>
        <w:rPr>
          <w:rFonts w:ascii="仿宋" w:hAnsi="仿宋" w:eastAsia="仿宋"/>
          <w:sz w:val="32"/>
          <w:szCs w:val="32"/>
        </w:rPr>
        <w:t xml:space="preserve">, </w:t>
      </w:r>
      <w:r>
        <w:rPr>
          <w:rFonts w:hint="eastAsia" w:ascii="仿宋" w:hAnsi="仿宋" w:eastAsia="仿宋"/>
          <w:sz w:val="32"/>
          <w:szCs w:val="32"/>
        </w:rPr>
        <w:t>提出全市科学技术和知识产权发展布局和优先领域，负责组织拟定并实施科技支撑计划、重大工程；牵头组织经济社会发展重要领域的重大关键技术攻关。</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组织科技重大专项的方案论证、综合平衡、评估验收。</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负责拟订全市科技体制改革政策措施并组织实施；负责全市科技人才队伍建设。</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牵头拟订建设创新型城市的科学技术和知识产权政策措施并组织实施；推进全市科技创新体系建设；拟订促进产学研结合的政策措施。</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牵头拟订促进全市高新技术产业发展</w:t>
      </w:r>
      <w:r>
        <w:rPr>
          <w:rFonts w:hint="eastAsia" w:ascii="仿宋" w:hAnsi="仿宋" w:eastAsia="仿宋" w:cs="Arial"/>
          <w:color w:val="000000"/>
          <w:sz w:val="32"/>
          <w:szCs w:val="32"/>
        </w:rPr>
        <w:t>政策措施并组织实施；指导高新技术企业、创新型企业和创新平台建设，负责市级高新技术企业、创新平台认定管理工作；推进攀枝花国家新材料成果转化及产业化基地建设。</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牵头拟订科技促进农村和社会发展</w:t>
      </w:r>
      <w:r>
        <w:rPr>
          <w:rFonts w:hint="eastAsia" w:ascii="仿宋" w:hAnsi="仿宋" w:eastAsia="仿宋"/>
          <w:color w:val="000000"/>
          <w:sz w:val="32"/>
          <w:szCs w:val="32"/>
        </w:rPr>
        <w:t>领域</w:t>
      </w:r>
      <w:r>
        <w:rPr>
          <w:rFonts w:hint="eastAsia" w:ascii="仿宋" w:hAnsi="仿宋" w:eastAsia="仿宋" w:cs="宋体"/>
          <w:kern w:val="0"/>
          <w:sz w:val="32"/>
          <w:szCs w:val="32"/>
        </w:rPr>
        <w:t>政策措施并组织实施；</w:t>
      </w:r>
      <w:r>
        <w:rPr>
          <w:rFonts w:hint="eastAsia" w:ascii="仿宋" w:hAnsi="仿宋" w:eastAsia="仿宋"/>
          <w:sz w:val="32"/>
          <w:szCs w:val="32"/>
        </w:rPr>
        <w:t>指导农业科技园区和可持续发展实验区建设；</w:t>
      </w:r>
      <w:r>
        <w:rPr>
          <w:rFonts w:hint="eastAsia" w:ascii="仿宋" w:hAnsi="仿宋" w:eastAsia="仿宋"/>
          <w:color w:val="000000"/>
          <w:sz w:val="32"/>
          <w:szCs w:val="32"/>
        </w:rPr>
        <w:t>负责科技服务民生工作</w:t>
      </w:r>
      <w:r>
        <w:rPr>
          <w:rFonts w:ascii="仿宋" w:hAnsi="仿宋" w:eastAsia="仿宋"/>
          <w:color w:val="000000"/>
          <w:sz w:val="32"/>
          <w:szCs w:val="32"/>
        </w:rPr>
        <w:t>,</w:t>
      </w:r>
      <w:r>
        <w:rPr>
          <w:rFonts w:hint="eastAsia" w:ascii="仿宋" w:hAnsi="仿宋" w:eastAsia="仿宋"/>
          <w:color w:val="000000"/>
          <w:sz w:val="32"/>
          <w:szCs w:val="32"/>
        </w:rPr>
        <w:t>促进以改善民生为重点的农村建设社会事业发展</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负责全市专利行政执法工作，依法处理专利纠纷案件，查处假冒专利的违法行为</w:t>
      </w:r>
      <w:r>
        <w:rPr>
          <w:rFonts w:ascii="仿宋" w:hAnsi="仿宋" w:eastAsia="仿宋"/>
          <w:sz w:val="32"/>
          <w:szCs w:val="32"/>
        </w:rPr>
        <w:t xml:space="preserve">; </w:t>
      </w:r>
      <w:r>
        <w:rPr>
          <w:rFonts w:hint="eastAsia" w:ascii="仿宋" w:hAnsi="仿宋" w:eastAsia="仿宋"/>
          <w:sz w:val="32"/>
          <w:szCs w:val="32"/>
        </w:rPr>
        <w:t>指导全市企事业单位的专利工作和专利代理机构业务工作。</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拟订科学技术和知识产权的奖励政策并组织实施；负责组织科学技术奖励的评审和科技成果管理、科技保密以及技术市场工作，指导科技中介组织的建设。</w:t>
      </w:r>
    </w:p>
    <w:p>
      <w:pPr>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负责全市科学技术普及工作；</w:t>
      </w:r>
      <w:r>
        <w:rPr>
          <w:rFonts w:hint="eastAsia" w:ascii="仿宋" w:hAnsi="仿宋" w:eastAsia="仿宋"/>
          <w:color w:val="000000"/>
          <w:sz w:val="32"/>
          <w:szCs w:val="32"/>
        </w:rPr>
        <w:t>牵头组织全市</w:t>
      </w:r>
      <w:r>
        <w:rPr>
          <w:rFonts w:hint="eastAsia" w:ascii="仿宋" w:hAnsi="仿宋" w:eastAsia="仿宋"/>
          <w:sz w:val="32"/>
          <w:szCs w:val="32"/>
        </w:rPr>
        <w:t>科技和</w:t>
      </w:r>
      <w:r>
        <w:rPr>
          <w:rFonts w:hint="eastAsia" w:ascii="仿宋" w:hAnsi="仿宋" w:eastAsia="仿宋"/>
          <w:color w:val="000000"/>
          <w:sz w:val="32"/>
          <w:szCs w:val="32"/>
        </w:rPr>
        <w:t>知识产权法律、法规的宣传和培训</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负责科学技术的对外交流与合作。</w:t>
      </w:r>
    </w:p>
    <w:p>
      <w:pPr>
        <w:ind w:firstLine="640" w:firstLineChars="200"/>
        <w:rPr>
          <w:rFonts w:ascii="仿宋" w:hAnsi="仿宋" w:eastAsia="仿宋" w:cs="Arial"/>
          <w:color w:val="000000"/>
          <w:sz w:val="32"/>
          <w:szCs w:val="32"/>
        </w:rPr>
      </w:pPr>
      <w:r>
        <w:rPr>
          <w:rFonts w:ascii="仿宋" w:hAnsi="仿宋" w:eastAsia="仿宋"/>
          <w:sz w:val="32"/>
          <w:szCs w:val="32"/>
        </w:rPr>
        <w:t>12.</w:t>
      </w:r>
      <w:r>
        <w:rPr>
          <w:rFonts w:hint="eastAsia" w:ascii="仿宋" w:hAnsi="仿宋" w:eastAsia="仿宋"/>
          <w:sz w:val="32"/>
          <w:szCs w:val="32"/>
        </w:rPr>
        <w:t>拟订全市科技金融发展的政策措施并组织实施；</w:t>
      </w:r>
      <w:r>
        <w:rPr>
          <w:rFonts w:hint="eastAsia" w:ascii="仿宋" w:hAnsi="仿宋" w:eastAsia="仿宋" w:cs="Arial"/>
          <w:color w:val="000000"/>
          <w:sz w:val="32"/>
          <w:szCs w:val="32"/>
        </w:rPr>
        <w:t>指导科技金融业务</w:t>
      </w:r>
      <w:r>
        <w:rPr>
          <w:rFonts w:ascii="仿宋" w:hAnsi="仿宋" w:eastAsia="仿宋"/>
          <w:sz w:val="32"/>
          <w:szCs w:val="32"/>
        </w:rPr>
        <w:t>,</w:t>
      </w:r>
      <w:r>
        <w:rPr>
          <w:rFonts w:hint="eastAsia" w:ascii="仿宋" w:hAnsi="仿宋" w:eastAsia="仿宋" w:cs="Arial"/>
          <w:color w:val="000000"/>
          <w:sz w:val="32"/>
          <w:szCs w:val="32"/>
        </w:rPr>
        <w:t>促进科技金融结合。</w:t>
      </w:r>
    </w:p>
    <w:p>
      <w:pPr>
        <w:ind w:firstLine="640" w:firstLineChars="200"/>
        <w:rPr>
          <w:rFonts w:ascii="仿宋" w:hAnsi="仿宋" w:eastAsia="仿宋"/>
        </w:rPr>
      </w:pPr>
      <w:r>
        <w:rPr>
          <w:rFonts w:ascii="仿宋" w:hAnsi="仿宋" w:eastAsia="仿宋"/>
          <w:color w:val="000000"/>
          <w:sz w:val="32"/>
          <w:szCs w:val="32"/>
        </w:rPr>
        <w:t>13.</w:t>
      </w:r>
      <w:r>
        <w:rPr>
          <w:rFonts w:hint="eastAsia" w:ascii="仿宋" w:hAnsi="仿宋" w:eastAsia="仿宋"/>
          <w:sz w:val="32"/>
          <w:szCs w:val="32"/>
        </w:rPr>
        <w:t>负责全市应用技术研究与开发资金的监督管理；提出强化科学技术和知识产权投入及优化资源配置的建议；推进</w:t>
      </w:r>
      <w:r>
        <w:rPr>
          <w:rFonts w:hint="eastAsia" w:ascii="仿宋" w:hAnsi="仿宋" w:eastAsia="仿宋"/>
          <w:color w:val="000000"/>
          <w:sz w:val="32"/>
          <w:szCs w:val="32"/>
        </w:rPr>
        <w:t>科技基础条件平台建设。</w:t>
      </w:r>
    </w:p>
    <w:p>
      <w:pPr>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承担市政府公布的有关行政审批事项。</w:t>
      </w:r>
    </w:p>
    <w:p>
      <w:pPr>
        <w:pStyle w:val="10"/>
        <w:tabs>
          <w:tab w:val="center" w:pos="4153"/>
        </w:tabs>
        <w:spacing w:line="510" w:lineRule="atLeast"/>
        <w:ind w:firstLine="640" w:firstLineChars="200"/>
        <w:rPr>
          <w:rFonts w:ascii="仿宋" w:hAnsi="仿宋" w:eastAsia="仿宋"/>
          <w:color w:val="333333"/>
          <w:sz w:val="21"/>
          <w:szCs w:val="21"/>
        </w:rPr>
      </w:pPr>
      <w:r>
        <w:rPr>
          <w:rFonts w:ascii="仿宋" w:hAnsi="仿宋" w:eastAsia="仿宋"/>
          <w:sz w:val="32"/>
          <w:szCs w:val="32"/>
        </w:rPr>
        <w:t>15.</w:t>
      </w:r>
      <w:r>
        <w:rPr>
          <w:rFonts w:hint="eastAsia" w:ascii="仿宋" w:hAnsi="仿宋" w:eastAsia="仿宋"/>
          <w:sz w:val="32"/>
          <w:szCs w:val="32"/>
        </w:rPr>
        <w:t>承办市政府交办的其他事项。</w:t>
      </w:r>
      <w:bookmarkStart w:id="15" w:name="_Toc15377199"/>
      <w:bookmarkStart w:id="16" w:name="_Toc15378446"/>
    </w:p>
    <w:p>
      <w:pPr>
        <w:pStyle w:val="10"/>
        <w:tabs>
          <w:tab w:val="center" w:pos="4153"/>
        </w:tabs>
        <w:spacing w:line="510" w:lineRule="atLeast"/>
        <w:ind w:firstLine="320" w:firstLineChars="100"/>
        <w:rPr>
          <w:rFonts w:ascii="仿宋" w:hAnsi="仿宋" w:eastAsia="仿宋"/>
          <w:color w:val="333333"/>
          <w:sz w:val="21"/>
          <w:szCs w:val="21"/>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5"/>
      <w:bookmarkEnd w:id="16"/>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800" w:firstLineChars="2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重大科技创新和成果转化实现新提升。</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一是工业转型升级发展基础进一步夯实。启动编制《工业强市战略科技支撑行动方案》，明确科技支撑工业发展行动指南。“高钛型高炉渣提钛及综合利用技术”等</w:t>
      </w:r>
      <w:r>
        <w:rPr>
          <w:rFonts w:ascii="仿宋" w:hAnsi="仿宋" w:eastAsia="仿宋"/>
          <w:sz w:val="32"/>
          <w:szCs w:val="32"/>
        </w:rPr>
        <w:t>5</w:t>
      </w:r>
      <w:r>
        <w:rPr>
          <w:rFonts w:eastAsia="仿宋"/>
          <w:sz w:val="32"/>
          <w:szCs w:val="32"/>
        </w:rPr>
        <w:t> </w:t>
      </w:r>
      <w:r>
        <w:rPr>
          <w:rFonts w:hint="eastAsia" w:ascii="仿宋" w:hAnsi="仿宋" w:eastAsia="仿宋"/>
          <w:sz w:val="32"/>
          <w:szCs w:val="32"/>
        </w:rPr>
        <w:t>个项目通过省科技厅现场结题验收，第三批</w:t>
      </w:r>
      <w:r>
        <w:rPr>
          <w:rFonts w:ascii="仿宋" w:hAnsi="仿宋" w:eastAsia="仿宋"/>
          <w:sz w:val="32"/>
          <w:szCs w:val="32"/>
        </w:rPr>
        <w:t>6</w:t>
      </w:r>
      <w:r>
        <w:rPr>
          <w:rFonts w:hint="eastAsia" w:ascii="仿宋" w:hAnsi="仿宋" w:eastAsia="仿宋"/>
          <w:sz w:val="32"/>
          <w:szCs w:val="32"/>
        </w:rPr>
        <w:t>个项目通过中期评估；今年</w:t>
      </w:r>
      <w:r>
        <w:rPr>
          <w:rFonts w:ascii="仿宋" w:hAnsi="仿宋" w:eastAsia="仿宋"/>
          <w:sz w:val="32"/>
          <w:szCs w:val="32"/>
        </w:rPr>
        <w:t>5</w:t>
      </w:r>
      <w:r>
        <w:rPr>
          <w:rFonts w:hint="eastAsia" w:ascii="仿宋" w:hAnsi="仿宋" w:eastAsia="仿宋"/>
          <w:sz w:val="32"/>
          <w:szCs w:val="32"/>
        </w:rPr>
        <w:t>个项目成功入选，占攀西试验区重大科技攻关项目的</w:t>
      </w:r>
      <w:r>
        <w:rPr>
          <w:rFonts w:ascii="仿宋" w:hAnsi="仿宋" w:eastAsia="仿宋"/>
          <w:sz w:val="32"/>
          <w:szCs w:val="32"/>
        </w:rPr>
        <w:t>50%</w:t>
      </w:r>
      <w:r>
        <w:rPr>
          <w:rFonts w:hint="eastAsia" w:ascii="仿宋" w:hAnsi="仿宋" w:eastAsia="仿宋"/>
          <w:sz w:val="32"/>
          <w:szCs w:val="32"/>
        </w:rPr>
        <w:t>，带动项目总投资</w:t>
      </w:r>
      <w:r>
        <w:rPr>
          <w:rFonts w:ascii="仿宋" w:hAnsi="仿宋" w:eastAsia="仿宋"/>
          <w:sz w:val="32"/>
          <w:szCs w:val="32"/>
        </w:rPr>
        <w:t>3.9</w:t>
      </w:r>
      <w:r>
        <w:rPr>
          <w:rFonts w:hint="eastAsia" w:ascii="仿宋" w:hAnsi="仿宋" w:eastAsia="仿宋"/>
          <w:sz w:val="32"/>
          <w:szCs w:val="32"/>
        </w:rPr>
        <w:t>亿元。战斗机用空中加油钛合金内接管、导弹尾翼用钛合金支架等数十种航空航天领域用精密铸件产品已为军工供货；开发出了钛白工业用卸饼机器人、高性能钛合金焊管、真空连续镀钛膜、钛合金康复医疗器械等</w:t>
      </w:r>
      <w:r>
        <w:rPr>
          <w:rFonts w:ascii="仿宋" w:hAnsi="仿宋" w:eastAsia="仿宋"/>
          <w:sz w:val="32"/>
          <w:szCs w:val="32"/>
        </w:rPr>
        <w:t>10</w:t>
      </w:r>
      <w:r>
        <w:rPr>
          <w:rFonts w:hint="eastAsia" w:ascii="仿宋" w:hAnsi="仿宋" w:eastAsia="仿宋"/>
          <w:sz w:val="32"/>
          <w:szCs w:val="32"/>
        </w:rPr>
        <w:t>余项新产品。</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二是烟气脱硫产学研协同攻关取得新突破。攀枝花市蓝鼎环保科技有限公司按照“</w:t>
      </w:r>
      <w:r>
        <w:rPr>
          <w:rFonts w:ascii="仿宋" w:hAnsi="仿宋" w:eastAsia="仿宋"/>
          <w:sz w:val="32"/>
          <w:szCs w:val="32"/>
        </w:rPr>
        <w:t>BOO</w:t>
      </w:r>
      <w:r>
        <w:rPr>
          <w:rFonts w:hint="eastAsia" w:ascii="仿宋" w:hAnsi="仿宋" w:eastAsia="仿宋"/>
          <w:sz w:val="32"/>
          <w:szCs w:val="32"/>
        </w:rPr>
        <w:t>模式”与四川省环境保护科学研究院、中科院成都分院、四川理工大学进行了联合攻关，将“石灰石</w:t>
      </w:r>
      <w:r>
        <w:rPr>
          <w:rFonts w:ascii="仿宋" w:hAnsi="仿宋" w:eastAsia="仿宋"/>
          <w:sz w:val="32"/>
          <w:szCs w:val="32"/>
        </w:rPr>
        <w:t>—</w:t>
      </w:r>
      <w:r>
        <w:rPr>
          <w:rFonts w:hint="eastAsia" w:ascii="仿宋" w:hAnsi="仿宋" w:eastAsia="仿宋"/>
          <w:sz w:val="32"/>
          <w:szCs w:val="32"/>
        </w:rPr>
        <w:t>石膏法”新工艺成功应用于攀西地区钒钛磁铁矿铁精矿烧结过程中的高硫烟气脱硫，成功解决了攀西钒钛磁铁矿铁精矿烧结高硫烟气难题，成果已在攀钢集团攀枝花钢钒公司烧结机烟气脱硫中成功应用。</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三是重点科技成果转化项目加快落地。</w:t>
      </w:r>
      <w:r>
        <w:rPr>
          <w:rFonts w:ascii="仿宋" w:hAnsi="仿宋" w:eastAsia="仿宋"/>
          <w:sz w:val="32"/>
          <w:szCs w:val="32"/>
        </w:rPr>
        <w:t>10</w:t>
      </w:r>
      <w:r>
        <w:rPr>
          <w:rFonts w:hint="eastAsia" w:ascii="仿宋" w:hAnsi="仿宋" w:eastAsia="仿宋"/>
          <w:sz w:val="32"/>
          <w:szCs w:val="32"/>
        </w:rPr>
        <w:t>万吨高温碳化、</w:t>
      </w:r>
      <w:r>
        <w:rPr>
          <w:rFonts w:ascii="仿宋" w:hAnsi="仿宋" w:eastAsia="仿宋"/>
          <w:sz w:val="32"/>
          <w:szCs w:val="32"/>
        </w:rPr>
        <w:t>4</w:t>
      </w:r>
      <w:r>
        <w:rPr>
          <w:rFonts w:hint="eastAsia" w:ascii="仿宋" w:hAnsi="仿宋" w:eastAsia="仿宋"/>
          <w:sz w:val="32"/>
          <w:szCs w:val="32"/>
        </w:rPr>
        <w:t>万吨低温氯化产业化示范线建成试运行；</w:t>
      </w:r>
      <w:r>
        <w:rPr>
          <w:rFonts w:ascii="仿宋" w:hAnsi="仿宋" w:eastAsia="仿宋"/>
          <w:sz w:val="32"/>
          <w:szCs w:val="32"/>
        </w:rPr>
        <w:t>3</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年盐酸法超细二氧化钛产业化、</w:t>
      </w:r>
      <w:r>
        <w:rPr>
          <w:rFonts w:ascii="仿宋" w:hAnsi="仿宋" w:eastAsia="仿宋"/>
          <w:sz w:val="32"/>
          <w:szCs w:val="32"/>
        </w:rPr>
        <w:t>10</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年高端钒钛工磨具钢产业化等项目稳步推进；攀钢</w:t>
      </w:r>
      <w:r>
        <w:rPr>
          <w:rFonts w:ascii="仿宋" w:hAnsi="仿宋" w:eastAsia="仿宋"/>
          <w:sz w:val="32"/>
          <w:szCs w:val="32"/>
        </w:rPr>
        <w:t>600</w:t>
      </w:r>
      <w:r>
        <w:rPr>
          <w:rFonts w:hint="eastAsia" w:ascii="仿宋" w:hAnsi="仿宋" w:eastAsia="仿宋"/>
          <w:sz w:val="32"/>
          <w:szCs w:val="32"/>
        </w:rPr>
        <w:t>吨</w:t>
      </w:r>
      <w:r>
        <w:rPr>
          <w:rFonts w:ascii="仿宋" w:hAnsi="仿宋" w:eastAsia="仿宋"/>
          <w:sz w:val="32"/>
          <w:szCs w:val="32"/>
        </w:rPr>
        <w:t>/</w:t>
      </w:r>
      <w:r>
        <w:rPr>
          <w:rFonts w:hint="eastAsia" w:ascii="仿宋" w:hAnsi="仿宋" w:eastAsia="仿宋"/>
          <w:sz w:val="32"/>
          <w:szCs w:val="32"/>
        </w:rPr>
        <w:t>年宇航级钒铝合金生产线、恒晖科技氢化钛粉生产线建成投产；天民钛业公司、伦奇机器人公司、红宇新材料等企业在低成本高性能钛及钛合金粉末冶金产业化以及推进新材料铸件及智能制造方面取得进展。</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四是创新引领特色农业发展取得新成效。编制完成《</w:t>
      </w:r>
      <w:r>
        <w:rPr>
          <w:rFonts w:hint="eastAsia" w:ascii="MS Gothic" w:hAnsi="MS Gothic" w:eastAsia="MS Gothic" w:cs="MS Gothic"/>
          <w:sz w:val="32"/>
          <w:szCs w:val="32"/>
        </w:rPr>
        <w:t> </w:t>
      </w:r>
      <w:r>
        <w:rPr>
          <w:rFonts w:hint="eastAsia" w:ascii="仿宋" w:hAnsi="仿宋" w:eastAsia="仿宋"/>
          <w:sz w:val="32"/>
          <w:szCs w:val="32"/>
        </w:rPr>
        <w:t>攀枝花乡村产业振兴科技支撑行动方案》，强化农业科技创新顶层设计；引选油梨、金菠萝等新品种</w:t>
      </w:r>
      <w:r>
        <w:rPr>
          <w:rFonts w:ascii="仿宋" w:hAnsi="仿宋" w:eastAsia="仿宋"/>
          <w:sz w:val="32"/>
          <w:szCs w:val="32"/>
        </w:rPr>
        <w:t>40</w:t>
      </w:r>
      <w:r>
        <w:rPr>
          <w:rFonts w:hint="eastAsia" w:ascii="仿宋" w:hAnsi="仿宋" w:eastAsia="仿宋"/>
          <w:sz w:val="32"/>
          <w:szCs w:val="32"/>
        </w:rPr>
        <w:t>余个，“锐华</w:t>
      </w:r>
      <w:r>
        <w:rPr>
          <w:rFonts w:ascii="仿宋" w:hAnsi="仿宋" w:eastAsia="仿宋"/>
          <w:sz w:val="32"/>
          <w:szCs w:val="32"/>
        </w:rPr>
        <w:t>2</w:t>
      </w:r>
      <w:r>
        <w:rPr>
          <w:rFonts w:hint="eastAsia" w:ascii="仿宋" w:hAnsi="仿宋" w:eastAsia="仿宋"/>
          <w:sz w:val="32"/>
          <w:szCs w:val="32"/>
        </w:rPr>
        <w:t>号”等</w:t>
      </w:r>
      <w:r>
        <w:rPr>
          <w:rFonts w:ascii="仿宋" w:hAnsi="仿宋" w:eastAsia="仿宋"/>
          <w:sz w:val="32"/>
          <w:szCs w:val="32"/>
        </w:rPr>
        <w:t>10</w:t>
      </w:r>
      <w:r>
        <w:rPr>
          <w:rFonts w:hint="eastAsia" w:ascii="仿宋" w:hAnsi="仿宋" w:eastAsia="仿宋"/>
          <w:sz w:val="32"/>
          <w:szCs w:val="32"/>
        </w:rPr>
        <w:t>余个芒果品种获农业部新品种权，凯特芒果通过国家品种审核认定，优质果蔬良种选育有效提升攀枝花农产品市场竞争力；</w:t>
      </w:r>
      <w:r>
        <w:rPr>
          <w:rFonts w:ascii="仿宋" w:hAnsi="仿宋" w:eastAsia="仿宋"/>
          <w:sz w:val="32"/>
          <w:szCs w:val="32"/>
        </w:rPr>
        <w:t>40</w:t>
      </w:r>
      <w:r>
        <w:rPr>
          <w:rFonts w:hint="eastAsia" w:ascii="仿宋" w:hAnsi="仿宋" w:eastAsia="仿宋"/>
          <w:sz w:val="32"/>
          <w:szCs w:val="32"/>
        </w:rPr>
        <w:t>亩芒果科技示范园集成示范现代农业技术；新建芒果深加工生产线</w:t>
      </w:r>
      <w:r>
        <w:rPr>
          <w:rFonts w:ascii="仿宋" w:hAnsi="仿宋" w:eastAsia="仿宋"/>
          <w:sz w:val="32"/>
          <w:szCs w:val="32"/>
        </w:rPr>
        <w:t>3</w:t>
      </w:r>
      <w:r>
        <w:rPr>
          <w:rFonts w:hint="eastAsia" w:ascii="仿宋" w:hAnsi="仿宋" w:eastAsia="仿宋"/>
          <w:sz w:val="32"/>
          <w:szCs w:val="32"/>
        </w:rPr>
        <w:t>条，农产品加工链条进一步延伸；国内首个芒果特色康养庄园正式开建。</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科技与经济，科技与金融结合迈出新步伐。</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一是科技成果转化政策激励引导力度加大。明确对重大创新产品择优给予最高</w:t>
      </w:r>
      <w:r>
        <w:rPr>
          <w:rFonts w:ascii="仿宋" w:hAnsi="仿宋" w:eastAsia="仿宋"/>
          <w:sz w:val="32"/>
          <w:szCs w:val="32"/>
        </w:rPr>
        <w:t xml:space="preserve">500 </w:t>
      </w:r>
      <w:r>
        <w:rPr>
          <w:rFonts w:hint="eastAsia" w:ascii="仿宋" w:hAnsi="仿宋" w:eastAsia="仿宋"/>
          <w:sz w:val="32"/>
          <w:szCs w:val="32"/>
        </w:rPr>
        <w:t>万元资助；对开展技术交易活动的输出方、吸纳方和中介方按</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和</w:t>
      </w:r>
      <w:r>
        <w:rPr>
          <w:rFonts w:ascii="仿宋" w:hAnsi="仿宋" w:eastAsia="仿宋"/>
          <w:sz w:val="32"/>
          <w:szCs w:val="32"/>
        </w:rPr>
        <w:t>1%</w:t>
      </w:r>
      <w:r>
        <w:rPr>
          <w:rFonts w:hint="eastAsia" w:ascii="仿宋" w:hAnsi="仿宋" w:eastAsia="仿宋"/>
          <w:sz w:val="32"/>
          <w:szCs w:val="32"/>
        </w:rPr>
        <w:t>给予奖补；二是企业创新主体培育力度加大。初步建立孵化培育型、科技成长型、创新引领型三张企业清单，</w:t>
      </w:r>
      <w:r>
        <w:rPr>
          <w:rFonts w:ascii="仿宋" w:hAnsi="仿宋" w:eastAsia="仿宋"/>
          <w:sz w:val="32"/>
          <w:szCs w:val="32"/>
        </w:rPr>
        <w:t>103</w:t>
      </w:r>
      <w:r>
        <w:rPr>
          <w:rFonts w:hint="eastAsia" w:ascii="仿宋" w:hAnsi="仿宋" w:eastAsia="仿宋"/>
          <w:sz w:val="32"/>
          <w:szCs w:val="32"/>
        </w:rPr>
        <w:t>家企业进入科技型企业清单。新增高新技术企业</w:t>
      </w:r>
      <w:r>
        <w:rPr>
          <w:rFonts w:ascii="仿宋" w:hAnsi="仿宋" w:eastAsia="仿宋"/>
          <w:sz w:val="32"/>
          <w:szCs w:val="32"/>
        </w:rPr>
        <w:t>5</w:t>
      </w:r>
      <w:r>
        <w:rPr>
          <w:rFonts w:hint="eastAsia" w:ascii="仿宋" w:hAnsi="仿宋" w:eastAsia="仿宋"/>
          <w:sz w:val="32"/>
          <w:szCs w:val="32"/>
        </w:rPr>
        <w:t>家，为分类指导企业发展，创建创新型城市奠定了基础；三是技术转移公共服务平台建设加快。四川大学国家技术转移中心攀枝花分中心预计年底挂牌运行。四是职务科技成果权属混合所有制改革进一步深化。公益类科研院所市农林科学院扩大科技人员创新创业专项改革试点，先后实施成果转化项目</w:t>
      </w:r>
      <w:r>
        <w:rPr>
          <w:rFonts w:ascii="仿宋" w:hAnsi="仿宋" w:eastAsia="仿宋"/>
          <w:sz w:val="32"/>
          <w:szCs w:val="32"/>
        </w:rPr>
        <w:t xml:space="preserve"> 50 </w:t>
      </w:r>
      <w:r>
        <w:rPr>
          <w:rFonts w:hint="eastAsia" w:ascii="仿宋" w:hAnsi="仿宋" w:eastAsia="仿宋"/>
          <w:sz w:val="32"/>
          <w:szCs w:val="32"/>
        </w:rPr>
        <w:t>余个；转制类科研院所（攀钢集团攀枝花钢铁研究院有限公司）探索按科技成果处置收益增量利润的一定比例进行分红。五是科技与金融进一步融合。西区天脉科技获得科技支行专利质押融资贷款</w:t>
      </w:r>
      <w:r>
        <w:rPr>
          <w:rFonts w:ascii="仿宋" w:hAnsi="仿宋" w:eastAsia="仿宋"/>
          <w:sz w:val="32"/>
          <w:szCs w:val="32"/>
        </w:rPr>
        <w:t>800</w:t>
      </w:r>
      <w:r>
        <w:rPr>
          <w:rFonts w:hint="eastAsia" w:ascii="仿宋" w:hAnsi="仿宋" w:eastAsia="仿宋"/>
          <w:sz w:val="32"/>
          <w:szCs w:val="32"/>
        </w:rPr>
        <w:t>万元，邮储银行为秉扬科技公司、鸿海科技公司增信</w:t>
      </w:r>
      <w:r>
        <w:rPr>
          <w:rFonts w:ascii="仿宋" w:hAnsi="仿宋" w:eastAsia="仿宋"/>
          <w:sz w:val="32"/>
          <w:szCs w:val="32"/>
        </w:rPr>
        <w:t>1400</w:t>
      </w:r>
      <w:r>
        <w:rPr>
          <w:rFonts w:hint="eastAsia" w:ascii="仿宋" w:hAnsi="仿宋" w:eastAsia="仿宋"/>
          <w:sz w:val="32"/>
          <w:szCs w:val="32"/>
        </w:rPr>
        <w:t>万元。预计全年实现专利质押融资贷款</w:t>
      </w:r>
      <w:r>
        <w:rPr>
          <w:rFonts w:ascii="仿宋" w:hAnsi="仿宋" w:eastAsia="仿宋"/>
          <w:sz w:val="32"/>
          <w:szCs w:val="32"/>
        </w:rPr>
        <w:t>1500</w:t>
      </w:r>
      <w:r>
        <w:rPr>
          <w:rFonts w:hint="eastAsia" w:ascii="仿宋" w:hAnsi="仿宋" w:eastAsia="仿宋"/>
          <w:sz w:val="32"/>
          <w:szCs w:val="32"/>
        </w:rPr>
        <w:t>万元。</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科研平台建设取得新进展。</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钒钛新材料产业创新中心建设取得进展，完成组建方案编制，正式上报国家和省发改委；攀钢钒钛资源综合利用国家重点实验室获得国家、省科技计划项目立项支持</w:t>
      </w:r>
      <w:r>
        <w:rPr>
          <w:rFonts w:ascii="仿宋" w:hAnsi="仿宋" w:eastAsia="仿宋"/>
          <w:sz w:val="32"/>
          <w:szCs w:val="32"/>
        </w:rPr>
        <w:t>400</w:t>
      </w:r>
      <w:r>
        <w:rPr>
          <w:rFonts w:hint="eastAsia" w:ascii="仿宋" w:hAnsi="仿宋" w:eastAsia="仿宋"/>
          <w:sz w:val="32"/>
          <w:szCs w:val="32"/>
        </w:rPr>
        <w:t>万元；攀枝花学院挂牌成立攀枝花国际钒钛研究院，</w:t>
      </w:r>
      <w:r>
        <w:rPr>
          <w:rFonts w:ascii="仿宋" w:hAnsi="仿宋" w:eastAsia="仿宋"/>
          <w:sz w:val="32"/>
          <w:szCs w:val="32"/>
        </w:rPr>
        <w:t>2018</w:t>
      </w:r>
      <w:r>
        <w:rPr>
          <w:rFonts w:hint="eastAsia" w:ascii="仿宋" w:hAnsi="仿宋" w:eastAsia="仿宋"/>
          <w:sz w:val="32"/>
          <w:szCs w:val="32"/>
        </w:rPr>
        <w:t>年国际钒钛研究院引进博士</w:t>
      </w:r>
      <w:r>
        <w:rPr>
          <w:rFonts w:ascii="仿宋" w:hAnsi="仿宋" w:eastAsia="仿宋"/>
          <w:sz w:val="32"/>
          <w:szCs w:val="32"/>
        </w:rPr>
        <w:t>24</w:t>
      </w:r>
      <w:r>
        <w:rPr>
          <w:rFonts w:hint="eastAsia" w:ascii="仿宋" w:hAnsi="仿宋" w:eastAsia="仿宋"/>
          <w:sz w:val="32"/>
          <w:szCs w:val="32"/>
        </w:rPr>
        <w:t>名，正在充分利用攀枝花市“人才新政七条”大力组建钒钛合金、绿色冶金等</w:t>
      </w:r>
      <w:r>
        <w:rPr>
          <w:rFonts w:ascii="仿宋" w:hAnsi="仿宋" w:eastAsia="仿宋"/>
          <w:sz w:val="32"/>
          <w:szCs w:val="32"/>
        </w:rPr>
        <w:t>7</w:t>
      </w:r>
      <w:r>
        <w:rPr>
          <w:rFonts w:hint="eastAsia" w:ascii="仿宋" w:hAnsi="仿宋" w:eastAsia="仿宋"/>
          <w:sz w:val="32"/>
          <w:szCs w:val="32"/>
        </w:rPr>
        <w:t>个领域钒钛创新团队，柔性引进市外知名专家</w:t>
      </w:r>
      <w:r>
        <w:rPr>
          <w:rFonts w:ascii="仿宋" w:hAnsi="仿宋" w:eastAsia="仿宋"/>
          <w:sz w:val="32"/>
          <w:szCs w:val="32"/>
        </w:rPr>
        <w:t>4</w:t>
      </w:r>
      <w:r>
        <w:rPr>
          <w:rFonts w:hint="eastAsia" w:ascii="仿宋" w:hAnsi="仿宋" w:eastAsia="仿宋"/>
          <w:sz w:val="32"/>
          <w:szCs w:val="32"/>
        </w:rPr>
        <w:t>名，攀枝花学院国家钒钛检测重点实验室获得</w:t>
      </w:r>
      <w:r>
        <w:rPr>
          <w:rFonts w:ascii="仿宋" w:hAnsi="仿宋" w:eastAsia="仿宋"/>
          <w:sz w:val="32"/>
          <w:szCs w:val="32"/>
        </w:rPr>
        <w:t>200</w:t>
      </w:r>
      <w:r>
        <w:rPr>
          <w:rFonts w:hint="eastAsia" w:ascii="仿宋" w:hAnsi="仿宋" w:eastAsia="仿宋"/>
          <w:sz w:val="32"/>
          <w:szCs w:val="32"/>
        </w:rPr>
        <w:t>万元支持；首次获得中央引导资金</w:t>
      </w:r>
      <w:r>
        <w:rPr>
          <w:rFonts w:ascii="仿宋" w:hAnsi="仿宋" w:eastAsia="仿宋"/>
          <w:sz w:val="32"/>
          <w:szCs w:val="32"/>
        </w:rPr>
        <w:t>200</w:t>
      </w:r>
      <w:r>
        <w:rPr>
          <w:rFonts w:hint="eastAsia" w:ascii="仿宋" w:hAnsi="仿宋" w:eastAsia="仿宋"/>
          <w:sz w:val="32"/>
          <w:szCs w:val="32"/>
        </w:rPr>
        <w:t>万元支持地方农业科研机构基础条件能力建设；推进中国热科院攀枝花试验基地建设；建成芒果创新工程中心和农业部芒果种质资源保护四川创新基地；组建阳光康养产业技术研究院；与江西中医药大学合作搭建中医药资源与民族药研究中心攀西分中心市校科技合作平台，推动中医药大健康产业发展。</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创新创业氛围更加浓厚。</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一是专业型双创载体培育取得进展。全市新增载体</w:t>
      </w:r>
      <w:r>
        <w:rPr>
          <w:rFonts w:ascii="仿宋" w:hAnsi="仿宋" w:eastAsia="仿宋"/>
          <w:sz w:val="32"/>
          <w:szCs w:val="32"/>
        </w:rPr>
        <w:t>9</w:t>
      </w:r>
      <w:r>
        <w:rPr>
          <w:rFonts w:hint="eastAsia" w:ascii="仿宋" w:hAnsi="仿宋" w:eastAsia="仿宋"/>
          <w:sz w:val="32"/>
          <w:szCs w:val="32"/>
        </w:rPr>
        <w:t>个，双创载体达</w:t>
      </w:r>
      <w:r>
        <w:rPr>
          <w:rFonts w:ascii="仿宋" w:hAnsi="仿宋" w:eastAsia="仿宋"/>
          <w:sz w:val="32"/>
          <w:szCs w:val="32"/>
        </w:rPr>
        <w:t>34</w:t>
      </w:r>
      <w:r>
        <w:rPr>
          <w:rFonts w:hint="eastAsia" w:ascii="仿宋" w:hAnsi="仿宋" w:eastAsia="仿宋"/>
          <w:sz w:val="32"/>
          <w:szCs w:val="32"/>
        </w:rPr>
        <w:t>个，清华启迪之星在孵企业</w:t>
      </w:r>
      <w:r>
        <w:rPr>
          <w:rFonts w:ascii="仿宋" w:hAnsi="仿宋" w:eastAsia="仿宋"/>
          <w:sz w:val="32"/>
          <w:szCs w:val="32"/>
        </w:rPr>
        <w:t>22</w:t>
      </w:r>
      <w:r>
        <w:rPr>
          <w:rFonts w:hint="eastAsia" w:ascii="仿宋" w:hAnsi="仿宋" w:eastAsia="仿宋"/>
          <w:sz w:val="32"/>
          <w:szCs w:val="32"/>
        </w:rPr>
        <w:t>家，毕业企业</w:t>
      </w:r>
      <w:r>
        <w:rPr>
          <w:rFonts w:ascii="仿宋" w:hAnsi="仿宋" w:eastAsia="仿宋"/>
          <w:sz w:val="32"/>
          <w:szCs w:val="32"/>
        </w:rPr>
        <w:t>5</w:t>
      </w:r>
      <w:r>
        <w:rPr>
          <w:rFonts w:hint="eastAsia" w:ascii="仿宋" w:hAnsi="仿宋" w:eastAsia="仿宋"/>
          <w:sz w:val="32"/>
          <w:szCs w:val="32"/>
        </w:rPr>
        <w:t>家，省委彭清华书记来攀视察给予了高度肯定，成为四川双创的一张亮丽明片。组织</w:t>
      </w:r>
      <w:r>
        <w:rPr>
          <w:rFonts w:ascii="仿宋" w:hAnsi="仿宋" w:eastAsia="仿宋"/>
          <w:sz w:val="32"/>
          <w:szCs w:val="32"/>
        </w:rPr>
        <w:t>65</w:t>
      </w:r>
      <w:r>
        <w:rPr>
          <w:rFonts w:hint="eastAsia" w:ascii="仿宋" w:hAnsi="仿宋" w:eastAsia="仿宋"/>
          <w:sz w:val="32"/>
          <w:szCs w:val="32"/>
        </w:rPr>
        <w:t>家团队参加全国创新创业大赛，</w:t>
      </w:r>
      <w:r>
        <w:rPr>
          <w:rFonts w:ascii="仿宋" w:hAnsi="仿宋" w:eastAsia="仿宋"/>
          <w:sz w:val="32"/>
          <w:szCs w:val="32"/>
        </w:rPr>
        <w:t>18</w:t>
      </w:r>
      <w:r>
        <w:rPr>
          <w:rFonts w:hint="eastAsia" w:ascii="仿宋" w:hAnsi="仿宋" w:eastAsia="仿宋"/>
          <w:sz w:val="32"/>
          <w:szCs w:val="32"/>
        </w:rPr>
        <w:t>个团队进入四川省决赛，参赛团队与入围团队均创新高；全国同步举办“双创活动周”，共举办活动</w:t>
      </w:r>
      <w:r>
        <w:rPr>
          <w:rFonts w:ascii="仿宋" w:hAnsi="仿宋" w:eastAsia="仿宋"/>
          <w:sz w:val="32"/>
          <w:szCs w:val="32"/>
        </w:rPr>
        <w:t>22</w:t>
      </w:r>
      <w:r>
        <w:rPr>
          <w:rFonts w:hint="eastAsia" w:ascii="仿宋" w:hAnsi="仿宋" w:eastAsia="仿宋"/>
          <w:sz w:val="32"/>
          <w:szCs w:val="32"/>
        </w:rPr>
        <w:t>场，参与人次</w:t>
      </w:r>
      <w:r>
        <w:rPr>
          <w:rFonts w:ascii="仿宋" w:hAnsi="仿宋" w:eastAsia="仿宋"/>
          <w:sz w:val="32"/>
          <w:szCs w:val="32"/>
        </w:rPr>
        <w:t>20000</w:t>
      </w:r>
      <w:r>
        <w:rPr>
          <w:rFonts w:hint="eastAsia" w:ascii="仿宋" w:hAnsi="仿宋" w:eastAsia="仿宋"/>
          <w:sz w:val="32"/>
          <w:szCs w:val="32"/>
        </w:rPr>
        <w:t>余人次。攀枝花市创新创业座谈会召开，为打造</w:t>
      </w:r>
      <w:r>
        <w:rPr>
          <w:rFonts w:ascii="仿宋" w:hAnsi="仿宋" w:eastAsia="仿宋"/>
          <w:sz w:val="32"/>
          <w:szCs w:val="32"/>
        </w:rPr>
        <w:t>2019</w:t>
      </w:r>
      <w:r>
        <w:rPr>
          <w:rFonts w:hint="eastAsia" w:ascii="仿宋" w:hAnsi="仿宋" w:eastAsia="仿宋"/>
          <w:sz w:val="32"/>
          <w:szCs w:val="32"/>
        </w:rPr>
        <w:t>“双创”工作升级版指明了方向。</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二是科技交流合作成效明显。柔性引进乌克兰伊万院士等专家与部分企业开展钒钛技术项目合作；促成清华大学韩敏芳教授与安宁铁钛的固体氢燃料电池、王毅教授与九荣工贸的红石膏综合利用等</w:t>
      </w:r>
      <w:r>
        <w:rPr>
          <w:rFonts w:ascii="仿宋" w:hAnsi="仿宋" w:eastAsia="仿宋"/>
          <w:sz w:val="32"/>
          <w:szCs w:val="32"/>
        </w:rPr>
        <w:t>6</w:t>
      </w:r>
      <w:r>
        <w:rPr>
          <w:rFonts w:hint="eastAsia" w:ascii="仿宋" w:hAnsi="仿宋" w:eastAsia="仿宋"/>
          <w:sz w:val="32"/>
          <w:szCs w:val="32"/>
        </w:rPr>
        <w:t>个重点科技合作项目在攀落地；梳理技术需求</w:t>
      </w:r>
      <w:r>
        <w:rPr>
          <w:rFonts w:ascii="仿宋" w:hAnsi="仿宋" w:eastAsia="仿宋"/>
          <w:sz w:val="32"/>
          <w:szCs w:val="32"/>
        </w:rPr>
        <w:t>18</w:t>
      </w:r>
      <w:r>
        <w:rPr>
          <w:rFonts w:hint="eastAsia" w:ascii="仿宋" w:hAnsi="仿宋" w:eastAsia="仿宋"/>
          <w:sz w:val="32"/>
          <w:szCs w:val="32"/>
        </w:rPr>
        <w:t>项，积极对接中国科学院；与四川大学签订战略合作协议，设立校市战略合作专项资金</w:t>
      </w:r>
      <w:r>
        <w:rPr>
          <w:rFonts w:ascii="仿宋" w:hAnsi="仿宋" w:eastAsia="仿宋"/>
          <w:sz w:val="32"/>
          <w:szCs w:val="32"/>
        </w:rPr>
        <w:t>1000</w:t>
      </w:r>
      <w:r>
        <w:rPr>
          <w:rFonts w:hint="eastAsia" w:ascii="仿宋" w:hAnsi="仿宋" w:eastAsia="仿宋"/>
          <w:sz w:val="32"/>
          <w:szCs w:val="32"/>
        </w:rPr>
        <w:t>万元，“钛白废酸富集高钛型高炉渣中钛”“高品质</w:t>
      </w:r>
      <w:r>
        <w:rPr>
          <w:rFonts w:ascii="仿宋" w:hAnsi="仿宋" w:eastAsia="仿宋"/>
          <w:sz w:val="32"/>
          <w:szCs w:val="32"/>
        </w:rPr>
        <w:t>Ti(C,N)</w:t>
      </w:r>
      <w:r>
        <w:rPr>
          <w:rFonts w:hint="eastAsia" w:ascii="仿宋" w:hAnsi="仿宋" w:eastAsia="仿宋"/>
          <w:sz w:val="32"/>
          <w:szCs w:val="32"/>
        </w:rPr>
        <w:t>及其多元复合固溶体粉的产业化关键技术开发”等前瞻性、中试及成果转化类项目</w:t>
      </w:r>
      <w:r>
        <w:rPr>
          <w:rFonts w:ascii="仿宋" w:hAnsi="仿宋" w:eastAsia="仿宋"/>
          <w:sz w:val="32"/>
          <w:szCs w:val="32"/>
        </w:rPr>
        <w:t>30</w:t>
      </w:r>
      <w:r>
        <w:rPr>
          <w:rFonts w:hint="eastAsia" w:ascii="仿宋" w:hAnsi="仿宋" w:eastAsia="仿宋"/>
          <w:sz w:val="32"/>
          <w:szCs w:val="32"/>
        </w:rPr>
        <w:t>个落实推进；组织参展企业</w:t>
      </w:r>
      <w:r>
        <w:rPr>
          <w:rFonts w:ascii="仿宋" w:hAnsi="仿宋" w:eastAsia="仿宋"/>
          <w:sz w:val="32"/>
          <w:szCs w:val="32"/>
        </w:rPr>
        <w:t>27</w:t>
      </w:r>
      <w:r>
        <w:rPr>
          <w:rFonts w:hint="eastAsia" w:ascii="仿宋" w:hAnsi="仿宋" w:eastAsia="仿宋"/>
          <w:sz w:val="32"/>
          <w:szCs w:val="32"/>
        </w:rPr>
        <w:t>家，参展产品</w:t>
      </w:r>
      <w:r>
        <w:rPr>
          <w:rFonts w:ascii="仿宋" w:hAnsi="仿宋" w:eastAsia="仿宋"/>
          <w:sz w:val="32"/>
          <w:szCs w:val="32"/>
        </w:rPr>
        <w:t>50</w:t>
      </w:r>
      <w:r>
        <w:rPr>
          <w:rFonts w:hint="eastAsia" w:ascii="仿宋" w:hAnsi="仿宋" w:eastAsia="仿宋"/>
          <w:sz w:val="32"/>
          <w:szCs w:val="32"/>
        </w:rPr>
        <w:t>余种参加绵阳科技博览会，签约项目</w:t>
      </w:r>
      <w:r>
        <w:rPr>
          <w:rFonts w:ascii="仿宋" w:hAnsi="仿宋" w:eastAsia="仿宋"/>
          <w:sz w:val="32"/>
          <w:szCs w:val="32"/>
        </w:rPr>
        <w:t>7</w:t>
      </w:r>
      <w:r>
        <w:rPr>
          <w:rFonts w:hint="eastAsia" w:ascii="仿宋" w:hAnsi="仿宋" w:eastAsia="仿宋"/>
          <w:sz w:val="32"/>
          <w:szCs w:val="32"/>
        </w:rPr>
        <w:t>个，金额</w:t>
      </w:r>
      <w:r>
        <w:rPr>
          <w:rFonts w:ascii="仿宋" w:hAnsi="仿宋" w:eastAsia="仿宋"/>
          <w:sz w:val="32"/>
          <w:szCs w:val="32"/>
        </w:rPr>
        <w:t>13.36</w:t>
      </w:r>
      <w:r>
        <w:rPr>
          <w:rFonts w:hint="eastAsia" w:ascii="仿宋" w:hAnsi="仿宋" w:eastAsia="仿宋"/>
          <w:sz w:val="32"/>
          <w:szCs w:val="32"/>
        </w:rPr>
        <w:t>亿元；市科技和知识产权局获评为第五届中国（绵阳）科技城国际科技博览会先进集体。</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三是科普宣传阵地建设加强。三线建设博物馆成功申报成为省级科普示范基地，新立项支持市级科普示范基地</w:t>
      </w:r>
      <w:r>
        <w:rPr>
          <w:rFonts w:ascii="仿宋" w:hAnsi="仿宋" w:eastAsia="仿宋"/>
          <w:sz w:val="32"/>
          <w:szCs w:val="32"/>
        </w:rPr>
        <w:t>4</w:t>
      </w:r>
      <w:r>
        <w:rPr>
          <w:rFonts w:hint="eastAsia" w:ascii="仿宋" w:hAnsi="仿宋" w:eastAsia="仿宋"/>
          <w:sz w:val="32"/>
          <w:szCs w:val="32"/>
        </w:rPr>
        <w:t>家、科普示范学校</w:t>
      </w:r>
      <w:r>
        <w:rPr>
          <w:rFonts w:ascii="仿宋" w:hAnsi="仿宋" w:eastAsia="仿宋"/>
          <w:sz w:val="32"/>
          <w:szCs w:val="32"/>
        </w:rPr>
        <w:t>1</w:t>
      </w:r>
      <w:r>
        <w:rPr>
          <w:rFonts w:hint="eastAsia" w:ascii="仿宋" w:hAnsi="仿宋" w:eastAsia="仿宋"/>
          <w:sz w:val="32"/>
          <w:szCs w:val="32"/>
        </w:rPr>
        <w:t>家、科普示范社区</w:t>
      </w:r>
      <w:r>
        <w:rPr>
          <w:rFonts w:ascii="仿宋" w:hAnsi="仿宋" w:eastAsia="仿宋"/>
          <w:sz w:val="32"/>
          <w:szCs w:val="32"/>
        </w:rPr>
        <w:t>2</w:t>
      </w:r>
      <w:r>
        <w:rPr>
          <w:rFonts w:hint="eastAsia" w:ascii="仿宋" w:hAnsi="仿宋" w:eastAsia="仿宋"/>
          <w:sz w:val="32"/>
          <w:szCs w:val="32"/>
        </w:rPr>
        <w:t>家。编印了《钒钛产业知识读本》和《人工智能知识读本》。</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知识产权创新联动发展效应更加突出。</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统筹推进知识产权示范城市复核验收工作落实，完成工作总结和相关资料准备并向国家知识产权局正式报送，预计今年底将发布复核结果。米易县通过国家知识产权强县工程试点县验收，仁和区强县工程试点正式启动，东区强县工程试点完成申报，</w:t>
      </w:r>
      <w:r>
        <w:rPr>
          <w:rFonts w:ascii="仿宋" w:hAnsi="仿宋" w:eastAsia="仿宋"/>
          <w:sz w:val="32"/>
          <w:szCs w:val="32"/>
        </w:rPr>
        <w:t>6</w:t>
      </w:r>
      <w:r>
        <w:rPr>
          <w:rFonts w:hint="eastAsia" w:ascii="仿宋" w:hAnsi="仿宋" w:eastAsia="仿宋"/>
          <w:sz w:val="32"/>
          <w:szCs w:val="32"/>
        </w:rPr>
        <w:t>家企业通过了国家知识产权示范、优势培育企业年度考核和复核；四川省知识产权远程教育平台攀枝花分站被评为</w:t>
      </w:r>
      <w:r>
        <w:rPr>
          <w:rFonts w:ascii="仿宋" w:hAnsi="仿宋" w:eastAsia="仿宋"/>
          <w:sz w:val="32"/>
          <w:szCs w:val="32"/>
        </w:rPr>
        <w:t>2017</w:t>
      </w:r>
      <w:r>
        <w:rPr>
          <w:rFonts w:hint="eastAsia" w:ascii="仿宋" w:hAnsi="仿宋" w:eastAsia="仿宋"/>
          <w:sz w:val="32"/>
          <w:szCs w:val="32"/>
        </w:rPr>
        <w:t>年度全国优秀分站，全年开设</w:t>
      </w:r>
      <w:r>
        <w:rPr>
          <w:rFonts w:ascii="仿宋" w:hAnsi="仿宋" w:eastAsia="仿宋"/>
          <w:sz w:val="32"/>
          <w:szCs w:val="32"/>
        </w:rPr>
        <w:t>8</w:t>
      </w:r>
      <w:r>
        <w:rPr>
          <w:rFonts w:hint="eastAsia" w:ascii="仿宋" w:hAnsi="仿宋" w:eastAsia="仿宋"/>
          <w:sz w:val="32"/>
          <w:szCs w:val="32"/>
        </w:rPr>
        <w:t>个班，新注册培训</w:t>
      </w:r>
      <w:r>
        <w:rPr>
          <w:rFonts w:ascii="仿宋" w:hAnsi="仿宋" w:eastAsia="仿宋"/>
          <w:sz w:val="32"/>
          <w:szCs w:val="32"/>
        </w:rPr>
        <w:t>2500</w:t>
      </w:r>
      <w:r>
        <w:rPr>
          <w:rFonts w:hint="eastAsia" w:ascii="仿宋" w:hAnsi="仿宋" w:eastAsia="仿宋"/>
          <w:sz w:val="32"/>
          <w:szCs w:val="32"/>
        </w:rPr>
        <w:t>人次；修订专利资助资金管理办法，突出专利质量提升导向作用，有力支持了企业技术创新；全年我市实施专利转化项目</w:t>
      </w:r>
      <w:r>
        <w:rPr>
          <w:rFonts w:ascii="仿宋" w:hAnsi="仿宋" w:eastAsia="仿宋"/>
          <w:sz w:val="32"/>
          <w:szCs w:val="32"/>
        </w:rPr>
        <w:t>384</w:t>
      </w:r>
      <w:r>
        <w:rPr>
          <w:rFonts w:hint="eastAsia" w:ascii="仿宋" w:hAnsi="仿宋" w:eastAsia="仿宋"/>
          <w:sz w:val="32"/>
          <w:szCs w:val="32"/>
        </w:rPr>
        <w:t>项，实现产值</w:t>
      </w:r>
      <w:r>
        <w:rPr>
          <w:rFonts w:ascii="仿宋" w:hAnsi="仿宋" w:eastAsia="仿宋"/>
          <w:sz w:val="32"/>
          <w:szCs w:val="32"/>
        </w:rPr>
        <w:t>85.53</w:t>
      </w:r>
      <w:r>
        <w:rPr>
          <w:rFonts w:hint="eastAsia" w:ascii="仿宋" w:hAnsi="仿宋" w:eastAsia="仿宋"/>
          <w:sz w:val="32"/>
          <w:szCs w:val="32"/>
        </w:rPr>
        <w:t>亿元，利税</w:t>
      </w:r>
      <w:r>
        <w:rPr>
          <w:rFonts w:ascii="仿宋" w:hAnsi="仿宋" w:eastAsia="仿宋"/>
          <w:sz w:val="32"/>
          <w:szCs w:val="32"/>
        </w:rPr>
        <w:t>7.64</w:t>
      </w:r>
      <w:r>
        <w:rPr>
          <w:rFonts w:hint="eastAsia" w:ascii="仿宋" w:hAnsi="仿宋" w:eastAsia="仿宋"/>
          <w:sz w:val="32"/>
          <w:szCs w:val="32"/>
        </w:rPr>
        <w:t>亿元。节约投资</w:t>
      </w:r>
      <w:r>
        <w:rPr>
          <w:rFonts w:ascii="仿宋" w:hAnsi="仿宋" w:eastAsia="仿宋"/>
          <w:sz w:val="32"/>
          <w:szCs w:val="32"/>
        </w:rPr>
        <w:t>1.95</w:t>
      </w:r>
      <w:r>
        <w:rPr>
          <w:rFonts w:hint="eastAsia" w:ascii="仿宋" w:hAnsi="仿宋" w:eastAsia="仿宋"/>
          <w:sz w:val="32"/>
          <w:szCs w:val="32"/>
        </w:rPr>
        <w:t>亿元，创汇</w:t>
      </w:r>
      <w:r>
        <w:rPr>
          <w:rFonts w:ascii="仿宋" w:hAnsi="仿宋" w:eastAsia="仿宋"/>
          <w:sz w:val="32"/>
          <w:szCs w:val="32"/>
        </w:rPr>
        <w:t>9500</w:t>
      </w:r>
      <w:r>
        <w:rPr>
          <w:rFonts w:hint="eastAsia" w:ascii="仿宋" w:hAnsi="仿宋" w:eastAsia="仿宋"/>
          <w:sz w:val="32"/>
          <w:szCs w:val="32"/>
        </w:rPr>
        <w:t>万美元。</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社会发展科技工作支撑经济社会发展效果明显。</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一是争取到上级政策支持，积极协调争取将“康复辅具关键技术及产品开发”纳入</w:t>
      </w:r>
      <w:r>
        <w:rPr>
          <w:rFonts w:ascii="仿宋" w:hAnsi="仿宋" w:eastAsia="仿宋"/>
          <w:sz w:val="32"/>
          <w:szCs w:val="32"/>
        </w:rPr>
        <w:t>2018</w:t>
      </w:r>
      <w:r>
        <w:rPr>
          <w:rFonts w:hint="eastAsia" w:ascii="仿宋" w:hAnsi="仿宋" w:eastAsia="仿宋"/>
          <w:sz w:val="32"/>
          <w:szCs w:val="32"/>
        </w:rPr>
        <w:t>年度省科技厅社会发展领域重点研发项目申报指南。二是编制印发《攀枝花市关于进一步加强环保科技创新的实施意见》（攀科知〔</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 xml:space="preserve">26 </w:t>
      </w:r>
      <w:r>
        <w:rPr>
          <w:rFonts w:hint="eastAsia" w:ascii="仿宋" w:hAnsi="仿宋" w:eastAsia="仿宋"/>
          <w:sz w:val="32"/>
          <w:szCs w:val="32"/>
        </w:rPr>
        <w:t>号），鼓励大专院校、科研院所、企业开展环保科技创新。同时为支持“水土气三大战役”科技创新，立项</w:t>
      </w:r>
      <w:r>
        <w:rPr>
          <w:rFonts w:ascii="仿宋" w:hAnsi="仿宋" w:eastAsia="仿宋"/>
          <w:sz w:val="32"/>
          <w:szCs w:val="32"/>
        </w:rPr>
        <w:t>23</w:t>
      </w:r>
      <w:r>
        <w:rPr>
          <w:rFonts w:hint="eastAsia" w:ascii="仿宋" w:hAnsi="仿宋" w:eastAsia="仿宋"/>
          <w:sz w:val="32"/>
          <w:szCs w:val="32"/>
        </w:rPr>
        <w:t>个，经费</w:t>
      </w:r>
      <w:r>
        <w:rPr>
          <w:rFonts w:ascii="仿宋" w:hAnsi="仿宋" w:eastAsia="仿宋"/>
          <w:sz w:val="32"/>
          <w:szCs w:val="32"/>
        </w:rPr>
        <w:t>665</w:t>
      </w:r>
      <w:r>
        <w:rPr>
          <w:rFonts w:hint="eastAsia" w:ascii="仿宋" w:hAnsi="仿宋" w:eastAsia="仿宋"/>
          <w:sz w:val="32"/>
          <w:szCs w:val="32"/>
        </w:rPr>
        <w:t>万元，并积极争取省科技厅生态环保专项</w:t>
      </w:r>
      <w:r>
        <w:rPr>
          <w:rFonts w:ascii="仿宋" w:hAnsi="仿宋" w:eastAsia="仿宋"/>
          <w:sz w:val="32"/>
          <w:szCs w:val="32"/>
        </w:rPr>
        <w:t>1000</w:t>
      </w:r>
      <w:r>
        <w:rPr>
          <w:rFonts w:hint="eastAsia" w:ascii="仿宋" w:hAnsi="仿宋" w:eastAsia="仿宋"/>
          <w:sz w:val="32"/>
          <w:szCs w:val="32"/>
        </w:rPr>
        <w:t>万元。</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科技精准扶贫各项指标任务全面完成。</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新争取省级科技精准扶贫项目</w:t>
      </w:r>
      <w:r>
        <w:rPr>
          <w:rFonts w:ascii="仿宋" w:hAnsi="仿宋" w:eastAsia="仿宋"/>
          <w:sz w:val="32"/>
          <w:szCs w:val="32"/>
        </w:rPr>
        <w:t>2</w:t>
      </w:r>
      <w:r>
        <w:rPr>
          <w:rFonts w:hint="eastAsia" w:ascii="仿宋" w:hAnsi="仿宋" w:eastAsia="仿宋"/>
          <w:sz w:val="32"/>
          <w:szCs w:val="32"/>
        </w:rPr>
        <w:t>项，资金</w:t>
      </w:r>
      <w:r>
        <w:rPr>
          <w:rFonts w:ascii="仿宋" w:hAnsi="仿宋" w:eastAsia="仿宋"/>
          <w:sz w:val="32"/>
          <w:szCs w:val="32"/>
        </w:rPr>
        <w:t>50</w:t>
      </w:r>
      <w:r>
        <w:rPr>
          <w:rFonts w:hint="eastAsia" w:ascii="仿宋" w:hAnsi="仿宋" w:eastAsia="仿宋"/>
          <w:sz w:val="32"/>
          <w:szCs w:val="32"/>
        </w:rPr>
        <w:t>万元；实施市级科技扶贫项目</w:t>
      </w:r>
      <w:r>
        <w:rPr>
          <w:rFonts w:ascii="仿宋" w:hAnsi="仿宋" w:eastAsia="仿宋"/>
          <w:sz w:val="32"/>
          <w:szCs w:val="32"/>
        </w:rPr>
        <w:t>22</w:t>
      </w:r>
      <w:r>
        <w:rPr>
          <w:rFonts w:hint="eastAsia" w:ascii="仿宋" w:hAnsi="仿宋" w:eastAsia="仿宋"/>
          <w:sz w:val="32"/>
          <w:szCs w:val="32"/>
        </w:rPr>
        <w:t>项，专项经费</w:t>
      </w:r>
      <w:r>
        <w:rPr>
          <w:rFonts w:ascii="仿宋" w:hAnsi="仿宋" w:eastAsia="仿宋"/>
          <w:sz w:val="32"/>
          <w:szCs w:val="32"/>
        </w:rPr>
        <w:t>295</w:t>
      </w:r>
      <w:r>
        <w:rPr>
          <w:rFonts w:hint="eastAsia" w:ascii="仿宋" w:hAnsi="仿宋" w:eastAsia="仿宋"/>
          <w:sz w:val="32"/>
          <w:szCs w:val="32"/>
        </w:rPr>
        <w:t>万元，其中新实施</w:t>
      </w:r>
      <w:r>
        <w:rPr>
          <w:rFonts w:ascii="仿宋" w:hAnsi="仿宋" w:eastAsia="仿宋"/>
          <w:sz w:val="32"/>
          <w:szCs w:val="32"/>
        </w:rPr>
        <w:t>6</w:t>
      </w:r>
      <w:r>
        <w:rPr>
          <w:rFonts w:hint="eastAsia" w:ascii="仿宋" w:hAnsi="仿宋" w:eastAsia="仿宋"/>
          <w:sz w:val="32"/>
          <w:szCs w:val="32"/>
        </w:rPr>
        <w:t>项，滚动支持</w:t>
      </w:r>
      <w:r>
        <w:rPr>
          <w:rFonts w:ascii="仿宋" w:hAnsi="仿宋" w:eastAsia="仿宋"/>
          <w:sz w:val="32"/>
          <w:szCs w:val="32"/>
        </w:rPr>
        <w:t>3</w:t>
      </w:r>
      <w:r>
        <w:rPr>
          <w:rFonts w:hint="eastAsia" w:ascii="仿宋" w:hAnsi="仿宋" w:eastAsia="仿宋"/>
          <w:sz w:val="32"/>
          <w:szCs w:val="32"/>
        </w:rPr>
        <w:t>项，资金</w:t>
      </w:r>
      <w:r>
        <w:rPr>
          <w:rFonts w:ascii="仿宋" w:hAnsi="仿宋" w:eastAsia="仿宋"/>
          <w:sz w:val="32"/>
          <w:szCs w:val="32"/>
        </w:rPr>
        <w:t>85</w:t>
      </w:r>
      <w:r>
        <w:rPr>
          <w:rFonts w:hint="eastAsia" w:ascii="仿宋" w:hAnsi="仿宋" w:eastAsia="仿宋"/>
          <w:sz w:val="32"/>
          <w:szCs w:val="32"/>
        </w:rPr>
        <w:t>万元，建立科技扶贫基地</w:t>
      </w:r>
      <w:r>
        <w:rPr>
          <w:rFonts w:ascii="仿宋" w:hAnsi="仿宋" w:eastAsia="仿宋"/>
          <w:sz w:val="32"/>
          <w:szCs w:val="32"/>
        </w:rPr>
        <w:t>12</w:t>
      </w:r>
      <w:r>
        <w:rPr>
          <w:rFonts w:hint="eastAsia" w:ascii="仿宋" w:hAnsi="仿宋" w:eastAsia="仿宋"/>
          <w:sz w:val="32"/>
          <w:szCs w:val="32"/>
        </w:rPr>
        <w:t>个，培育发展优势特色产业</w:t>
      </w:r>
      <w:r>
        <w:rPr>
          <w:rFonts w:ascii="仿宋" w:hAnsi="仿宋" w:eastAsia="仿宋"/>
          <w:sz w:val="32"/>
          <w:szCs w:val="32"/>
        </w:rPr>
        <w:t>6</w:t>
      </w:r>
      <w:r>
        <w:rPr>
          <w:rFonts w:hint="eastAsia" w:ascii="仿宋" w:hAnsi="仿宋" w:eastAsia="仿宋"/>
          <w:sz w:val="32"/>
          <w:szCs w:val="32"/>
        </w:rPr>
        <w:t>个。今年选派</w:t>
      </w:r>
      <w:r>
        <w:rPr>
          <w:rFonts w:ascii="仿宋" w:hAnsi="仿宋" w:eastAsia="仿宋"/>
          <w:sz w:val="32"/>
          <w:szCs w:val="32"/>
        </w:rPr>
        <w:t xml:space="preserve"> 70 </w:t>
      </w:r>
      <w:r>
        <w:rPr>
          <w:rFonts w:hint="eastAsia" w:ascii="仿宋" w:hAnsi="仿宋" w:eastAsia="仿宋"/>
          <w:sz w:val="32"/>
          <w:szCs w:val="32"/>
        </w:rPr>
        <w:t>名科技特派员开展产业扶贫专项行动，开展帮扶活动</w:t>
      </w:r>
      <w:r>
        <w:rPr>
          <w:rFonts w:ascii="仿宋" w:hAnsi="仿宋" w:eastAsia="仿宋"/>
          <w:sz w:val="32"/>
          <w:szCs w:val="32"/>
        </w:rPr>
        <w:t>200</w:t>
      </w:r>
      <w:r>
        <w:rPr>
          <w:rFonts w:hint="eastAsia" w:ascii="仿宋" w:hAnsi="仿宋" w:eastAsia="仿宋"/>
          <w:sz w:val="32"/>
          <w:szCs w:val="32"/>
        </w:rPr>
        <w:t>余次，推广新技术</w:t>
      </w:r>
      <w:r>
        <w:rPr>
          <w:rFonts w:ascii="仿宋" w:hAnsi="仿宋" w:eastAsia="仿宋"/>
          <w:sz w:val="32"/>
          <w:szCs w:val="32"/>
        </w:rPr>
        <w:t>20</w:t>
      </w:r>
      <w:r>
        <w:rPr>
          <w:rFonts w:hint="eastAsia" w:ascii="仿宋" w:hAnsi="仿宋" w:eastAsia="仿宋"/>
          <w:sz w:val="32"/>
          <w:szCs w:val="32"/>
        </w:rPr>
        <w:t>项，培训贫困农民</w:t>
      </w:r>
      <w:r>
        <w:rPr>
          <w:rFonts w:ascii="仿宋" w:hAnsi="仿宋" w:eastAsia="仿宋"/>
          <w:sz w:val="32"/>
          <w:szCs w:val="32"/>
        </w:rPr>
        <w:t>2500</w:t>
      </w:r>
      <w:r>
        <w:rPr>
          <w:rFonts w:hint="eastAsia" w:ascii="仿宋" w:hAnsi="仿宋" w:eastAsia="仿宋"/>
          <w:sz w:val="32"/>
          <w:szCs w:val="32"/>
        </w:rPr>
        <w:t>人次以上，发放科技精准扶贫手册</w:t>
      </w:r>
      <w:r>
        <w:rPr>
          <w:rFonts w:ascii="仿宋" w:hAnsi="仿宋" w:eastAsia="仿宋"/>
          <w:sz w:val="32"/>
          <w:szCs w:val="32"/>
        </w:rPr>
        <w:t>1</w:t>
      </w:r>
      <w:r>
        <w:rPr>
          <w:rFonts w:hint="eastAsia" w:ascii="仿宋" w:hAnsi="仿宋" w:eastAsia="仿宋"/>
          <w:sz w:val="32"/>
          <w:szCs w:val="32"/>
        </w:rPr>
        <w:t>万余册，帮助全市各贫困村发展产业致富增收。</w:t>
      </w:r>
      <w:r>
        <w:rPr>
          <w:rFonts w:ascii="仿宋" w:hAnsi="仿宋" w:eastAsia="仿宋"/>
          <w:sz w:val="32"/>
          <w:szCs w:val="32"/>
        </w:rPr>
        <w:t xml:space="preserve">   </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决策咨询委员智囊参谋作用较好发挥。</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召开主任会议</w:t>
      </w:r>
      <w:r>
        <w:rPr>
          <w:rFonts w:ascii="仿宋" w:hAnsi="仿宋" w:eastAsia="仿宋"/>
          <w:sz w:val="32"/>
          <w:szCs w:val="32"/>
        </w:rPr>
        <w:t>1</w:t>
      </w:r>
      <w:r>
        <w:rPr>
          <w:rFonts w:hint="eastAsia" w:ascii="仿宋" w:hAnsi="仿宋" w:eastAsia="仿宋"/>
          <w:sz w:val="32"/>
          <w:szCs w:val="32"/>
        </w:rPr>
        <w:t>次，举办全市钒钛科技创新讲堂</w:t>
      </w:r>
      <w:r>
        <w:rPr>
          <w:rFonts w:ascii="仿宋" w:hAnsi="仿宋" w:eastAsia="仿宋"/>
          <w:sz w:val="32"/>
          <w:szCs w:val="32"/>
        </w:rPr>
        <w:t>5</w:t>
      </w:r>
      <w:r>
        <w:rPr>
          <w:rFonts w:hint="eastAsia" w:ascii="仿宋" w:hAnsi="仿宋" w:eastAsia="仿宋"/>
          <w:sz w:val="32"/>
          <w:szCs w:val="32"/>
        </w:rPr>
        <w:t>次，组织专业小组活动</w:t>
      </w:r>
      <w:r>
        <w:rPr>
          <w:rFonts w:ascii="仿宋" w:hAnsi="仿宋" w:eastAsia="仿宋"/>
          <w:sz w:val="32"/>
          <w:szCs w:val="32"/>
        </w:rPr>
        <w:t>10</w:t>
      </w:r>
      <w:r>
        <w:rPr>
          <w:rFonts w:hint="eastAsia" w:ascii="仿宋" w:hAnsi="仿宋" w:eastAsia="仿宋"/>
          <w:sz w:val="32"/>
          <w:szCs w:val="32"/>
        </w:rPr>
        <w:t>次，专题调研</w:t>
      </w:r>
      <w:r>
        <w:rPr>
          <w:rFonts w:ascii="仿宋" w:hAnsi="仿宋" w:eastAsia="仿宋"/>
          <w:sz w:val="32"/>
          <w:szCs w:val="32"/>
        </w:rPr>
        <w:t>3</w:t>
      </w:r>
      <w:r>
        <w:rPr>
          <w:rFonts w:hint="eastAsia" w:ascii="仿宋" w:hAnsi="仿宋" w:eastAsia="仿宋"/>
          <w:sz w:val="32"/>
          <w:szCs w:val="32"/>
        </w:rPr>
        <w:t>次，重大项目咨询</w:t>
      </w:r>
      <w:r>
        <w:rPr>
          <w:rFonts w:ascii="仿宋" w:hAnsi="仿宋" w:eastAsia="仿宋"/>
          <w:sz w:val="32"/>
          <w:szCs w:val="32"/>
        </w:rPr>
        <w:t>2</w:t>
      </w:r>
      <w:r>
        <w:rPr>
          <w:rFonts w:hint="eastAsia" w:ascii="仿宋" w:hAnsi="仿宋" w:eastAsia="仿宋"/>
          <w:sz w:val="32"/>
          <w:szCs w:val="32"/>
        </w:rPr>
        <w:t>次；开展重大咨询课题研究</w:t>
      </w:r>
      <w:r>
        <w:rPr>
          <w:rFonts w:ascii="仿宋" w:hAnsi="仿宋" w:eastAsia="仿宋"/>
          <w:sz w:val="32"/>
          <w:szCs w:val="32"/>
        </w:rPr>
        <w:t>12</w:t>
      </w:r>
      <w:r>
        <w:rPr>
          <w:rFonts w:hint="eastAsia" w:ascii="仿宋" w:hAnsi="仿宋" w:eastAsia="仿宋"/>
          <w:sz w:val="32"/>
          <w:szCs w:val="32"/>
        </w:rPr>
        <w:t>个，组织专家撰写、编送《决策咨询建议》</w:t>
      </w:r>
      <w:r>
        <w:rPr>
          <w:rFonts w:ascii="仿宋" w:hAnsi="仿宋" w:eastAsia="仿宋"/>
          <w:sz w:val="32"/>
          <w:szCs w:val="32"/>
        </w:rPr>
        <w:t>7</w:t>
      </w:r>
      <w:r>
        <w:rPr>
          <w:rFonts w:hint="eastAsia" w:ascii="仿宋" w:hAnsi="仿宋" w:eastAsia="仿宋"/>
          <w:sz w:val="32"/>
          <w:szCs w:val="32"/>
        </w:rPr>
        <w:t>期，《关于钒钛高新区渣场急需扩容的建议》、《尽快开展我市三线干部学院培训工作的建议》等建议得到分管市领导的重视并批复相关部门落实；根据市委安排，组织评选“我为攀枝花发展献一策”优秀稿件</w:t>
      </w:r>
      <w:r>
        <w:rPr>
          <w:rFonts w:ascii="仿宋" w:hAnsi="仿宋" w:eastAsia="仿宋"/>
          <w:sz w:val="32"/>
          <w:szCs w:val="32"/>
        </w:rPr>
        <w:t>68</w:t>
      </w:r>
      <w:r>
        <w:rPr>
          <w:rFonts w:hint="eastAsia" w:ascii="仿宋" w:hAnsi="仿宋" w:eastAsia="仿宋"/>
          <w:sz w:val="32"/>
          <w:szCs w:val="32"/>
        </w:rPr>
        <w:t>篇。</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党建和党风廉政建设工作扎实推进。</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严格落实党建和党风廉政建设主体责任。深入推进“两学一做”学习教育常态化制度化，抓实学习教育。组织开展“大学习大讨论大调研”活动，聚焦制约我市科技创新能力提升发展的</w:t>
      </w:r>
      <w:r>
        <w:rPr>
          <w:rFonts w:ascii="仿宋" w:hAnsi="仿宋" w:eastAsia="仿宋"/>
          <w:sz w:val="32"/>
          <w:szCs w:val="32"/>
        </w:rPr>
        <w:t>7</w:t>
      </w:r>
      <w:r>
        <w:rPr>
          <w:rFonts w:hint="eastAsia" w:ascii="仿宋" w:hAnsi="仿宋" w:eastAsia="仿宋"/>
          <w:sz w:val="32"/>
          <w:szCs w:val="32"/>
        </w:rPr>
        <w:t>个重大问题，由领导班子分工牵头形成</w:t>
      </w:r>
      <w:r>
        <w:rPr>
          <w:rFonts w:ascii="仿宋" w:hAnsi="仿宋" w:eastAsia="仿宋"/>
          <w:sz w:val="32"/>
          <w:szCs w:val="32"/>
        </w:rPr>
        <w:t>1</w:t>
      </w:r>
      <w:r>
        <w:rPr>
          <w:rFonts w:hint="eastAsia" w:ascii="仿宋" w:hAnsi="仿宋" w:eastAsia="仿宋"/>
          <w:sz w:val="32"/>
          <w:szCs w:val="32"/>
        </w:rPr>
        <w:t>个战略性的调研成果和</w:t>
      </w:r>
      <w:r>
        <w:rPr>
          <w:rFonts w:ascii="仿宋" w:hAnsi="仿宋" w:eastAsia="仿宋"/>
          <w:sz w:val="32"/>
          <w:szCs w:val="32"/>
        </w:rPr>
        <w:t>7</w:t>
      </w:r>
      <w:r>
        <w:rPr>
          <w:rFonts w:hint="eastAsia" w:ascii="仿宋" w:hAnsi="仿宋" w:eastAsia="仿宋"/>
          <w:sz w:val="32"/>
          <w:szCs w:val="32"/>
        </w:rPr>
        <w:t>个重大问题调研报告。开展“利剑除弊</w:t>
      </w:r>
      <w:r>
        <w:rPr>
          <w:rFonts w:ascii="仿宋" w:hAnsi="仿宋" w:eastAsia="仿宋"/>
          <w:sz w:val="32"/>
          <w:szCs w:val="32"/>
        </w:rPr>
        <w:t>.</w:t>
      </w:r>
      <w:r>
        <w:rPr>
          <w:rFonts w:hint="eastAsia" w:ascii="仿宋" w:hAnsi="仿宋" w:eastAsia="仿宋"/>
          <w:sz w:val="32"/>
          <w:szCs w:val="32"/>
        </w:rPr>
        <w:t>护航阳光花城”专项整治。配合纪检组完成</w:t>
      </w:r>
      <w:r>
        <w:rPr>
          <w:rFonts w:ascii="仿宋" w:hAnsi="仿宋" w:eastAsia="仿宋"/>
          <w:sz w:val="32"/>
          <w:szCs w:val="32"/>
        </w:rPr>
        <w:t>1</w:t>
      </w:r>
      <w:r>
        <w:rPr>
          <w:rFonts w:hint="eastAsia" w:ascii="仿宋" w:hAnsi="仿宋" w:eastAsia="仿宋"/>
          <w:sz w:val="32"/>
          <w:szCs w:val="32"/>
        </w:rPr>
        <w:t>起群众信访问题的调查；组织开展扶贫领域项目及资金管理使用方面的监督检查</w:t>
      </w:r>
      <w:r>
        <w:rPr>
          <w:rFonts w:ascii="仿宋" w:hAnsi="仿宋" w:eastAsia="仿宋"/>
          <w:sz w:val="32"/>
          <w:szCs w:val="32"/>
        </w:rPr>
        <w:t>2</w:t>
      </w:r>
      <w:r>
        <w:rPr>
          <w:rFonts w:hint="eastAsia" w:ascii="仿宋" w:hAnsi="仿宋" w:eastAsia="仿宋"/>
          <w:sz w:val="32"/>
          <w:szCs w:val="32"/>
        </w:rPr>
        <w:t>次，有效推进项目实施并规范项目资金管理使用。实施能力提升工程，在清华大学、四川大学组织开展“科技创新驱动高质量发展”主题培训，有效推动干部队伍“两转一提”。</w:t>
      </w:r>
      <w:r>
        <w:rPr>
          <w:rFonts w:ascii="仿宋" w:hAnsi="仿宋" w:eastAsia="仿宋"/>
          <w:sz w:val="32"/>
          <w:szCs w:val="32"/>
        </w:rPr>
        <w:t xml:space="preserve"> </w:t>
      </w:r>
      <w:r>
        <w:rPr>
          <w:rFonts w:hint="eastAsia" w:ascii="仿宋" w:hAnsi="仿宋" w:eastAsia="仿宋"/>
          <w:sz w:val="32"/>
          <w:szCs w:val="32"/>
        </w:rPr>
        <w:t>组织开展</w:t>
      </w:r>
      <w:r>
        <w:rPr>
          <w:rFonts w:ascii="仿宋" w:hAnsi="仿宋" w:eastAsia="仿宋"/>
          <w:sz w:val="32"/>
          <w:szCs w:val="32"/>
        </w:rPr>
        <w:t>2009</w:t>
      </w:r>
      <w:r>
        <w:rPr>
          <w:rFonts w:hint="eastAsia" w:ascii="仿宋" w:hAnsi="仿宋" w:eastAsia="仿宋"/>
          <w:sz w:val="32"/>
          <w:szCs w:val="32"/>
        </w:rPr>
        <w:t>以来项目结题验收清理工作，清理科技计划项目</w:t>
      </w:r>
      <w:r>
        <w:rPr>
          <w:rFonts w:ascii="仿宋" w:hAnsi="仿宋" w:eastAsia="仿宋"/>
          <w:sz w:val="32"/>
          <w:szCs w:val="32"/>
        </w:rPr>
        <w:t>1155</w:t>
      </w:r>
      <w:r>
        <w:rPr>
          <w:rFonts w:hint="eastAsia" w:ascii="仿宋" w:hAnsi="仿宋" w:eastAsia="仿宋"/>
          <w:sz w:val="32"/>
          <w:szCs w:val="32"/>
        </w:rPr>
        <w:t>项，预计年底前清理完成</w:t>
      </w:r>
      <w:r>
        <w:rPr>
          <w:rFonts w:ascii="仿宋" w:hAnsi="仿宋" w:eastAsia="仿宋"/>
          <w:sz w:val="32"/>
          <w:szCs w:val="32"/>
        </w:rPr>
        <w:t>80%</w:t>
      </w:r>
      <w:r>
        <w:rPr>
          <w:rFonts w:hint="eastAsia" w:ascii="仿宋" w:hAnsi="仿宋" w:eastAsia="仿宋"/>
          <w:sz w:val="32"/>
          <w:szCs w:val="32"/>
        </w:rPr>
        <w:t>项目结题。“三抓工作”取得突出实效，向上争取科技项目</w:t>
      </w:r>
      <w:r>
        <w:rPr>
          <w:rFonts w:ascii="仿宋" w:hAnsi="仿宋" w:eastAsia="仿宋"/>
          <w:sz w:val="32"/>
          <w:szCs w:val="32"/>
        </w:rPr>
        <w:t>50</w:t>
      </w:r>
      <w:r>
        <w:rPr>
          <w:rFonts w:hint="eastAsia" w:ascii="仿宋" w:hAnsi="仿宋" w:eastAsia="仿宋"/>
          <w:sz w:val="32"/>
          <w:szCs w:val="32"/>
        </w:rPr>
        <w:t>项，经费达</w:t>
      </w:r>
      <w:r>
        <w:rPr>
          <w:rFonts w:ascii="仿宋" w:hAnsi="仿宋" w:eastAsia="仿宋"/>
          <w:sz w:val="32"/>
          <w:szCs w:val="32"/>
        </w:rPr>
        <w:t>3392</w:t>
      </w:r>
      <w:r>
        <w:rPr>
          <w:rFonts w:hint="eastAsia" w:ascii="仿宋" w:hAnsi="仿宋" w:eastAsia="仿宋"/>
          <w:sz w:val="32"/>
          <w:szCs w:val="32"/>
        </w:rPr>
        <w:t>万元，比上年增长</w:t>
      </w:r>
      <w:r>
        <w:rPr>
          <w:rFonts w:ascii="仿宋" w:hAnsi="仿宋" w:eastAsia="仿宋"/>
          <w:sz w:val="32"/>
          <w:szCs w:val="32"/>
        </w:rPr>
        <w:t>250.3%</w:t>
      </w:r>
      <w:r>
        <w:rPr>
          <w:rFonts w:hint="eastAsia" w:ascii="仿宋" w:hAnsi="仿宋" w:eastAsia="仿宋"/>
          <w:sz w:val="32"/>
          <w:szCs w:val="32"/>
        </w:rPr>
        <w:t>。</w:t>
      </w:r>
    </w:p>
    <w:p>
      <w:pPr>
        <w:pStyle w:val="3"/>
        <w:rPr>
          <w:rStyle w:val="16"/>
          <w:rFonts w:ascii="仿宋" w:hAnsi="仿宋" w:eastAsia="仿宋"/>
          <w:b w:val="0"/>
          <w:bCs w:val="0"/>
        </w:rPr>
      </w:pPr>
      <w:bookmarkStart w:id="17" w:name="_Toc15377200"/>
      <w:bookmarkStart w:id="18" w:name="_Toc15396601"/>
      <w:r>
        <w:rPr>
          <w:rFonts w:hint="eastAsia" w:ascii="仿宋" w:hAnsi="仿宋" w:eastAsia="仿宋"/>
          <w:b w:val="0"/>
          <w:color w:val="000000"/>
        </w:rPr>
        <w:t>二、机</w:t>
      </w:r>
      <w:r>
        <w:rPr>
          <w:rStyle w:val="16"/>
          <w:rFonts w:hint="eastAsia" w:ascii="仿宋" w:hAnsi="仿宋" w:eastAsia="仿宋"/>
          <w:b w:val="0"/>
          <w:bCs w:val="0"/>
        </w:rPr>
        <w:t>构设置</w:t>
      </w:r>
      <w:bookmarkEnd w:id="17"/>
      <w:bookmarkEnd w:id="18"/>
    </w:p>
    <w:p>
      <w:pPr>
        <w:ind w:firstLine="800" w:firstLineChars="250"/>
        <w:rPr>
          <w:rFonts w:ascii="仿宋" w:hAnsi="仿宋" w:eastAsia="仿宋"/>
          <w:sz w:val="32"/>
          <w:szCs w:val="32"/>
        </w:rPr>
      </w:pPr>
      <w:r>
        <w:rPr>
          <w:rFonts w:hint="eastAsia" w:ascii="仿宋" w:hAnsi="仿宋" w:eastAsia="仿宋"/>
          <w:sz w:val="32"/>
          <w:szCs w:val="32"/>
        </w:rPr>
        <w:t>攀枝花市科学技术和知识产权局</w:t>
      </w:r>
      <w:r>
        <w:rPr>
          <w:rFonts w:hint="eastAsia" w:ascii="仿宋" w:hAnsi="仿宋" w:eastAsia="仿宋"/>
          <w:color w:val="000000"/>
          <w:sz w:val="32"/>
          <w:szCs w:val="32"/>
        </w:rPr>
        <w:t>有</w:t>
      </w:r>
      <w:r>
        <w:rPr>
          <w:rFonts w:hint="eastAsia" w:ascii="仿宋" w:hAnsi="仿宋" w:eastAsia="仿宋"/>
          <w:sz w:val="32"/>
          <w:szCs w:val="32"/>
        </w:rPr>
        <w:t>下属二级单位</w:t>
      </w:r>
      <w:r>
        <w:rPr>
          <w:rFonts w:ascii="仿宋" w:hAnsi="仿宋" w:eastAsia="仿宋"/>
          <w:sz w:val="32"/>
          <w:szCs w:val="32"/>
        </w:rPr>
        <w:t>4</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4</w:t>
      </w:r>
      <w:r>
        <w:rPr>
          <w:rFonts w:hint="eastAsia" w:ascii="仿宋" w:hAnsi="仿宋" w:eastAsia="仿宋"/>
          <w:sz w:val="32"/>
          <w:szCs w:val="32"/>
        </w:rPr>
        <w:t>个。</w:t>
      </w:r>
    </w:p>
    <w:p>
      <w:pPr>
        <w:pStyle w:val="4"/>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纳入四川省攀枝花市科学技术和知识产权局</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年度部门决算编制范围的二级预算单位包括：</w:t>
      </w:r>
    </w:p>
    <w:p>
      <w:pPr>
        <w:pStyle w:val="4"/>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攀枝花市科技发展战略研究所</w:t>
      </w:r>
    </w:p>
    <w:p>
      <w:pPr>
        <w:pStyle w:val="4"/>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攀枝花市科技基础条件平台管理中心</w:t>
      </w:r>
    </w:p>
    <w:p>
      <w:pPr>
        <w:pStyle w:val="4"/>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攀枝花市生产力促进中心</w:t>
      </w:r>
    </w:p>
    <w:p>
      <w:pPr>
        <w:pStyle w:val="4"/>
        <w:adjustRightInd w:val="0"/>
        <w:snapToGrid w:val="0"/>
        <w:spacing w:before="93" w:line="600" w:lineRule="exact"/>
        <w:ind w:left="672"/>
        <w:outlineLvl w:val="2"/>
        <w:rPr>
          <w:rFonts w:ascii="仿宋" w:hAnsi="仿宋" w:eastAsia="仿宋"/>
          <w:color w:val="000000"/>
          <w:sz w:val="32"/>
          <w:szCs w:val="32"/>
        </w:rPr>
      </w:pPr>
      <w:r>
        <w:rPr>
          <w:rFonts w:ascii="仿宋" w:hAnsi="仿宋" w:eastAsia="仿宋"/>
          <w:color w:val="000000"/>
          <w:sz w:val="32"/>
          <w:szCs w:val="32"/>
        </w:rPr>
        <w:t xml:space="preserve">4.  </w:t>
      </w:r>
      <w:r>
        <w:rPr>
          <w:rFonts w:hint="eastAsia" w:ascii="仿宋" w:hAnsi="仿宋" w:eastAsia="仿宋"/>
          <w:color w:val="000000"/>
          <w:sz w:val="32"/>
          <w:szCs w:val="32"/>
        </w:rPr>
        <w:t>攀枝花市决策咨询委员会办公室</w:t>
      </w:r>
    </w:p>
    <w:p>
      <w:pPr>
        <w:pStyle w:val="2"/>
        <w:ind w:right="440"/>
        <w:jc w:val="right"/>
        <w:rPr>
          <w:rFonts w:ascii="黑体" w:hAnsi="黑体" w:eastAsia="黑体"/>
          <w:b w:val="0"/>
          <w:color w:val="000000"/>
        </w:rPr>
      </w:pPr>
      <w:bookmarkStart w:id="19" w:name="_Toc15396602"/>
      <w:bookmarkStart w:id="20" w:name="_Toc15377204"/>
    </w:p>
    <w:p>
      <w:pPr>
        <w:pStyle w:val="2"/>
        <w:ind w:right="440"/>
        <w:jc w:val="right"/>
        <w:rPr>
          <w:rStyle w:val="15"/>
          <w:rFonts w:ascii="仿宋" w:hAnsi="仿宋" w:eastAsia="仿宋"/>
          <w:b/>
          <w:bCs w:val="0"/>
        </w:rPr>
      </w:pPr>
      <w:r>
        <w:rPr>
          <w:rFonts w:hint="eastAsia" w:ascii="仿宋" w:hAnsi="仿宋" w:eastAsia="仿宋"/>
          <w:color w:val="000000"/>
        </w:rPr>
        <w:t>第二部分</w:t>
      </w:r>
      <w:r>
        <w:rPr>
          <w:rStyle w:val="15"/>
          <w:rFonts w:ascii="仿宋" w:hAnsi="仿宋" w:eastAsia="仿宋"/>
          <w:b/>
          <w:bCs w:val="0"/>
        </w:rPr>
        <w:t>2018</w:t>
      </w:r>
      <w:r>
        <w:rPr>
          <w:rStyle w:val="15"/>
          <w:rFonts w:hint="eastAsia" w:ascii="仿宋" w:hAnsi="仿宋" w:eastAsia="仿宋"/>
          <w:b/>
          <w:bCs w:val="0"/>
        </w:rPr>
        <w:t>年度部门决算情况说明</w:t>
      </w:r>
      <w:bookmarkEnd w:id="19"/>
      <w:bookmarkEnd w:id="20"/>
    </w:p>
    <w:p/>
    <w:p>
      <w:pPr>
        <w:pStyle w:val="25"/>
        <w:numPr>
          <w:ilvl w:val="0"/>
          <w:numId w:val="2"/>
        </w:numPr>
        <w:spacing w:line="600" w:lineRule="exact"/>
        <w:ind w:firstLineChars="0"/>
        <w:outlineLvl w:val="1"/>
        <w:rPr>
          <w:rStyle w:val="16"/>
          <w:rFonts w:ascii="仿宋" w:hAnsi="仿宋" w:eastAsia="仿宋"/>
          <w:b w:val="0"/>
        </w:rPr>
      </w:pPr>
      <w:bookmarkStart w:id="21" w:name="_Toc15396603"/>
      <w:bookmarkStart w:id="22" w:name="_Toc15377205"/>
      <w:r>
        <w:rPr>
          <w:rFonts w:hint="eastAsia" w:ascii="仿宋" w:hAnsi="仿宋" w:eastAsia="仿宋"/>
          <w:color w:val="000000"/>
          <w:sz w:val="32"/>
          <w:szCs w:val="32"/>
        </w:rPr>
        <w:t>收</w:t>
      </w:r>
      <w:r>
        <w:rPr>
          <w:rStyle w:val="16"/>
          <w:rFonts w:hint="eastAsia" w:ascii="仿宋" w:hAnsi="仿宋" w:eastAsia="仿宋"/>
        </w:rPr>
        <w:t>入支出决算总体情况说明</w:t>
      </w:r>
      <w:bookmarkEnd w:id="21"/>
      <w:bookmarkEnd w:id="22"/>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w:t>
      </w:r>
      <w:r>
        <w:rPr>
          <w:rFonts w:hint="eastAsia" w:ascii="仿宋" w:hAnsi="仿宋" w:eastAsia="仿宋"/>
          <w:sz w:val="32"/>
          <w:szCs w:val="32"/>
        </w:rPr>
        <w:t>总计各增加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w:t>
      </w:r>
      <w:r>
        <w:rPr>
          <w:rFonts w:hint="eastAsia" w:ascii="仿宋" w:hAnsi="仿宋" w:eastAsia="仿宋"/>
          <w:sz w:val="32"/>
          <w:szCs w:val="32"/>
        </w:rPr>
        <w:t>。主要变动原因是…</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sz w:val="30"/>
          <w:szCs w:val="30"/>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r>
        <w:object>
          <v:shape id="_x0000_i1025" o:spt="75" type="#_x0000_t75" style="height:209.25pt;width:348pt;" o:ole="t" filled="f" o:preferrelative="t" stroked="f" coordsize="21600,21600">
            <v:path/>
            <v:fill on="f" focussize="0,0"/>
            <v:stroke on="f" joinstyle="miter"/>
            <v:imagedata r:id="rId5" cropbottom="-63f" o:title=""/>
            <o:lock v:ext="edit" aspectratio="f"/>
            <w10:wrap type="none"/>
            <w10:anchorlock/>
          </v:shape>
          <o:OLEObject Type="Embed" ProgID="Excel.Chart.8" ShapeID="_x0000_i1025" DrawAspect="Content" ObjectID="_1468075725" r:id="rId4">
            <o:LockedField>false</o:LockedField>
          </o:OLEObject>
        </w:object>
      </w:r>
      <w:r>
        <w:t xml:space="preserve">   </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年度总收入</w:t>
      </w:r>
      <w:r>
        <w:rPr>
          <w:rFonts w:ascii="仿宋" w:hAnsi="仿宋" w:eastAsia="仿宋"/>
          <w:sz w:val="32"/>
          <w:szCs w:val="32"/>
        </w:rPr>
        <w:t>3626.29</w:t>
      </w:r>
      <w:r>
        <w:rPr>
          <w:rFonts w:hint="eastAsia" w:ascii="仿宋" w:hAnsi="仿宋" w:eastAsia="仿宋"/>
          <w:sz w:val="32"/>
          <w:szCs w:val="32"/>
        </w:rPr>
        <w:t>万元，</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2682.30</w:t>
      </w:r>
      <w:r>
        <w:rPr>
          <w:rFonts w:hint="eastAsia" w:ascii="仿宋" w:hAnsi="仿宋" w:eastAsia="仿宋"/>
          <w:sz w:val="32"/>
          <w:szCs w:val="32"/>
        </w:rPr>
        <w:t>万元，同比增加</w:t>
      </w:r>
      <w:r>
        <w:rPr>
          <w:rFonts w:ascii="仿宋" w:hAnsi="仿宋" w:eastAsia="仿宋"/>
          <w:sz w:val="32"/>
          <w:szCs w:val="32"/>
        </w:rPr>
        <w:t>943.99</w:t>
      </w:r>
      <w:r>
        <w:rPr>
          <w:rFonts w:hint="eastAsia" w:ascii="仿宋" w:hAnsi="仿宋" w:eastAsia="仿宋"/>
          <w:sz w:val="32"/>
          <w:szCs w:val="32"/>
        </w:rPr>
        <w:t>万元，增涨</w:t>
      </w:r>
      <w:r>
        <w:rPr>
          <w:rFonts w:ascii="仿宋" w:hAnsi="仿宋" w:eastAsia="仿宋"/>
          <w:sz w:val="32"/>
          <w:szCs w:val="32"/>
        </w:rPr>
        <w:t>35.19%</w:t>
      </w:r>
      <w:r>
        <w:rPr>
          <w:rFonts w:hint="eastAsia" w:ascii="仿宋" w:hAnsi="仿宋" w:eastAsia="仿宋"/>
          <w:sz w:val="32"/>
          <w:szCs w:val="32"/>
        </w:rPr>
        <w:t>。原因一是本年度增加了“川大校市战略合作项目”资金，二是职工调资增加工资。</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年度总支出</w:t>
      </w:r>
      <w:r>
        <w:rPr>
          <w:rFonts w:ascii="仿宋" w:hAnsi="仿宋" w:eastAsia="仿宋"/>
          <w:color w:val="000000"/>
          <w:sz w:val="32"/>
          <w:szCs w:val="32"/>
        </w:rPr>
        <w:t>3943.50</w:t>
      </w:r>
      <w:r>
        <w:rPr>
          <w:rFonts w:hint="eastAsia" w:ascii="仿宋" w:hAnsi="仿宋" w:eastAsia="仿宋"/>
          <w:color w:val="000000"/>
          <w:sz w:val="32"/>
          <w:szCs w:val="32"/>
        </w:rPr>
        <w:t>万元，</w:t>
      </w:r>
      <w:r>
        <w:rPr>
          <w:rFonts w:ascii="仿宋" w:hAnsi="仿宋" w:eastAsia="仿宋"/>
          <w:color w:val="000000"/>
          <w:sz w:val="32"/>
          <w:szCs w:val="32"/>
        </w:rPr>
        <w:t>2017</w:t>
      </w:r>
      <w:r>
        <w:rPr>
          <w:rFonts w:hint="eastAsia" w:ascii="仿宋" w:hAnsi="仿宋" w:eastAsia="仿宋"/>
          <w:color w:val="000000"/>
          <w:sz w:val="32"/>
          <w:szCs w:val="32"/>
        </w:rPr>
        <w:t>年度总支出</w:t>
      </w:r>
      <w:r>
        <w:rPr>
          <w:rFonts w:ascii="仿宋" w:hAnsi="仿宋" w:eastAsia="仿宋"/>
          <w:color w:val="000000"/>
          <w:sz w:val="32"/>
          <w:szCs w:val="32"/>
        </w:rPr>
        <w:t>2895.02</w:t>
      </w:r>
      <w:r>
        <w:rPr>
          <w:rFonts w:hint="eastAsia" w:ascii="仿宋" w:hAnsi="仿宋" w:eastAsia="仿宋"/>
          <w:color w:val="000000"/>
          <w:sz w:val="32"/>
          <w:szCs w:val="32"/>
        </w:rPr>
        <w:t>万元，</w:t>
      </w:r>
      <w:r>
        <w:rPr>
          <w:rFonts w:hint="eastAsia" w:ascii="仿宋" w:hAnsi="仿宋" w:eastAsia="仿宋"/>
          <w:sz w:val="32"/>
          <w:szCs w:val="32"/>
        </w:rPr>
        <w:t>同比增加</w:t>
      </w:r>
      <w:r>
        <w:rPr>
          <w:rFonts w:ascii="仿宋" w:hAnsi="仿宋" w:eastAsia="仿宋"/>
          <w:sz w:val="32"/>
          <w:szCs w:val="32"/>
        </w:rPr>
        <w:t>1048.48</w:t>
      </w:r>
      <w:r>
        <w:rPr>
          <w:rFonts w:hint="eastAsia" w:ascii="仿宋" w:hAnsi="仿宋" w:eastAsia="仿宋"/>
          <w:sz w:val="32"/>
          <w:szCs w:val="32"/>
        </w:rPr>
        <w:t>万元，增涨</w:t>
      </w:r>
      <w:r>
        <w:rPr>
          <w:rFonts w:ascii="仿宋" w:hAnsi="仿宋" w:eastAsia="仿宋"/>
          <w:sz w:val="32"/>
          <w:szCs w:val="32"/>
        </w:rPr>
        <w:t>36.22%</w:t>
      </w:r>
      <w:r>
        <w:rPr>
          <w:rFonts w:hint="eastAsia" w:ascii="仿宋" w:hAnsi="仿宋" w:eastAsia="仿宋"/>
          <w:sz w:val="32"/>
          <w:szCs w:val="32"/>
        </w:rPr>
        <w:t>。原因一是本年度增加了“川大校市战略合作项目”资金支出，二是增加职工调资支出。</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3" w:firstLineChars="200"/>
        <w:rPr>
          <w:rStyle w:val="16"/>
          <w:rFonts w:ascii="仿宋" w:hAnsi="仿宋" w:eastAsia="仿宋"/>
        </w:rPr>
      </w:pPr>
      <w:r>
        <w:rPr>
          <w:rFonts w:hint="eastAsia" w:ascii="仿宋" w:hAnsi="仿宋" w:eastAsia="仿宋"/>
          <w:b/>
          <w:sz w:val="32"/>
          <w:szCs w:val="32"/>
        </w:rPr>
        <w:t>二、</w:t>
      </w:r>
      <w:r>
        <w:rPr>
          <w:rFonts w:hint="eastAsia" w:ascii="仿宋" w:hAnsi="仿宋" w:eastAsia="仿宋"/>
          <w:b/>
          <w:color w:val="000000"/>
          <w:sz w:val="32"/>
          <w:szCs w:val="32"/>
        </w:rPr>
        <w:t>收</w:t>
      </w:r>
      <w:r>
        <w:rPr>
          <w:rStyle w:val="16"/>
          <w:rFonts w:hint="eastAsia" w:ascii="仿宋" w:hAnsi="仿宋" w:eastAsia="仿宋"/>
        </w:rPr>
        <w:t>入决算情况说明</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b/>
          <w:bCs/>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年度收入合计</w:t>
      </w:r>
      <w:r>
        <w:rPr>
          <w:rFonts w:ascii="仿宋" w:hAnsi="仿宋" w:eastAsia="仿宋"/>
          <w:color w:val="000000"/>
          <w:sz w:val="32"/>
          <w:szCs w:val="32"/>
        </w:rPr>
        <w:t>3626.29</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3544.78</w:t>
      </w:r>
      <w:r>
        <w:rPr>
          <w:rFonts w:hint="eastAsia" w:ascii="仿宋" w:hAnsi="仿宋" w:eastAsia="仿宋"/>
          <w:color w:val="000000"/>
          <w:sz w:val="32"/>
          <w:szCs w:val="32"/>
        </w:rPr>
        <w:t>万元，占</w:t>
      </w:r>
      <w:r>
        <w:rPr>
          <w:rFonts w:ascii="仿宋" w:hAnsi="仿宋" w:eastAsia="仿宋"/>
          <w:color w:val="000000"/>
          <w:sz w:val="32"/>
          <w:szCs w:val="32"/>
        </w:rPr>
        <w:t>97.75%</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8</w:t>
      </w:r>
      <w:r>
        <w:rPr>
          <w:rFonts w:hint="eastAsia" w:ascii="仿宋" w:hAnsi="仿宋" w:eastAsia="仿宋"/>
          <w:color w:val="000000"/>
          <w:sz w:val="32"/>
          <w:szCs w:val="32"/>
        </w:rPr>
        <w:t>万元，占</w:t>
      </w:r>
      <w:r>
        <w:rPr>
          <w:rFonts w:ascii="仿宋" w:hAnsi="仿宋" w:eastAsia="仿宋"/>
          <w:color w:val="000000"/>
          <w:sz w:val="32"/>
          <w:szCs w:val="32"/>
        </w:rPr>
        <w:t>0.22%</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73.51</w:t>
      </w:r>
      <w:r>
        <w:rPr>
          <w:rFonts w:hint="eastAsia" w:ascii="仿宋" w:hAnsi="仿宋" w:eastAsia="仿宋"/>
          <w:color w:val="000000"/>
          <w:sz w:val="32"/>
          <w:szCs w:val="32"/>
        </w:rPr>
        <w:t>万元，占</w:t>
      </w:r>
      <w:r>
        <w:rPr>
          <w:rFonts w:ascii="仿宋" w:hAnsi="仿宋" w:eastAsia="仿宋"/>
          <w:color w:val="000000"/>
          <w:sz w:val="32"/>
          <w:szCs w:val="32"/>
        </w:rPr>
        <w:t>2.03%</w:t>
      </w:r>
      <w:r>
        <w:rPr>
          <w:rFonts w:hint="eastAsia" w:ascii="仿宋" w:hAnsi="仿宋" w:eastAsia="仿宋"/>
          <w:color w:val="000000"/>
          <w:sz w:val="32"/>
          <w:szCs w:val="32"/>
        </w:rPr>
        <w:t>。</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b/>
          <w:bCs/>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_GB2312" w:eastAsia="仿宋_GB2312"/>
          <w:color w:val="000000"/>
          <w:sz w:val="32"/>
          <w:szCs w:val="32"/>
        </w:rPr>
      </w:pPr>
      <w:r>
        <w:object>
          <v:shape id="_x0000_i1026" o:spt="75" type="#_x0000_t75" style="height:209.25pt;width:380.25pt;" o:ole="t" filled="f" o:preferrelative="t" stroked="f" coordsize="21600,21600">
            <v:path/>
            <v:fill on="f" focussize="0,0"/>
            <v:stroke on="f" joinstyle="miter"/>
            <v:imagedata r:id="rId7" cropbottom="-63f" o:title=""/>
            <o:lock v:ext="edit" aspectratio="f"/>
            <w10:wrap type="none"/>
            <w10:anchorlock/>
          </v:shape>
          <o:OLEObject Type="Embed" ProgID="Excel.Chart.8" ShapeID="_x0000_i1026" DrawAspect="Content" ObjectID="_1468075726" r:id="rId6">
            <o:LockedField>false</o:LockedField>
          </o:OLEObject>
        </w:object>
      </w:r>
    </w:p>
    <w:p>
      <w:pPr>
        <w:spacing w:line="600" w:lineRule="exact"/>
        <w:outlineLvl w:val="1"/>
        <w:rPr>
          <w:rStyle w:val="16"/>
          <w:rFonts w:ascii="仿宋" w:hAnsi="仿宋" w:eastAsia="仿宋"/>
        </w:rPr>
      </w:pPr>
      <w:bookmarkStart w:id="23" w:name="_Toc15377207"/>
      <w:bookmarkStart w:id="24" w:name="_Toc15396605"/>
      <w:r>
        <w:rPr>
          <w:rFonts w:hint="eastAsia" w:ascii="黑体" w:hAnsi="黑体" w:eastAsia="黑体"/>
          <w:sz w:val="32"/>
          <w:szCs w:val="32"/>
        </w:rPr>
        <w:t>三、</w:t>
      </w:r>
      <w:r>
        <w:rPr>
          <w:rFonts w:hint="eastAsia" w:ascii="仿宋" w:hAnsi="仿宋" w:eastAsia="仿宋"/>
          <w:b/>
          <w:color w:val="000000"/>
          <w:sz w:val="32"/>
          <w:szCs w:val="32"/>
        </w:rPr>
        <w:t>支</w:t>
      </w:r>
      <w:r>
        <w:rPr>
          <w:rStyle w:val="16"/>
          <w:rFonts w:hint="eastAsia" w:ascii="仿宋" w:hAnsi="仿宋" w:eastAsia="仿宋"/>
        </w:rPr>
        <w:t>出决算情况说明</w:t>
      </w:r>
      <w:bookmarkEnd w:id="23"/>
      <w:bookmarkEnd w:id="24"/>
    </w:p>
    <w:p>
      <w:pPr>
        <w:spacing w:line="600" w:lineRule="exact"/>
        <w:ind w:firstLine="640" w:firstLineChars="20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年度本年支出合计</w:t>
      </w:r>
      <w:r>
        <w:rPr>
          <w:rFonts w:ascii="仿宋" w:hAnsi="仿宋" w:eastAsia="仿宋"/>
          <w:color w:val="000000"/>
          <w:sz w:val="32"/>
          <w:szCs w:val="32"/>
        </w:rPr>
        <w:t>3943.50</w:t>
      </w:r>
      <w:r>
        <w:rPr>
          <w:rFonts w:hint="eastAsia" w:ascii="仿宋" w:hAnsi="仿宋" w:eastAsia="仿宋"/>
          <w:color w:val="000000"/>
          <w:sz w:val="32"/>
          <w:szCs w:val="32"/>
        </w:rPr>
        <w:t>万元，其中：基本支出</w:t>
      </w:r>
      <w:r>
        <w:rPr>
          <w:rFonts w:ascii="仿宋" w:hAnsi="仿宋" w:eastAsia="仿宋"/>
          <w:color w:val="000000"/>
          <w:sz w:val="32"/>
          <w:szCs w:val="32"/>
        </w:rPr>
        <w:t>1727.03</w:t>
      </w:r>
      <w:r>
        <w:rPr>
          <w:rFonts w:hint="eastAsia" w:ascii="仿宋" w:hAnsi="仿宋" w:eastAsia="仿宋"/>
          <w:color w:val="000000"/>
          <w:sz w:val="32"/>
          <w:szCs w:val="32"/>
        </w:rPr>
        <w:t>万元，占</w:t>
      </w:r>
      <w:r>
        <w:rPr>
          <w:rFonts w:ascii="仿宋" w:hAnsi="仿宋" w:eastAsia="仿宋"/>
          <w:color w:val="000000"/>
          <w:sz w:val="32"/>
          <w:szCs w:val="32"/>
        </w:rPr>
        <w:t>43.79%</w:t>
      </w:r>
      <w:r>
        <w:rPr>
          <w:rFonts w:hint="eastAsia" w:ascii="仿宋" w:hAnsi="仿宋" w:eastAsia="仿宋"/>
          <w:color w:val="000000"/>
          <w:sz w:val="32"/>
          <w:szCs w:val="32"/>
        </w:rPr>
        <w:t>；项目支出</w:t>
      </w:r>
      <w:r>
        <w:rPr>
          <w:rFonts w:ascii="仿宋" w:hAnsi="仿宋" w:eastAsia="仿宋"/>
          <w:color w:val="000000"/>
          <w:sz w:val="32"/>
          <w:szCs w:val="32"/>
        </w:rPr>
        <w:t>2216.47</w:t>
      </w:r>
      <w:r>
        <w:rPr>
          <w:rFonts w:hint="eastAsia" w:ascii="仿宋" w:hAnsi="仿宋" w:eastAsia="仿宋"/>
          <w:color w:val="000000"/>
          <w:sz w:val="32"/>
          <w:szCs w:val="32"/>
        </w:rPr>
        <w:t>万元，占</w:t>
      </w:r>
      <w:r>
        <w:rPr>
          <w:rFonts w:ascii="仿宋" w:hAnsi="仿宋" w:eastAsia="仿宋"/>
          <w:color w:val="000000"/>
          <w:sz w:val="32"/>
          <w:szCs w:val="32"/>
        </w:rPr>
        <w:t>56.21%</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napToGrid w:val="0"/>
        <w:jc w:val="center"/>
        <w:rPr>
          <w:rFonts w:ascii="华文中宋" w:hAnsi="华文中宋" w:eastAsia="华文中宋"/>
          <w:sz w:val="36"/>
          <w:szCs w:val="36"/>
        </w:rPr>
      </w:pPr>
    </w:p>
    <w:p>
      <w:pPr>
        <w:snapToGrid w:val="0"/>
        <w:jc w:val="center"/>
        <w:rPr>
          <w:rFonts w:ascii="华文中宋" w:hAnsi="华文中宋" w:eastAsia="华文中宋"/>
          <w:sz w:val="36"/>
          <w:szCs w:val="36"/>
        </w:rPr>
      </w:pPr>
      <w:r>
        <w:object>
          <v:shape id="_x0000_i1027" o:spt="75" type="#_x0000_t75" style="height:156pt;width:287.25pt;" o:ole="t" filled="f" o:preferrelative="t" stroked="f" coordsize="21600,21600">
            <v:path/>
            <v:fill on="f" focussize="0,0"/>
            <v:stroke on="f" joinstyle="miter"/>
            <v:imagedata r:id="rId9" cropbottom="-84f" o:title=""/>
            <o:lock v:ext="edit" aspectratio="f"/>
            <w10:wrap type="none"/>
            <w10:anchorlock/>
          </v:shape>
          <o:OLEObject Type="Embed" ProgID="Excel.Chart.8" ShapeID="_x0000_i1027" DrawAspect="Content" ObjectID="_1468075727" r:id="rId8">
            <o:LockedField>false</o:LockedField>
          </o:OLEObject>
        </w:object>
      </w:r>
    </w:p>
    <w:p>
      <w:pPr>
        <w:spacing w:line="600" w:lineRule="exact"/>
        <w:ind w:firstLine="640" w:firstLineChars="200"/>
        <w:outlineLvl w:val="1"/>
        <w:rPr>
          <w:rFonts w:ascii="黑体" w:hAnsi="黑体" w:eastAsia="黑体"/>
          <w:color w:val="000000"/>
          <w:sz w:val="32"/>
          <w:szCs w:val="32"/>
        </w:rPr>
      </w:pPr>
      <w:bookmarkStart w:id="25" w:name="_Toc15377208"/>
      <w:bookmarkStart w:id="26" w:name="_Toc15396606"/>
    </w:p>
    <w:p>
      <w:pPr>
        <w:spacing w:line="600" w:lineRule="exact"/>
        <w:ind w:firstLine="640" w:firstLineChars="200"/>
        <w:outlineLvl w:val="1"/>
        <w:rPr>
          <w:rStyle w:val="16"/>
          <w:rFonts w:ascii="黑体" w:hAnsi="黑体" w:eastAsia="黑体"/>
          <w:b w:val="0"/>
        </w:rPr>
      </w:pPr>
      <w:r>
        <w:rPr>
          <w:rFonts w:hint="eastAsia" w:ascii="黑体" w:hAnsi="黑体" w:eastAsia="黑体"/>
          <w:color w:val="000000"/>
          <w:sz w:val="32"/>
          <w:szCs w:val="32"/>
        </w:rPr>
        <w:t>四、财</w:t>
      </w:r>
      <w:r>
        <w:rPr>
          <w:rStyle w:val="16"/>
          <w:rFonts w:hint="eastAsia" w:ascii="黑体" w:hAnsi="黑体" w:eastAsia="黑体"/>
        </w:rPr>
        <w:t>政拨款收入支出决算总体情况说明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w:t>
      </w:r>
      <w:r>
        <w:rPr>
          <w:rFonts w:hint="eastAsia" w:ascii="仿宋" w:hAnsi="仿宋" w:eastAsia="仿宋"/>
          <w:color w:val="000000"/>
          <w:sz w:val="32"/>
          <w:szCs w:val="32"/>
        </w:rPr>
        <w:t>减少</w:t>
      </w:r>
      <w:r>
        <w:rPr>
          <w:rFonts w:ascii="仿宋" w:hAnsi="仿宋" w:eastAsia="仿宋"/>
          <w:color w:val="000000"/>
          <w:sz w:val="32"/>
          <w:szCs w:val="32"/>
        </w:rPr>
        <w:t>**</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ascii="仿宋" w:hAnsi="仿宋" w:eastAsia="仿宋"/>
          <w:color w:val="000000"/>
          <w:sz w:val="32"/>
          <w:szCs w:val="32"/>
        </w:rPr>
        <w:t>**%</w:t>
      </w:r>
      <w:r>
        <w:rPr>
          <w:rFonts w:hint="eastAsia" w:ascii="仿宋" w:hAnsi="仿宋" w:eastAsia="仿宋"/>
          <w:color w:val="000000"/>
          <w:sz w:val="32"/>
          <w:szCs w:val="32"/>
        </w:rPr>
        <w:t>。主要变动原因是……</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：拨款收、支决算总计变动情况）（柱状图）</w:t>
      </w:r>
    </w:p>
    <w:p>
      <w:pPr>
        <w:snapToGrid w:val="0"/>
        <w:rPr>
          <w:rFonts w:ascii="华文中宋" w:hAnsi="华文中宋" w:eastAsia="华文中宋"/>
          <w:sz w:val="36"/>
          <w:szCs w:val="36"/>
        </w:rPr>
      </w:pPr>
      <w:r>
        <w:object>
          <v:shape id="_x0000_i1028" o:spt="75" type="#_x0000_t75" style="height:269.25pt;width:384.75pt;" o:ole="t" filled="f" o:preferrelative="t" stroked="f" coordsize="21600,21600">
            <v:path/>
            <v:fill on="f" focussize="0,0"/>
            <v:stroke on="f" joinstyle="miter"/>
            <v:imagedata r:id="rId11" cropbottom="-49f" o:title=""/>
            <o:lock v:ext="edit" aspectratio="f"/>
            <w10:wrap type="none"/>
            <w10:anchorlock/>
          </v:shape>
          <o:OLEObject Type="Embed" ProgID="Excel.Chart.8" ShapeID="_x0000_i1028" DrawAspect="Content" ObjectID="_1468075728" r:id="rId10">
            <o:LockedField>false</o:LockedField>
          </o:OLEObject>
        </w:object>
      </w:r>
    </w:p>
    <w:p>
      <w:pPr>
        <w:snapToGrid w:val="0"/>
        <w:jc w:val="center"/>
        <w:rPr>
          <w:rFonts w:ascii="华文中宋" w:hAnsi="华文中宋" w:eastAsia="华文中宋"/>
          <w:sz w:val="36"/>
          <w:szCs w:val="36"/>
        </w:rPr>
      </w:pP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color w:val="000000"/>
          <w:sz w:val="32"/>
          <w:szCs w:val="32"/>
        </w:rPr>
      </w:pPr>
      <w:r>
        <w:rPr>
          <w:rFonts w:ascii="仿宋" w:hAnsi="仿宋" w:eastAsia="仿宋"/>
          <w:sz w:val="32"/>
          <w:szCs w:val="32"/>
        </w:rPr>
        <w:t>2018</w:t>
      </w:r>
      <w:r>
        <w:rPr>
          <w:rFonts w:hint="eastAsia" w:ascii="仿宋" w:hAnsi="仿宋" w:eastAsia="仿宋"/>
          <w:sz w:val="32"/>
          <w:szCs w:val="32"/>
        </w:rPr>
        <w:t>年度财政拨款收入</w:t>
      </w:r>
      <w:r>
        <w:rPr>
          <w:rFonts w:ascii="仿宋" w:hAnsi="仿宋" w:eastAsia="仿宋"/>
          <w:sz w:val="32"/>
          <w:szCs w:val="32"/>
        </w:rPr>
        <w:t>3544.78</w:t>
      </w:r>
      <w:r>
        <w:rPr>
          <w:rFonts w:hint="eastAsia" w:ascii="仿宋" w:hAnsi="仿宋" w:eastAsia="仿宋"/>
          <w:sz w:val="32"/>
          <w:szCs w:val="32"/>
        </w:rPr>
        <w:t>万元，</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2674.56</w:t>
      </w:r>
      <w:r>
        <w:rPr>
          <w:rFonts w:hint="eastAsia" w:ascii="仿宋" w:hAnsi="仿宋" w:eastAsia="仿宋"/>
          <w:sz w:val="32"/>
          <w:szCs w:val="32"/>
        </w:rPr>
        <w:t>万元，同比增加</w:t>
      </w:r>
      <w:r>
        <w:rPr>
          <w:rFonts w:ascii="仿宋" w:hAnsi="仿宋" w:eastAsia="仿宋"/>
          <w:sz w:val="32"/>
          <w:szCs w:val="32"/>
        </w:rPr>
        <w:t>870.22</w:t>
      </w:r>
      <w:r>
        <w:rPr>
          <w:rFonts w:hint="eastAsia" w:ascii="仿宋" w:hAnsi="仿宋" w:eastAsia="仿宋"/>
          <w:sz w:val="32"/>
          <w:szCs w:val="32"/>
        </w:rPr>
        <w:t>万元，增涨</w:t>
      </w:r>
      <w:r>
        <w:rPr>
          <w:rFonts w:ascii="仿宋" w:hAnsi="仿宋" w:eastAsia="仿宋"/>
          <w:sz w:val="32"/>
          <w:szCs w:val="32"/>
        </w:rPr>
        <w:t>32.54%</w:t>
      </w:r>
      <w:r>
        <w:rPr>
          <w:rFonts w:hint="eastAsia" w:ascii="仿宋" w:hAnsi="仿宋" w:eastAsia="仿宋"/>
          <w:sz w:val="32"/>
          <w:szCs w:val="32"/>
        </w:rPr>
        <w:t>。原因一是本年度增加了“川大校市战略合作项目”资金，二是职工调资增加工资。</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年度财政拨款支出</w:t>
      </w:r>
      <w:r>
        <w:rPr>
          <w:rFonts w:ascii="仿宋" w:hAnsi="仿宋" w:eastAsia="仿宋"/>
          <w:color w:val="000000"/>
          <w:sz w:val="32"/>
          <w:szCs w:val="32"/>
        </w:rPr>
        <w:t>3897.18</w:t>
      </w:r>
      <w:r>
        <w:rPr>
          <w:rFonts w:hint="eastAsia" w:ascii="仿宋" w:hAnsi="仿宋" w:eastAsia="仿宋"/>
          <w:color w:val="000000"/>
          <w:sz w:val="32"/>
          <w:szCs w:val="32"/>
        </w:rPr>
        <w:t>万元，</w:t>
      </w:r>
      <w:r>
        <w:rPr>
          <w:rFonts w:ascii="仿宋" w:hAnsi="仿宋" w:eastAsia="仿宋"/>
          <w:color w:val="000000"/>
          <w:sz w:val="32"/>
          <w:szCs w:val="32"/>
        </w:rPr>
        <w:t>2017</w:t>
      </w:r>
      <w:r>
        <w:rPr>
          <w:rFonts w:hint="eastAsia" w:ascii="仿宋" w:hAnsi="仿宋" w:eastAsia="仿宋"/>
          <w:color w:val="000000"/>
          <w:sz w:val="32"/>
          <w:szCs w:val="32"/>
        </w:rPr>
        <w:t>年度总支出</w:t>
      </w:r>
      <w:r>
        <w:rPr>
          <w:rFonts w:ascii="仿宋" w:hAnsi="仿宋" w:eastAsia="仿宋"/>
          <w:color w:val="000000"/>
          <w:sz w:val="32"/>
          <w:szCs w:val="32"/>
        </w:rPr>
        <w:t>2879.00</w:t>
      </w:r>
      <w:r>
        <w:rPr>
          <w:rFonts w:hint="eastAsia" w:ascii="仿宋" w:hAnsi="仿宋" w:eastAsia="仿宋"/>
          <w:color w:val="000000"/>
          <w:sz w:val="32"/>
          <w:szCs w:val="32"/>
        </w:rPr>
        <w:t>万元，</w:t>
      </w:r>
      <w:r>
        <w:rPr>
          <w:rFonts w:hint="eastAsia" w:ascii="仿宋" w:hAnsi="仿宋" w:eastAsia="仿宋"/>
          <w:sz w:val="32"/>
          <w:szCs w:val="32"/>
        </w:rPr>
        <w:t>同比增加</w:t>
      </w:r>
      <w:r>
        <w:rPr>
          <w:rFonts w:ascii="仿宋" w:hAnsi="仿宋" w:eastAsia="仿宋"/>
          <w:sz w:val="32"/>
          <w:szCs w:val="32"/>
        </w:rPr>
        <w:t>1018.18</w:t>
      </w:r>
      <w:r>
        <w:rPr>
          <w:rFonts w:hint="eastAsia" w:ascii="仿宋" w:hAnsi="仿宋" w:eastAsia="仿宋"/>
          <w:sz w:val="32"/>
          <w:szCs w:val="32"/>
        </w:rPr>
        <w:t>万元，增涨</w:t>
      </w:r>
      <w:r>
        <w:rPr>
          <w:rFonts w:ascii="仿宋" w:hAnsi="仿宋" w:eastAsia="仿宋"/>
          <w:sz w:val="32"/>
          <w:szCs w:val="32"/>
        </w:rPr>
        <w:t>35.37%</w:t>
      </w:r>
      <w:r>
        <w:rPr>
          <w:rFonts w:hint="eastAsia" w:ascii="仿宋" w:hAnsi="仿宋" w:eastAsia="仿宋"/>
          <w:sz w:val="32"/>
          <w:szCs w:val="32"/>
        </w:rPr>
        <w:t>。</w:t>
      </w:r>
      <w:bookmarkStart w:id="27" w:name="_Toc15396607"/>
      <w:bookmarkStart w:id="28" w:name="_Toc15377209"/>
      <w:r>
        <w:rPr>
          <w:rFonts w:hint="eastAsia" w:ascii="仿宋" w:hAnsi="仿宋" w:eastAsia="仿宋"/>
          <w:sz w:val="32"/>
          <w:szCs w:val="32"/>
        </w:rPr>
        <w:t>原因一是本年度增加了“川大校市战略合作项目”资金支出，二是增加职工调资支出。</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Style w:val="1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rPr>
        <w:t>般公共预算财政拨款支出决算情况说明</w:t>
      </w:r>
      <w:bookmarkEnd w:id="27"/>
      <w:bookmarkEnd w:id="28"/>
      <w:bookmarkStart w:id="29" w:name="_Toc15377210"/>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3" w:firstLineChars="200"/>
        <w:rPr>
          <w:rFonts w:ascii="黑体" w:hAnsi="黑体" w:eastAsia="黑体"/>
          <w:bCs/>
          <w:sz w:val="32"/>
          <w:szCs w:val="32"/>
        </w:rPr>
      </w:pPr>
      <w:r>
        <w:rPr>
          <w:rFonts w:hint="eastAsia" w:ascii="仿宋" w:hAnsi="仿宋" w:eastAsia="仿宋"/>
          <w:b/>
          <w:color w:val="000000"/>
          <w:sz w:val="32"/>
          <w:szCs w:val="32"/>
        </w:rPr>
        <w:t>（一）一般公共预算财政拨款支出决算总体情况</w:t>
      </w:r>
      <w:bookmarkEnd w:id="29"/>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_GB2312" w:eastAsia="仿宋_GB2312"/>
          <w:color w:val="000000"/>
          <w:sz w:val="32"/>
          <w:szCs w:val="32"/>
        </w:rPr>
        <w:t>3897.18</w:t>
      </w:r>
      <w:r>
        <w:rPr>
          <w:rFonts w:hint="eastAsia" w:ascii="仿宋" w:hAnsi="仿宋" w:eastAsia="仿宋"/>
          <w:color w:val="000000"/>
          <w:sz w:val="32"/>
          <w:szCs w:val="32"/>
        </w:rPr>
        <w:t>万元，占本年支出合计的</w:t>
      </w:r>
      <w:r>
        <w:rPr>
          <w:rFonts w:ascii="仿宋" w:hAnsi="仿宋" w:eastAsia="仿宋"/>
          <w:color w:val="000000"/>
          <w:sz w:val="32"/>
          <w:szCs w:val="32"/>
        </w:rPr>
        <w:t>98.83%</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sz w:val="30"/>
          <w:szCs w:val="30"/>
        </w:rPr>
        <w:t>1018.18</w:t>
      </w:r>
      <w:r>
        <w:rPr>
          <w:rFonts w:hint="eastAsia" w:ascii="仿宋" w:hAnsi="仿宋" w:eastAsia="仿宋"/>
          <w:color w:val="000000"/>
          <w:sz w:val="32"/>
          <w:szCs w:val="32"/>
        </w:rPr>
        <w:t>万元，增长</w:t>
      </w:r>
      <w:r>
        <w:rPr>
          <w:sz w:val="30"/>
          <w:szCs w:val="30"/>
        </w:rPr>
        <w:t>35.37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本年度增加了“川大校市战略合作项目”资金支出，二是增加职工调资支出。</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napToGrid w:val="0"/>
        <w:ind w:firstLine="800" w:firstLineChars="250"/>
        <w:rPr>
          <w:rFonts w:ascii="仿宋" w:hAnsi="仿宋" w:eastAsia="仿宋"/>
          <w:color w:val="000000"/>
          <w:sz w:val="32"/>
          <w:szCs w:val="32"/>
        </w:rPr>
      </w:pPr>
      <w:r>
        <w:rPr>
          <w:rFonts w:hint="eastAsia" w:ascii="仿宋" w:hAnsi="仿宋" w:eastAsia="仿宋"/>
          <w:color w:val="000000"/>
          <w:sz w:val="32"/>
          <w:szCs w:val="32"/>
        </w:rPr>
        <w:t>一般公共预算支出占总支出的比例</w:t>
      </w:r>
    </w:p>
    <w:p>
      <w:pPr>
        <w:snapToGrid w:val="0"/>
        <w:ind w:firstLine="800" w:firstLineChars="250"/>
        <w:rPr>
          <w:rFonts w:ascii="仿宋" w:hAnsi="仿宋" w:eastAsia="仿宋"/>
          <w:color w:val="000000"/>
          <w:sz w:val="32"/>
          <w:szCs w:val="32"/>
        </w:rPr>
      </w:pPr>
    </w:p>
    <w:p>
      <w:pPr>
        <w:snapToGrid w:val="0"/>
      </w:pPr>
      <w:r>
        <w:object>
          <v:shape id="_x0000_i1029" o:spt="75" type="#_x0000_t75" style="height:294pt;width:374.25pt;" o:ole="t" filled="f" o:preferrelative="t" stroked="f" coordsize="21600,21600">
            <v:path/>
            <v:fill on="f" focussize="0,0"/>
            <v:stroke on="f" joinstyle="miter"/>
            <v:imagedata r:id="rId13" o:title=""/>
            <o:lock v:ext="edit" aspectratio="f"/>
            <w10:wrap type="none"/>
            <w10:anchorlock/>
          </v:shape>
          <o:OLEObject Type="Embed" ProgID="Excel.Chart.8" ShapeID="_x0000_i1029" DrawAspect="Content" ObjectID="_1468075729" r:id="rId12">
            <o:LockedField>false</o:LockedField>
          </o:OLEObject>
        </w:object>
      </w:r>
    </w:p>
    <w:p>
      <w:pPr>
        <w:snapToGrid w:val="0"/>
        <w:jc w:val="center"/>
        <w:rPr>
          <w:rFonts w:ascii="仿宋" w:hAnsi="仿宋" w:eastAsia="仿宋"/>
          <w:color w:val="000000"/>
          <w:sz w:val="32"/>
          <w:szCs w:val="32"/>
        </w:rPr>
      </w:pPr>
    </w:p>
    <w:p>
      <w:pPr>
        <w:snapToGrid w:val="0"/>
        <w:jc w:val="center"/>
        <w:rPr>
          <w:rFonts w:ascii="仿宋" w:hAnsi="仿宋" w:eastAsia="仿宋"/>
          <w:color w:val="000000"/>
          <w:sz w:val="32"/>
          <w:szCs w:val="32"/>
        </w:rPr>
      </w:pPr>
    </w:p>
    <w:p>
      <w:pPr>
        <w:snapToGrid w:val="0"/>
        <w:rPr>
          <w:rFonts w:ascii="仿宋" w:hAnsi="仿宋" w:eastAsia="仿宋"/>
          <w:color w:val="000000"/>
          <w:sz w:val="32"/>
          <w:szCs w:val="32"/>
        </w:rPr>
      </w:pPr>
    </w:p>
    <w:p>
      <w:pPr>
        <w:snapToGrid w:val="0"/>
        <w:jc w:val="center"/>
        <w:rPr>
          <w:rFonts w:ascii="仿宋" w:hAnsi="仿宋" w:eastAsia="仿宋"/>
          <w:color w:val="000000"/>
          <w:sz w:val="32"/>
          <w:szCs w:val="32"/>
        </w:rPr>
      </w:pPr>
      <w:r>
        <w:rPr>
          <w:rFonts w:hint="eastAsia" w:ascii="仿宋" w:hAnsi="仿宋" w:eastAsia="仿宋"/>
          <w:color w:val="000000"/>
          <w:sz w:val="32"/>
          <w:szCs w:val="32"/>
        </w:rPr>
        <w:t>一般公共预算与</w:t>
      </w:r>
      <w:r>
        <w:rPr>
          <w:rFonts w:ascii="仿宋" w:hAnsi="仿宋" w:eastAsia="仿宋"/>
          <w:color w:val="000000"/>
          <w:sz w:val="32"/>
          <w:szCs w:val="32"/>
        </w:rPr>
        <w:t>2017</w:t>
      </w:r>
      <w:r>
        <w:rPr>
          <w:rFonts w:hint="eastAsia" w:ascii="仿宋" w:hAnsi="仿宋" w:eastAsia="仿宋"/>
          <w:color w:val="000000"/>
          <w:sz w:val="32"/>
          <w:szCs w:val="32"/>
        </w:rPr>
        <w:t>年对比</w:t>
      </w:r>
    </w:p>
    <w:p>
      <w:pPr>
        <w:snapToGrid w:val="0"/>
      </w:pPr>
    </w:p>
    <w:p>
      <w:pPr>
        <w:snapToGrid w:val="0"/>
        <w:rPr>
          <w:rFonts w:ascii="华文中宋" w:hAnsi="华文中宋" w:eastAsia="华文中宋"/>
          <w:sz w:val="36"/>
          <w:szCs w:val="36"/>
        </w:rPr>
      </w:pPr>
      <w:r>
        <w:object>
          <v:shape id="_x0000_i1030" o:spt="75" type="#_x0000_t75" style="height:190.5pt;width:390.75pt;" o:ole="t" filled="f" o:preferrelative="t" stroked="f" coordsize="21600,21600">
            <v:path/>
            <v:fill on="f" focussize="0,0"/>
            <v:stroke on="f" joinstyle="miter"/>
            <v:imagedata r:id="rId15" cropbottom="-52f" o:title=""/>
            <o:lock v:ext="edit" aspectratio="f"/>
            <w10:wrap type="none"/>
            <w10:anchorlock/>
          </v:shape>
          <o:OLEObject Type="Embed" ProgID="Excel.Chart.8" ShapeID="_x0000_i1030" DrawAspect="Content" ObjectID="_1468075730" r:id="rId14">
            <o:LockedField>false</o:LockedField>
          </o:OLEObject>
        </w:object>
      </w:r>
    </w:p>
    <w:p>
      <w:pPr>
        <w:spacing w:line="600" w:lineRule="exact"/>
        <w:ind w:firstLine="640" w:firstLineChars="200"/>
        <w:outlineLvl w:val="2"/>
        <w:rPr>
          <w:rFonts w:ascii="仿宋" w:hAnsi="仿宋" w:eastAsia="仿宋"/>
          <w:color w:val="000000"/>
          <w:sz w:val="32"/>
          <w:szCs w:val="32"/>
        </w:rPr>
      </w:pPr>
    </w:p>
    <w:p>
      <w:pPr>
        <w:spacing w:line="600" w:lineRule="exact"/>
        <w:ind w:firstLine="640" w:firstLineChars="200"/>
        <w:outlineLvl w:val="2"/>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年一般公共预算支出</w:t>
      </w:r>
      <w:r>
        <w:rPr>
          <w:rFonts w:ascii="仿宋" w:hAnsi="仿宋" w:eastAsia="仿宋"/>
          <w:color w:val="000000"/>
          <w:sz w:val="32"/>
          <w:szCs w:val="32"/>
        </w:rPr>
        <w:t>3897.18</w:t>
      </w:r>
      <w:r>
        <w:rPr>
          <w:rFonts w:hint="eastAsia" w:ascii="仿宋" w:hAnsi="仿宋" w:eastAsia="仿宋"/>
          <w:color w:val="000000"/>
          <w:sz w:val="32"/>
          <w:szCs w:val="32"/>
        </w:rPr>
        <w:t>万元，</w:t>
      </w:r>
      <w:r>
        <w:rPr>
          <w:rFonts w:ascii="仿宋" w:hAnsi="仿宋" w:eastAsia="仿宋"/>
          <w:color w:val="000000"/>
          <w:sz w:val="32"/>
          <w:szCs w:val="32"/>
        </w:rPr>
        <w:t>2017</w:t>
      </w:r>
      <w:r>
        <w:rPr>
          <w:rFonts w:hint="eastAsia" w:ascii="仿宋" w:hAnsi="仿宋" w:eastAsia="仿宋"/>
          <w:color w:val="000000"/>
          <w:sz w:val="32"/>
          <w:szCs w:val="32"/>
        </w:rPr>
        <w:t>年支出</w:t>
      </w:r>
      <w:r>
        <w:rPr>
          <w:rFonts w:ascii="仿宋" w:hAnsi="仿宋" w:eastAsia="仿宋"/>
          <w:color w:val="000000"/>
          <w:sz w:val="32"/>
          <w:szCs w:val="32"/>
        </w:rPr>
        <w:t>2879.00</w:t>
      </w:r>
      <w:r>
        <w:rPr>
          <w:rFonts w:hint="eastAsia" w:ascii="仿宋" w:hAnsi="仿宋" w:eastAsia="仿宋"/>
          <w:color w:val="000000"/>
          <w:sz w:val="32"/>
          <w:szCs w:val="32"/>
        </w:rPr>
        <w:t>万元，同比增加</w:t>
      </w:r>
      <w:r>
        <w:rPr>
          <w:rFonts w:ascii="仿宋" w:hAnsi="仿宋" w:eastAsia="仿宋"/>
          <w:color w:val="000000"/>
          <w:sz w:val="32"/>
          <w:szCs w:val="32"/>
        </w:rPr>
        <w:t>1018.19</w:t>
      </w:r>
      <w:r>
        <w:rPr>
          <w:rFonts w:hint="eastAsia" w:ascii="仿宋" w:hAnsi="仿宋" w:eastAsia="仿宋"/>
          <w:color w:val="000000"/>
          <w:sz w:val="32"/>
          <w:szCs w:val="32"/>
        </w:rPr>
        <w:t>万元，增长</w:t>
      </w:r>
      <w:r>
        <w:rPr>
          <w:rFonts w:ascii="仿宋" w:hAnsi="仿宋" w:eastAsia="仿宋"/>
          <w:color w:val="000000"/>
          <w:sz w:val="32"/>
          <w:szCs w:val="32"/>
        </w:rPr>
        <w:t>35.37%</w:t>
      </w:r>
      <w:r>
        <w:rPr>
          <w:rFonts w:hint="eastAsia" w:ascii="仿宋" w:hAnsi="仿宋" w:eastAsia="仿宋"/>
          <w:color w:val="000000"/>
          <w:sz w:val="32"/>
          <w:szCs w:val="32"/>
        </w:rPr>
        <w:t>。主要变动原因一是增人增加职工工资奖金，二是增加“</w:t>
      </w:r>
      <w:r>
        <w:rPr>
          <w:rFonts w:hint="eastAsia" w:ascii="仿宋_GB2312" w:hAnsi="仿宋" w:eastAsia="仿宋_GB2312"/>
          <w:sz w:val="32"/>
          <w:szCs w:val="32"/>
        </w:rPr>
        <w:t>川大校市战略合作“项目支出</w:t>
      </w:r>
      <w:r>
        <w:rPr>
          <w:rFonts w:hint="eastAsia" w:ascii="仿宋" w:hAnsi="仿宋" w:eastAsia="仿宋"/>
          <w:color w:val="000000"/>
          <w:sz w:val="32"/>
          <w:szCs w:val="32"/>
        </w:rPr>
        <w:t>。</w:t>
      </w: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3897.18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15.78</w:t>
      </w:r>
      <w:r>
        <w:rPr>
          <w:rFonts w:hint="eastAsia" w:ascii="仿宋" w:hAnsi="仿宋" w:eastAsia="仿宋"/>
          <w:color w:val="000000"/>
          <w:sz w:val="32"/>
          <w:szCs w:val="32"/>
        </w:rPr>
        <w:t>万元，占</w:t>
      </w:r>
      <w:r>
        <w:rPr>
          <w:rFonts w:ascii="仿宋" w:hAnsi="仿宋" w:eastAsia="仿宋"/>
          <w:color w:val="000000"/>
          <w:sz w:val="32"/>
          <w:szCs w:val="32"/>
        </w:rPr>
        <w:t>0.40%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3507.17</w:t>
      </w:r>
      <w:r>
        <w:rPr>
          <w:rFonts w:hint="eastAsia" w:ascii="仿宋" w:hAnsi="仿宋" w:eastAsia="仿宋"/>
          <w:color w:val="000000"/>
          <w:sz w:val="32"/>
          <w:szCs w:val="32"/>
        </w:rPr>
        <w:t>万元，占</w:t>
      </w:r>
      <w:r>
        <w:rPr>
          <w:rFonts w:ascii="仿宋" w:hAnsi="仿宋" w:eastAsia="仿宋"/>
          <w:color w:val="000000"/>
          <w:sz w:val="32"/>
          <w:szCs w:val="32"/>
        </w:rPr>
        <w:t>89.99%</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259.78</w:t>
      </w:r>
      <w:r>
        <w:rPr>
          <w:rFonts w:hint="eastAsia" w:ascii="仿宋" w:hAnsi="仿宋" w:eastAsia="仿宋"/>
          <w:color w:val="000000"/>
          <w:sz w:val="32"/>
          <w:szCs w:val="32"/>
        </w:rPr>
        <w:t>万元，占</w:t>
      </w:r>
      <w:r>
        <w:rPr>
          <w:rFonts w:ascii="仿宋" w:hAnsi="仿宋" w:eastAsia="仿宋"/>
          <w:color w:val="000000"/>
          <w:sz w:val="32"/>
          <w:szCs w:val="32"/>
        </w:rPr>
        <w:t>6.67%</w:t>
      </w:r>
      <w:r>
        <w:rPr>
          <w:rFonts w:hint="eastAsia" w:ascii="仿宋" w:hAnsi="仿宋" w:eastAsia="仿宋"/>
          <w:color w:val="000000"/>
          <w:sz w:val="32"/>
          <w:szCs w:val="32"/>
        </w:rPr>
        <w:t>；</w:t>
      </w:r>
      <w:r>
        <w:rPr>
          <w:rFonts w:hint="eastAsia" w:ascii="仿宋" w:hAnsi="仿宋" w:eastAsia="仿宋"/>
          <w:b/>
          <w:color w:val="000000"/>
          <w:sz w:val="32"/>
          <w:szCs w:val="32"/>
        </w:rPr>
        <w:t>医疗卫生支出（类）</w:t>
      </w:r>
      <w:r>
        <w:rPr>
          <w:rFonts w:ascii="仿宋" w:hAnsi="仿宋" w:eastAsia="仿宋"/>
          <w:color w:val="000000"/>
          <w:sz w:val="32"/>
          <w:szCs w:val="32"/>
        </w:rPr>
        <w:t>0.26</w:t>
      </w:r>
      <w:r>
        <w:rPr>
          <w:rFonts w:hint="eastAsia" w:ascii="仿宋" w:hAnsi="仿宋" w:eastAsia="仿宋"/>
          <w:color w:val="000000"/>
          <w:sz w:val="32"/>
          <w:szCs w:val="32"/>
        </w:rPr>
        <w:t>万元，占</w:t>
      </w:r>
      <w:r>
        <w:rPr>
          <w:rFonts w:ascii="仿宋" w:hAnsi="仿宋" w:eastAsia="仿宋"/>
          <w:color w:val="000000"/>
          <w:sz w:val="32"/>
          <w:szCs w:val="32"/>
        </w:rPr>
        <w:t>0.01%</w:t>
      </w:r>
      <w:r>
        <w:rPr>
          <w:rFonts w:hint="eastAsia" w:ascii="仿宋" w:hAnsi="仿宋" w:eastAsia="仿宋"/>
          <w:color w:val="000000"/>
          <w:sz w:val="32"/>
          <w:szCs w:val="32"/>
        </w:rPr>
        <w:t>；</w:t>
      </w:r>
      <w:r>
        <w:rPr>
          <w:rFonts w:hint="eastAsia" w:ascii="仿宋" w:hAnsi="仿宋" w:eastAsia="仿宋"/>
          <w:b/>
          <w:color w:val="000000"/>
          <w:sz w:val="32"/>
          <w:szCs w:val="32"/>
        </w:rPr>
        <w:t>住房保障支出（类）</w:t>
      </w:r>
      <w:r>
        <w:rPr>
          <w:rFonts w:ascii="仿宋" w:hAnsi="仿宋" w:eastAsia="仿宋"/>
          <w:color w:val="000000"/>
          <w:sz w:val="32"/>
          <w:szCs w:val="32"/>
        </w:rPr>
        <w:t>114.19</w:t>
      </w:r>
      <w:r>
        <w:rPr>
          <w:rFonts w:hint="eastAsia" w:ascii="仿宋" w:hAnsi="仿宋" w:eastAsia="仿宋"/>
          <w:color w:val="000000"/>
          <w:sz w:val="32"/>
          <w:szCs w:val="32"/>
        </w:rPr>
        <w:t>万元，占</w:t>
      </w:r>
      <w:r>
        <w:rPr>
          <w:rFonts w:ascii="仿宋" w:hAnsi="仿宋" w:eastAsia="仿宋"/>
          <w:color w:val="000000"/>
          <w:sz w:val="32"/>
          <w:szCs w:val="32"/>
        </w:rPr>
        <w:t>2.93%</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snapToGrid w:val="0"/>
        <w:rPr>
          <w:rFonts w:ascii="华文中宋" w:hAnsi="华文中宋" w:eastAsia="华文中宋"/>
          <w:sz w:val="36"/>
          <w:szCs w:val="36"/>
        </w:rPr>
      </w:pPr>
      <w:r>
        <w:object>
          <v:shape id="_x0000_i1031" o:spt="75" type="#_x0000_t75" style="height:185.25pt;width:417.75pt;" o:ole="t" filled="f" o:preferrelative="t" stroked="f" coordsize="21600,21600">
            <v:path/>
            <v:fill on="f" focussize="0,0"/>
            <v:stroke on="f" joinstyle="miter"/>
            <v:imagedata r:id="rId17" cropbottom="-71f" o:title=""/>
            <o:lock v:ext="edit" aspectratio="f"/>
            <w10:wrap type="none"/>
            <w10:anchorlock/>
          </v:shape>
          <o:OLEObject Type="Embed" ProgID="Excel.Chart.8" ShapeID="_x0000_i1031" DrawAspect="Content" ObjectID="_1468075731" r:id="rId16">
            <o:LockedField>false</o:LockedField>
          </o:OLEObject>
        </w:object>
      </w: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spacing w:line="600" w:lineRule="exact"/>
        <w:ind w:firstLine="643" w:firstLineChars="200"/>
        <w:outlineLvl w:val="2"/>
        <w:rPr>
          <w:rFonts w:ascii="仿宋" w:hAnsi="仿宋" w:eastAsia="仿宋"/>
          <w:color w:val="FF0000"/>
          <w:sz w:val="32"/>
          <w:szCs w:val="32"/>
        </w:rPr>
      </w:pPr>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3897.18</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109.94%</w:t>
      </w:r>
      <w:r>
        <w:rPr>
          <w:rStyle w:val="13"/>
          <w:rFonts w:hint="eastAsia" w:ascii="仿宋" w:hAnsi="仿宋" w:eastAsia="仿宋"/>
          <w:bCs/>
          <w:color w:val="000000"/>
          <w:sz w:val="32"/>
          <w:szCs w:val="32"/>
        </w:rPr>
        <w:t>，决算数大于预算的原因是支出数中含上年结余资金支出。其中：</w:t>
      </w:r>
    </w:p>
    <w:p>
      <w:pPr>
        <w:spacing w:line="600" w:lineRule="exact"/>
        <w:ind w:firstLine="643" w:firstLineChars="200"/>
        <w:rPr>
          <w:rStyle w:val="13"/>
          <w:rFonts w:ascii="仿宋" w:hAnsi="仿宋" w:eastAsia="仿宋"/>
          <w:bCs/>
          <w:color w:val="000000"/>
          <w:sz w:val="32"/>
          <w:szCs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一般公共服务（类）</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w:t>
      </w:r>
      <w:r>
        <w:rPr>
          <w:rStyle w:val="13"/>
          <w:rFonts w:hint="eastAsia" w:ascii="仿宋" w:hAnsi="仿宋" w:eastAsia="仿宋"/>
          <w:b w:val="0"/>
          <w:bCs/>
          <w:color w:val="000000"/>
          <w:sz w:val="32"/>
          <w:szCs w:val="32"/>
        </w:rPr>
        <w:t>）一般公共服务（类）人力资源事务（款）其他人力资源事务支出（项）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4.76</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2</w:t>
      </w:r>
      <w:r>
        <w:rPr>
          <w:rStyle w:val="13"/>
          <w:rFonts w:hint="eastAsia" w:ascii="仿宋" w:hAnsi="仿宋" w:eastAsia="仿宋"/>
          <w:b w:val="0"/>
          <w:bCs/>
          <w:color w:val="000000"/>
          <w:sz w:val="32"/>
          <w:szCs w:val="32"/>
        </w:rPr>
        <w:t>）一般公共服务（类）知识产权事务（款）专利试点和产业化推进（项）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7</w:t>
      </w:r>
      <w:r>
        <w:rPr>
          <w:rStyle w:val="13"/>
          <w:rFonts w:hint="eastAsia" w:ascii="仿宋" w:hAnsi="仿宋" w:eastAsia="仿宋"/>
          <w:b w:val="0"/>
          <w:bCs/>
          <w:color w:val="000000"/>
          <w:sz w:val="32"/>
          <w:szCs w:val="32"/>
        </w:rPr>
        <w:t>万元，上年结余资金支出。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3</w:t>
      </w:r>
      <w:r>
        <w:rPr>
          <w:rStyle w:val="13"/>
          <w:rFonts w:hint="eastAsia" w:ascii="仿宋" w:hAnsi="仿宋" w:eastAsia="仿宋"/>
          <w:b w:val="0"/>
          <w:bCs/>
          <w:color w:val="000000"/>
          <w:sz w:val="32"/>
          <w:szCs w:val="32"/>
        </w:rPr>
        <w:t>）一般公共服务（类）组织事务（款）其他组织事务支出（项）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4.02</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30" w:firstLineChars="196"/>
        <w:rPr>
          <w:rFonts w:ascii="仿宋" w:hAnsi="仿宋" w:eastAsia="仿宋"/>
          <w:b/>
          <w:color w:val="C00000"/>
          <w:sz w:val="32"/>
          <w:szCs w:val="32"/>
        </w:rPr>
      </w:pPr>
      <w:r>
        <w:rPr>
          <w:rStyle w:val="13"/>
          <w:rFonts w:ascii="仿宋" w:hAnsi="仿宋" w:eastAsia="仿宋"/>
          <w:bCs/>
          <w:color w:val="000000"/>
          <w:sz w:val="32"/>
          <w:szCs w:val="32"/>
        </w:rPr>
        <w:t>2.</w:t>
      </w:r>
      <w:r>
        <w:rPr>
          <w:rStyle w:val="13"/>
          <w:rFonts w:hint="eastAsia" w:ascii="仿宋" w:hAnsi="仿宋" w:eastAsia="仿宋"/>
          <w:bCs/>
          <w:color w:val="000000"/>
          <w:sz w:val="32"/>
          <w:szCs w:val="32"/>
        </w:rPr>
        <w:t>教育（类）</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（款）</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，决算数小于</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等于预算数的主要原因是…。</w:t>
      </w:r>
      <w:r>
        <w:rPr>
          <w:rStyle w:val="13"/>
          <w:rFonts w:hint="eastAsia" w:ascii="仿宋" w:hAnsi="仿宋" w:eastAsia="仿宋"/>
          <w:bCs/>
          <w:color w:val="C00000"/>
          <w:sz w:val="32"/>
          <w:szCs w:val="32"/>
        </w:rPr>
        <w:t>（无）</w:t>
      </w:r>
    </w:p>
    <w:p>
      <w:pPr>
        <w:spacing w:line="600" w:lineRule="exact"/>
        <w:ind w:firstLine="630" w:firstLineChars="196"/>
        <w:rPr>
          <w:rStyle w:val="13"/>
          <w:rFonts w:ascii="仿宋" w:hAnsi="仿宋" w:eastAsia="仿宋"/>
          <w:bCs/>
          <w:color w:val="000000"/>
          <w:sz w:val="32"/>
          <w:szCs w:val="32"/>
        </w:rPr>
      </w:pPr>
      <w:r>
        <w:rPr>
          <w:rStyle w:val="13"/>
          <w:rFonts w:ascii="仿宋" w:hAnsi="仿宋" w:eastAsia="仿宋"/>
          <w:bCs/>
          <w:color w:val="000000"/>
          <w:sz w:val="32"/>
          <w:szCs w:val="32"/>
        </w:rPr>
        <w:t>3.</w:t>
      </w:r>
      <w:r>
        <w:rPr>
          <w:rStyle w:val="13"/>
          <w:rFonts w:hint="eastAsia" w:ascii="仿宋" w:hAnsi="仿宋" w:eastAsia="仿宋"/>
          <w:bCs/>
          <w:color w:val="000000"/>
          <w:sz w:val="32"/>
          <w:szCs w:val="32"/>
        </w:rPr>
        <w:t>科学技术（类）</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科学技术（类）科学技术管理事务（款）行政运行（项）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607.31</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2</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科学技术（类）科学技术管理事务（款）一般行政管理事务（项）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5.00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3</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科学技术（类）科学技术管理事务（款）其他科学技术管理事务支出（项）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9.00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4</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科学技术（类）技术研究与开发（款）应用技术研究与开发（项）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1136.82</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133.12%</w:t>
      </w:r>
      <w:r>
        <w:rPr>
          <w:rStyle w:val="13"/>
          <w:rFonts w:hint="eastAsia" w:ascii="仿宋" w:hAnsi="仿宋" w:eastAsia="仿宋"/>
          <w:b w:val="0"/>
          <w:bCs/>
          <w:color w:val="000000"/>
          <w:sz w:val="32"/>
          <w:szCs w:val="32"/>
        </w:rPr>
        <w:t>，决算数大于预算的原因是支出数中含上年结余资金支出。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5</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科学技术（类）技术研究与开发（款）科技成果转化与扩散（项）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9.27</w:t>
      </w:r>
      <w:r>
        <w:rPr>
          <w:rStyle w:val="13"/>
          <w:rFonts w:hint="eastAsia" w:ascii="仿宋" w:hAnsi="仿宋" w:eastAsia="仿宋"/>
          <w:b w:val="0"/>
          <w:bCs/>
          <w:color w:val="000000"/>
          <w:sz w:val="32"/>
          <w:szCs w:val="32"/>
        </w:rPr>
        <w:t>万元，上年结余资金支出。</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6</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科学技术（类）科技条件与服务（款）机构运行（项）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594.65</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7</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科学技术（类）科技条件与服务（款）其他科技条件与服务支出（项）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26.27</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8</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科学技术（类）科技交流与合作（款）其他科技交流与合作（项）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900.00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9</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科学技术（类）其他科学技术支出（款）转制科研机构（项）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2.76</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10</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科学技术（类）其他科学技术支出（款）其他科学技术支出（项）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216.09</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132.75%</w:t>
      </w:r>
      <w:r>
        <w:rPr>
          <w:rStyle w:val="13"/>
          <w:rFonts w:hint="eastAsia" w:ascii="仿宋" w:hAnsi="仿宋" w:eastAsia="仿宋"/>
          <w:b w:val="0"/>
          <w:bCs/>
          <w:color w:val="000000"/>
          <w:sz w:val="32"/>
          <w:szCs w:val="32"/>
        </w:rPr>
        <w:t>。决算数大于预算的原因是支出数中含上年结余资金支出。</w:t>
      </w:r>
    </w:p>
    <w:p>
      <w:pPr>
        <w:spacing w:line="600" w:lineRule="exact"/>
        <w:ind w:firstLine="630" w:firstLineChars="196"/>
        <w:rPr>
          <w:rStyle w:val="13"/>
          <w:rFonts w:ascii="仿宋" w:hAnsi="仿宋" w:eastAsia="仿宋"/>
          <w:bCs/>
          <w:color w:val="000000"/>
          <w:sz w:val="32"/>
          <w:szCs w:val="32"/>
        </w:rPr>
      </w:pPr>
    </w:p>
    <w:p>
      <w:pPr>
        <w:spacing w:line="600" w:lineRule="exact"/>
        <w:ind w:firstLine="630" w:firstLineChars="196"/>
        <w:rPr>
          <w:rFonts w:ascii="仿宋" w:hAnsi="仿宋" w:eastAsia="仿宋"/>
          <w:b/>
          <w:color w:val="C00000"/>
          <w:sz w:val="32"/>
          <w:szCs w:val="32"/>
        </w:rPr>
      </w:pPr>
      <w:r>
        <w:rPr>
          <w:rStyle w:val="13"/>
          <w:rFonts w:ascii="仿宋" w:hAnsi="仿宋" w:eastAsia="仿宋"/>
          <w:bCs/>
          <w:color w:val="000000"/>
          <w:sz w:val="32"/>
          <w:szCs w:val="32"/>
        </w:rPr>
        <w:t>4.</w:t>
      </w:r>
      <w:r>
        <w:rPr>
          <w:rStyle w:val="13"/>
          <w:rFonts w:hint="eastAsia" w:ascii="仿宋" w:hAnsi="仿宋" w:eastAsia="仿宋"/>
          <w:bCs/>
          <w:color w:val="000000"/>
          <w:sz w:val="32"/>
          <w:szCs w:val="32"/>
        </w:rPr>
        <w:t>文化体育与传媒（类）</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（款）</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，决算数小于</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等于预算数的主要原因是…。</w:t>
      </w:r>
      <w:r>
        <w:rPr>
          <w:rStyle w:val="13"/>
          <w:rFonts w:hint="eastAsia" w:ascii="仿宋" w:hAnsi="仿宋" w:eastAsia="仿宋"/>
          <w:bCs/>
          <w:color w:val="C00000"/>
          <w:sz w:val="32"/>
          <w:szCs w:val="32"/>
        </w:rPr>
        <w:t>（无）</w:t>
      </w:r>
    </w:p>
    <w:p>
      <w:pPr>
        <w:spacing w:line="600" w:lineRule="exact"/>
        <w:ind w:firstLine="630" w:firstLineChars="196"/>
        <w:rPr>
          <w:rStyle w:val="13"/>
          <w:rFonts w:ascii="仿宋" w:hAnsi="仿宋" w:eastAsia="仿宋"/>
          <w:bCs/>
          <w:color w:val="000000"/>
          <w:sz w:val="32"/>
          <w:szCs w:val="32"/>
        </w:rPr>
      </w:pPr>
      <w:r>
        <w:rPr>
          <w:rStyle w:val="13"/>
          <w:rFonts w:ascii="仿宋" w:hAnsi="仿宋" w:eastAsia="仿宋"/>
          <w:bCs/>
          <w:color w:val="000000"/>
          <w:sz w:val="32"/>
          <w:szCs w:val="32"/>
        </w:rPr>
        <w:t>5.</w:t>
      </w:r>
      <w:r>
        <w:rPr>
          <w:rStyle w:val="13"/>
          <w:rFonts w:hint="eastAsia" w:ascii="仿宋" w:hAnsi="仿宋" w:eastAsia="仿宋"/>
          <w:bCs/>
          <w:color w:val="000000"/>
          <w:sz w:val="32"/>
          <w:szCs w:val="32"/>
        </w:rPr>
        <w:t>社会保障和就业（类）</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社会保障和就业（类）行政事业单位离退休（款）未归口管理的行政单位离退休（项）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83.32</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2</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社会保障和就业（类）行政事业单位离退休（款）机关事业单位基本养老保险缴费支出（项）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133.84</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3</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社会保障和就业（类）行政事业单位离退休（款）机关事业单位职业年金缴费支出（项）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0.69</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4</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社会保障和就业（类）抚恤（款）死亡抚恤（项）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40.73</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5</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社会保障和就业（类）社会福利（款）儿童福利（项）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1.20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6.</w:t>
      </w:r>
      <w:r>
        <w:rPr>
          <w:rStyle w:val="13"/>
          <w:rFonts w:hint="eastAsia" w:ascii="仿宋" w:hAnsi="仿宋" w:eastAsia="仿宋"/>
          <w:bCs/>
          <w:color w:val="000000"/>
          <w:sz w:val="32"/>
          <w:szCs w:val="32"/>
        </w:rPr>
        <w:t>医疗卫生与计划生育（类）其他医疗卫生与计划生育支出（款）其他医疗卫生与计划生育支出（项）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0.26</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100%</w:t>
      </w:r>
      <w:r>
        <w:rPr>
          <w:rStyle w:val="13"/>
          <w:rFonts w:hint="eastAsia" w:ascii="仿宋" w:hAnsi="仿宋" w:eastAsia="仿宋"/>
          <w:bCs/>
          <w:color w:val="000000"/>
          <w:sz w:val="32"/>
          <w:szCs w:val="32"/>
        </w:rPr>
        <w:t>。</w:t>
      </w:r>
      <w:r>
        <w:rPr>
          <w:rFonts w:ascii="仿宋" w:hAnsi="仿宋" w:eastAsia="仿宋"/>
          <w:b/>
          <w:color w:val="000000"/>
          <w:sz w:val="32"/>
          <w:szCs w:val="32"/>
        </w:rPr>
        <w:t xml:space="preserve"> </w:t>
      </w:r>
    </w:p>
    <w:p>
      <w:pPr>
        <w:spacing w:line="600" w:lineRule="exact"/>
        <w:ind w:firstLine="630" w:firstLineChars="196"/>
        <w:rPr>
          <w:rFonts w:ascii="仿宋" w:hAnsi="仿宋" w:eastAsia="仿宋"/>
          <w:b/>
          <w:color w:val="000000"/>
          <w:sz w:val="32"/>
          <w:szCs w:val="32"/>
        </w:rPr>
      </w:pPr>
      <w:r>
        <w:rPr>
          <w:rStyle w:val="13"/>
          <w:rFonts w:ascii="仿宋" w:hAnsi="仿宋" w:eastAsia="仿宋"/>
          <w:bCs/>
          <w:color w:val="000000"/>
          <w:sz w:val="32"/>
          <w:szCs w:val="32"/>
        </w:rPr>
        <w:t>7.</w:t>
      </w:r>
      <w:r>
        <w:rPr>
          <w:rFonts w:ascii="仿宋" w:hAnsi="仿宋" w:eastAsia="仿宋"/>
          <w:b/>
          <w:color w:val="000000"/>
          <w:sz w:val="32"/>
          <w:szCs w:val="32"/>
        </w:rPr>
        <w:t xml:space="preserve"> </w:t>
      </w:r>
      <w:r>
        <w:rPr>
          <w:rFonts w:hint="eastAsia" w:ascii="仿宋" w:hAnsi="仿宋" w:eastAsia="仿宋"/>
          <w:b/>
          <w:color w:val="000000"/>
          <w:sz w:val="32"/>
          <w:szCs w:val="32"/>
        </w:rPr>
        <w:t>住房保障支出（类）住房改革支出</w:t>
      </w:r>
      <w:r>
        <w:rPr>
          <w:rStyle w:val="13"/>
          <w:rFonts w:hint="eastAsia" w:ascii="仿宋" w:hAnsi="仿宋" w:eastAsia="仿宋"/>
          <w:bCs/>
          <w:color w:val="000000"/>
          <w:sz w:val="32"/>
          <w:szCs w:val="32"/>
        </w:rPr>
        <w:t>（款）住房公积金（项）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114.19</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100%</w:t>
      </w:r>
      <w:r>
        <w:rPr>
          <w:rStyle w:val="13"/>
          <w:rFonts w:hint="eastAsia" w:ascii="仿宋" w:hAnsi="仿宋" w:eastAsia="仿宋"/>
          <w:bCs/>
          <w:color w:val="000000"/>
          <w:sz w:val="32"/>
          <w:szCs w:val="32"/>
        </w:rPr>
        <w:t>。</w:t>
      </w:r>
      <w:r>
        <w:rPr>
          <w:rFonts w:ascii="仿宋" w:hAnsi="仿宋" w:eastAsia="仿宋"/>
          <w:b/>
          <w:color w:val="000000"/>
          <w:sz w:val="32"/>
          <w:szCs w:val="32"/>
        </w:rPr>
        <w:t xml:space="preserve"> </w:t>
      </w:r>
    </w:p>
    <w:p>
      <w:pPr>
        <w:snapToGrid w:val="0"/>
        <w:rPr>
          <w:rFonts w:ascii="华文中宋" w:hAnsi="华文中宋" w:eastAsia="华文中宋"/>
          <w:color w:val="FFC000"/>
          <w:sz w:val="36"/>
          <w:szCs w:val="36"/>
        </w:rPr>
      </w:pPr>
      <w:r>
        <w:rPr>
          <w:rFonts w:hint="eastAsia" w:ascii="仿宋" w:hAnsi="仿宋" w:eastAsia="仿宋"/>
          <w:b/>
          <w:color w:val="FFC000"/>
          <w:sz w:val="32"/>
          <w:szCs w:val="32"/>
        </w:rPr>
        <w:t>（数据来源财决</w:t>
      </w:r>
      <w:r>
        <w:rPr>
          <w:rFonts w:ascii="仿宋" w:hAnsi="仿宋" w:eastAsia="仿宋"/>
          <w:b/>
          <w:color w:val="FFC000"/>
          <w:sz w:val="32"/>
          <w:szCs w:val="32"/>
        </w:rPr>
        <w:t>08</w:t>
      </w:r>
      <w:r>
        <w:rPr>
          <w:rFonts w:hint="eastAsia" w:ascii="仿宋" w:hAnsi="仿宋" w:eastAsia="仿宋"/>
          <w:b/>
          <w:color w:val="FFC000"/>
          <w:sz w:val="32"/>
          <w:szCs w:val="32"/>
        </w:rPr>
        <w:t>表，罗列全部功能分类科目至项级。上述“预算”口径为调整预算数。增减变动原因为决算数</w:t>
      </w:r>
      <w:r>
        <w:rPr>
          <w:rFonts w:ascii="仿宋" w:hAnsi="仿宋" w:eastAsia="仿宋"/>
          <w:b/>
          <w:color w:val="FFC000"/>
          <w:sz w:val="32"/>
          <w:szCs w:val="32"/>
        </w:rPr>
        <w:t>&lt;</w:t>
      </w:r>
      <w:r>
        <w:rPr>
          <w:rFonts w:hint="eastAsia" w:ascii="仿宋" w:hAnsi="仿宋" w:eastAsia="仿宋"/>
          <w:b/>
          <w:color w:val="FFC000"/>
          <w:sz w:val="32"/>
          <w:szCs w:val="32"/>
        </w:rPr>
        <w:t>项级</w:t>
      </w:r>
      <w:r>
        <w:rPr>
          <w:rFonts w:ascii="仿宋" w:hAnsi="仿宋" w:eastAsia="仿宋"/>
          <w:b/>
          <w:color w:val="FFC000"/>
          <w:sz w:val="32"/>
          <w:szCs w:val="32"/>
        </w:rPr>
        <w:t>&gt;</w:t>
      </w:r>
      <w:r>
        <w:rPr>
          <w:rFonts w:hint="eastAsia" w:ascii="仿宋" w:hAnsi="仿宋" w:eastAsia="仿宋"/>
          <w:b/>
          <w:color w:val="FFC000"/>
          <w:sz w:val="32"/>
          <w:szCs w:val="32"/>
        </w:rPr>
        <w:t>和调整预算数</w:t>
      </w:r>
      <w:r>
        <w:rPr>
          <w:rFonts w:ascii="仿宋" w:hAnsi="仿宋" w:eastAsia="仿宋"/>
          <w:b/>
          <w:color w:val="FFC000"/>
          <w:sz w:val="32"/>
          <w:szCs w:val="32"/>
        </w:rPr>
        <w:t>&lt;</w:t>
      </w:r>
      <w:r>
        <w:rPr>
          <w:rFonts w:hint="eastAsia" w:ascii="仿宋" w:hAnsi="仿宋" w:eastAsia="仿宋"/>
          <w:b/>
          <w:color w:val="FFC000"/>
          <w:sz w:val="32"/>
          <w:szCs w:val="32"/>
        </w:rPr>
        <w:t>项级</w:t>
      </w:r>
      <w:r>
        <w:rPr>
          <w:rFonts w:ascii="仿宋" w:hAnsi="仿宋" w:eastAsia="仿宋"/>
          <w:b/>
          <w:color w:val="FFC000"/>
          <w:sz w:val="32"/>
          <w:szCs w:val="32"/>
        </w:rPr>
        <w:t>&gt;</w:t>
      </w:r>
      <w:r>
        <w:rPr>
          <w:rFonts w:hint="eastAsia" w:ascii="仿宋" w:hAnsi="仿宋" w:eastAsia="仿宋"/>
          <w:b/>
          <w:color w:val="FFC000"/>
          <w:sz w:val="32"/>
          <w:szCs w:val="32"/>
        </w:rPr>
        <w:t>比较，与预算数持平可以不写原</w:t>
      </w:r>
    </w:p>
    <w:p>
      <w:pPr>
        <w:tabs>
          <w:tab w:val="right" w:pos="8306"/>
        </w:tabs>
        <w:spacing w:line="600" w:lineRule="exact"/>
        <w:ind w:firstLine="640"/>
        <w:outlineLvl w:val="1"/>
        <w:rPr>
          <w:rFonts w:ascii="黑体" w:eastAsia="黑体"/>
          <w:color w:val="000000"/>
          <w:sz w:val="32"/>
          <w:szCs w:val="32"/>
        </w:rPr>
      </w:pPr>
      <w:bookmarkStart w:id="30" w:name="_Toc15396608"/>
      <w:bookmarkStart w:id="31" w:name="_Toc15377214"/>
    </w:p>
    <w:p>
      <w:pPr>
        <w:tabs>
          <w:tab w:val="right" w:pos="8306"/>
        </w:tabs>
        <w:spacing w:line="600" w:lineRule="exact"/>
        <w:ind w:firstLine="640"/>
        <w:outlineLvl w:val="1"/>
        <w:rPr>
          <w:rStyle w:val="1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rPr>
        <w:t>般公共预算财政拨款基本支出决算情况说明</w:t>
      </w:r>
      <w:bookmarkEnd w:id="30"/>
      <w:bookmarkEnd w:id="31"/>
      <w:r>
        <w:rPr>
          <w:rStyle w:val="16"/>
          <w:rFonts w:ascii="黑体" w:hAnsi="黑体" w:eastAsia="黑体"/>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1719.96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1546.32</w:t>
      </w:r>
      <w:r>
        <w:rPr>
          <w:rFonts w:hint="eastAsia" w:ascii="仿宋" w:hAnsi="仿宋" w:eastAsia="仿宋"/>
          <w:color w:val="000000"/>
          <w:sz w:val="32"/>
          <w:szCs w:val="32"/>
        </w:rPr>
        <w:t>万元，主要包括：基本工资</w:t>
      </w:r>
      <w:r>
        <w:rPr>
          <w:rFonts w:ascii="仿宋" w:hAnsi="仿宋" w:eastAsia="仿宋"/>
          <w:color w:val="000000"/>
          <w:sz w:val="32"/>
          <w:szCs w:val="32"/>
        </w:rPr>
        <w:t>332.40</w:t>
      </w:r>
      <w:r>
        <w:rPr>
          <w:rFonts w:hint="eastAsia" w:ascii="仿宋" w:hAnsi="仿宋" w:eastAsia="仿宋"/>
          <w:color w:val="000000"/>
          <w:sz w:val="32"/>
          <w:szCs w:val="32"/>
        </w:rPr>
        <w:t>万元、津贴补贴</w:t>
      </w:r>
      <w:r>
        <w:rPr>
          <w:rFonts w:ascii="仿宋" w:hAnsi="仿宋" w:eastAsia="仿宋"/>
          <w:color w:val="000000"/>
          <w:sz w:val="32"/>
          <w:szCs w:val="32"/>
        </w:rPr>
        <w:t>244.88</w:t>
      </w:r>
      <w:r>
        <w:rPr>
          <w:rFonts w:hint="eastAsia" w:ascii="仿宋" w:hAnsi="仿宋" w:eastAsia="仿宋"/>
          <w:color w:val="000000"/>
          <w:sz w:val="32"/>
          <w:szCs w:val="32"/>
        </w:rPr>
        <w:t>万元、奖金</w:t>
      </w:r>
      <w:r>
        <w:rPr>
          <w:rFonts w:ascii="仿宋" w:hAnsi="仿宋" w:eastAsia="仿宋"/>
          <w:color w:val="000000"/>
          <w:sz w:val="32"/>
          <w:szCs w:val="32"/>
        </w:rPr>
        <w:t>267.46</w:t>
      </w:r>
      <w:r>
        <w:rPr>
          <w:rFonts w:hint="eastAsia" w:ascii="仿宋" w:hAnsi="仿宋" w:eastAsia="仿宋"/>
          <w:color w:val="000000"/>
          <w:sz w:val="32"/>
          <w:szCs w:val="32"/>
        </w:rPr>
        <w:t>万元、绩效工资</w:t>
      </w:r>
      <w:r>
        <w:rPr>
          <w:rFonts w:ascii="仿宋" w:hAnsi="仿宋" w:eastAsia="仿宋"/>
          <w:color w:val="000000"/>
          <w:sz w:val="32"/>
          <w:szCs w:val="32"/>
        </w:rPr>
        <w:t>125.61</w:t>
      </w:r>
      <w:r>
        <w:rPr>
          <w:rFonts w:hint="eastAsia" w:ascii="仿宋" w:hAnsi="仿宋" w:eastAsia="仿宋"/>
          <w:color w:val="000000"/>
          <w:sz w:val="32"/>
          <w:szCs w:val="32"/>
        </w:rPr>
        <w:t>万元、机关事业单位基本养老保险缴费</w:t>
      </w:r>
      <w:r>
        <w:rPr>
          <w:rFonts w:ascii="仿宋" w:hAnsi="仿宋" w:eastAsia="仿宋"/>
          <w:color w:val="000000"/>
          <w:sz w:val="32"/>
          <w:szCs w:val="32"/>
        </w:rPr>
        <w:t>147.02</w:t>
      </w:r>
      <w:r>
        <w:rPr>
          <w:rFonts w:hint="eastAsia" w:ascii="仿宋" w:hAnsi="仿宋" w:eastAsia="仿宋"/>
          <w:color w:val="000000"/>
          <w:sz w:val="32"/>
          <w:szCs w:val="32"/>
        </w:rPr>
        <w:t>万元、职业年金缴费</w:t>
      </w:r>
      <w:r>
        <w:rPr>
          <w:rFonts w:ascii="仿宋" w:hAnsi="仿宋" w:eastAsia="仿宋"/>
          <w:color w:val="000000"/>
          <w:sz w:val="32"/>
          <w:szCs w:val="32"/>
        </w:rPr>
        <w:t>0.69</w:t>
      </w:r>
      <w:r>
        <w:rPr>
          <w:rFonts w:hint="eastAsia" w:ascii="仿宋" w:hAnsi="仿宋" w:eastAsia="仿宋"/>
          <w:color w:val="000000"/>
          <w:sz w:val="32"/>
          <w:szCs w:val="32"/>
        </w:rPr>
        <w:t>万元、职工基本医疗保险缴费</w:t>
      </w:r>
      <w:r>
        <w:rPr>
          <w:rFonts w:ascii="仿宋" w:hAnsi="仿宋" w:eastAsia="仿宋"/>
          <w:color w:val="000000"/>
          <w:sz w:val="32"/>
          <w:szCs w:val="32"/>
        </w:rPr>
        <w:t>17.76</w:t>
      </w:r>
      <w:r>
        <w:rPr>
          <w:rFonts w:hint="eastAsia" w:ascii="仿宋" w:hAnsi="仿宋" w:eastAsia="仿宋"/>
          <w:color w:val="000000"/>
          <w:sz w:val="32"/>
          <w:szCs w:val="32"/>
        </w:rPr>
        <w:t>万元、公务员医疗补助缴费</w:t>
      </w:r>
      <w:r>
        <w:rPr>
          <w:rFonts w:ascii="仿宋" w:hAnsi="仿宋" w:eastAsia="仿宋"/>
          <w:color w:val="000000"/>
          <w:sz w:val="32"/>
          <w:szCs w:val="32"/>
        </w:rPr>
        <w:t>5.42</w:t>
      </w:r>
      <w:r>
        <w:rPr>
          <w:rFonts w:hint="eastAsia" w:ascii="仿宋" w:hAnsi="仿宋" w:eastAsia="仿宋"/>
          <w:color w:val="000000"/>
          <w:sz w:val="32"/>
          <w:szCs w:val="32"/>
        </w:rPr>
        <w:t>万元、其他社会保障缴费</w:t>
      </w:r>
      <w:r>
        <w:rPr>
          <w:rFonts w:ascii="仿宋" w:hAnsi="仿宋" w:eastAsia="仿宋"/>
          <w:color w:val="000000"/>
          <w:sz w:val="32"/>
          <w:szCs w:val="32"/>
        </w:rPr>
        <w:t>93.68</w:t>
      </w:r>
      <w:r>
        <w:rPr>
          <w:rFonts w:hint="eastAsia" w:ascii="仿宋" w:hAnsi="仿宋" w:eastAsia="仿宋"/>
          <w:color w:val="000000"/>
          <w:sz w:val="32"/>
          <w:szCs w:val="32"/>
        </w:rPr>
        <w:t>万元、其他工资福利支出</w:t>
      </w:r>
      <w:r>
        <w:rPr>
          <w:rFonts w:ascii="仿宋" w:hAnsi="仿宋" w:eastAsia="仿宋"/>
          <w:color w:val="000000"/>
          <w:sz w:val="32"/>
          <w:szCs w:val="32"/>
        </w:rPr>
        <w:t>7.10</w:t>
      </w:r>
      <w:r>
        <w:rPr>
          <w:rFonts w:hint="eastAsia" w:ascii="仿宋" w:hAnsi="仿宋" w:eastAsia="仿宋"/>
          <w:color w:val="000000"/>
          <w:sz w:val="32"/>
          <w:szCs w:val="32"/>
        </w:rPr>
        <w:t>万元、离休费</w:t>
      </w:r>
      <w:r>
        <w:rPr>
          <w:rFonts w:ascii="仿宋" w:hAnsi="仿宋" w:eastAsia="仿宋"/>
          <w:color w:val="000000"/>
          <w:sz w:val="32"/>
          <w:szCs w:val="32"/>
        </w:rPr>
        <w:t>36.13</w:t>
      </w:r>
      <w:r>
        <w:rPr>
          <w:rFonts w:hint="eastAsia" w:ascii="仿宋" w:hAnsi="仿宋" w:eastAsia="仿宋"/>
          <w:color w:val="000000"/>
          <w:sz w:val="32"/>
          <w:szCs w:val="32"/>
        </w:rPr>
        <w:t>万元、退休费</w:t>
      </w:r>
      <w:r>
        <w:rPr>
          <w:rFonts w:ascii="仿宋" w:hAnsi="仿宋" w:eastAsia="仿宋"/>
          <w:color w:val="000000"/>
          <w:sz w:val="32"/>
          <w:szCs w:val="32"/>
        </w:rPr>
        <w:t>99.67</w:t>
      </w:r>
      <w:r>
        <w:rPr>
          <w:rFonts w:hint="eastAsia" w:ascii="仿宋" w:hAnsi="仿宋" w:eastAsia="仿宋"/>
          <w:color w:val="000000"/>
          <w:sz w:val="32"/>
          <w:szCs w:val="32"/>
        </w:rPr>
        <w:t>万元、抚恤金</w:t>
      </w:r>
      <w:r>
        <w:rPr>
          <w:rFonts w:ascii="仿宋" w:hAnsi="仿宋" w:eastAsia="仿宋"/>
          <w:color w:val="000000"/>
          <w:sz w:val="32"/>
          <w:szCs w:val="32"/>
        </w:rPr>
        <w:t>40.73</w:t>
      </w:r>
      <w:r>
        <w:rPr>
          <w:rFonts w:hint="eastAsia" w:ascii="仿宋" w:hAnsi="仿宋" w:eastAsia="仿宋"/>
          <w:color w:val="000000"/>
          <w:sz w:val="32"/>
          <w:szCs w:val="32"/>
        </w:rPr>
        <w:t>万元、生活补助</w:t>
      </w:r>
      <w:r>
        <w:rPr>
          <w:rFonts w:ascii="仿宋" w:hAnsi="仿宋" w:eastAsia="仿宋"/>
          <w:color w:val="000000"/>
          <w:sz w:val="32"/>
          <w:szCs w:val="32"/>
        </w:rPr>
        <w:t>8.26</w:t>
      </w:r>
      <w:r>
        <w:rPr>
          <w:rFonts w:hint="eastAsia" w:ascii="仿宋" w:hAnsi="仿宋" w:eastAsia="仿宋"/>
          <w:color w:val="000000"/>
          <w:sz w:val="32"/>
          <w:szCs w:val="32"/>
        </w:rPr>
        <w:t>万元、医疗费</w:t>
      </w:r>
      <w:r>
        <w:rPr>
          <w:rFonts w:ascii="仿宋" w:hAnsi="仿宋" w:eastAsia="仿宋"/>
          <w:color w:val="000000"/>
          <w:sz w:val="32"/>
          <w:szCs w:val="32"/>
        </w:rPr>
        <w:t>0.37</w:t>
      </w:r>
      <w:r>
        <w:rPr>
          <w:rFonts w:hint="eastAsia" w:ascii="仿宋" w:hAnsi="仿宋" w:eastAsia="仿宋"/>
          <w:color w:val="000000"/>
          <w:sz w:val="32"/>
          <w:szCs w:val="32"/>
        </w:rPr>
        <w:t>万元、住房公积金</w:t>
      </w:r>
      <w:r>
        <w:rPr>
          <w:rFonts w:ascii="仿宋" w:hAnsi="仿宋" w:eastAsia="仿宋"/>
          <w:color w:val="000000"/>
          <w:sz w:val="32"/>
          <w:szCs w:val="32"/>
        </w:rPr>
        <w:t>114.19</w:t>
      </w:r>
      <w:r>
        <w:rPr>
          <w:rFonts w:hint="eastAsia" w:ascii="仿宋" w:hAnsi="仿宋" w:eastAsia="仿宋"/>
          <w:color w:val="000000"/>
          <w:sz w:val="32"/>
          <w:szCs w:val="32"/>
        </w:rPr>
        <w:t>万元、其他对个人和家庭的补助支出</w:t>
      </w:r>
      <w:r>
        <w:rPr>
          <w:rFonts w:ascii="仿宋" w:hAnsi="仿宋" w:eastAsia="仿宋"/>
          <w:color w:val="000000"/>
          <w:sz w:val="32"/>
          <w:szCs w:val="32"/>
        </w:rPr>
        <w:t>3.95</w:t>
      </w:r>
      <w:r>
        <w:rPr>
          <w:rFonts w:hint="eastAsia" w:ascii="仿宋" w:hAnsi="仿宋" w:eastAsia="仿宋"/>
          <w:color w:val="000000"/>
          <w:sz w:val="32"/>
          <w:szCs w:val="32"/>
        </w:rPr>
        <w:t>万元、救济费</w:t>
      </w:r>
      <w:r>
        <w:rPr>
          <w:rFonts w:ascii="仿宋" w:hAnsi="仿宋" w:eastAsia="仿宋"/>
          <w:color w:val="000000"/>
          <w:sz w:val="32"/>
          <w:szCs w:val="32"/>
        </w:rPr>
        <w:t>1.00</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173.64</w:t>
      </w:r>
      <w:r>
        <w:rPr>
          <w:rFonts w:hint="eastAsia" w:ascii="仿宋" w:hAnsi="仿宋" w:eastAsia="仿宋"/>
          <w:color w:val="000000"/>
          <w:sz w:val="32"/>
          <w:szCs w:val="32"/>
        </w:rPr>
        <w:t>万元，主要包括：办公费</w:t>
      </w:r>
      <w:r>
        <w:rPr>
          <w:rFonts w:ascii="仿宋" w:hAnsi="仿宋" w:eastAsia="仿宋"/>
          <w:color w:val="000000"/>
          <w:sz w:val="32"/>
          <w:szCs w:val="32"/>
        </w:rPr>
        <w:t>17.09</w:t>
      </w:r>
      <w:r>
        <w:rPr>
          <w:rFonts w:hint="eastAsia" w:ascii="仿宋" w:hAnsi="仿宋" w:eastAsia="仿宋"/>
          <w:color w:val="000000"/>
          <w:sz w:val="32"/>
          <w:szCs w:val="32"/>
        </w:rPr>
        <w:t>万元、印刷费</w:t>
      </w:r>
      <w:r>
        <w:rPr>
          <w:rFonts w:ascii="仿宋" w:hAnsi="仿宋" w:eastAsia="仿宋"/>
          <w:color w:val="000000"/>
          <w:sz w:val="32"/>
          <w:szCs w:val="32"/>
        </w:rPr>
        <w:t>0.04</w:t>
      </w:r>
      <w:r>
        <w:rPr>
          <w:rFonts w:hint="eastAsia" w:ascii="仿宋" w:hAnsi="仿宋" w:eastAsia="仿宋"/>
          <w:color w:val="000000"/>
          <w:sz w:val="32"/>
          <w:szCs w:val="32"/>
        </w:rPr>
        <w:t>万元、咨询费</w:t>
      </w:r>
      <w:r>
        <w:rPr>
          <w:rFonts w:ascii="仿宋" w:hAnsi="仿宋" w:eastAsia="仿宋"/>
          <w:color w:val="000000"/>
          <w:sz w:val="32"/>
          <w:szCs w:val="32"/>
        </w:rPr>
        <w:t>6.07</w:t>
      </w:r>
      <w:r>
        <w:rPr>
          <w:rFonts w:hint="eastAsia" w:ascii="仿宋" w:hAnsi="仿宋" w:eastAsia="仿宋"/>
          <w:color w:val="000000"/>
          <w:sz w:val="32"/>
          <w:szCs w:val="32"/>
        </w:rPr>
        <w:t>万元、手续费</w:t>
      </w:r>
      <w:r>
        <w:rPr>
          <w:rFonts w:ascii="仿宋" w:hAnsi="仿宋" w:eastAsia="仿宋"/>
          <w:color w:val="000000"/>
          <w:sz w:val="32"/>
          <w:szCs w:val="32"/>
        </w:rPr>
        <w:t>0.21</w:t>
      </w:r>
      <w:r>
        <w:rPr>
          <w:rFonts w:hint="eastAsia" w:ascii="仿宋" w:hAnsi="仿宋" w:eastAsia="仿宋"/>
          <w:color w:val="000000"/>
          <w:sz w:val="32"/>
          <w:szCs w:val="32"/>
        </w:rPr>
        <w:t>万元、水费</w:t>
      </w:r>
      <w:r>
        <w:rPr>
          <w:rFonts w:ascii="仿宋" w:hAnsi="仿宋" w:eastAsia="仿宋"/>
          <w:color w:val="000000"/>
          <w:sz w:val="32"/>
          <w:szCs w:val="32"/>
        </w:rPr>
        <w:t>0.83</w:t>
      </w:r>
      <w:r>
        <w:rPr>
          <w:rFonts w:hint="eastAsia" w:ascii="仿宋" w:hAnsi="仿宋" w:eastAsia="仿宋"/>
          <w:color w:val="000000"/>
          <w:sz w:val="32"/>
          <w:szCs w:val="32"/>
        </w:rPr>
        <w:t>万元、电费</w:t>
      </w:r>
      <w:r>
        <w:rPr>
          <w:rFonts w:ascii="仿宋" w:hAnsi="仿宋" w:eastAsia="仿宋"/>
          <w:color w:val="000000"/>
          <w:sz w:val="32"/>
          <w:szCs w:val="32"/>
        </w:rPr>
        <w:t>1.39</w:t>
      </w:r>
      <w:r>
        <w:rPr>
          <w:rFonts w:hint="eastAsia" w:ascii="仿宋" w:hAnsi="仿宋" w:eastAsia="仿宋"/>
          <w:color w:val="000000"/>
          <w:sz w:val="32"/>
          <w:szCs w:val="32"/>
        </w:rPr>
        <w:t>万元、邮电费</w:t>
      </w:r>
      <w:r>
        <w:rPr>
          <w:rFonts w:ascii="仿宋" w:hAnsi="仿宋" w:eastAsia="仿宋"/>
          <w:color w:val="000000"/>
          <w:sz w:val="32"/>
          <w:szCs w:val="32"/>
        </w:rPr>
        <w:t>2.93</w:t>
      </w:r>
      <w:r>
        <w:rPr>
          <w:rFonts w:hint="eastAsia" w:ascii="仿宋" w:hAnsi="仿宋" w:eastAsia="仿宋"/>
          <w:color w:val="000000"/>
          <w:sz w:val="32"/>
          <w:szCs w:val="32"/>
        </w:rPr>
        <w:t>万元、取暖费、差旅费</w:t>
      </w:r>
      <w:r>
        <w:rPr>
          <w:rFonts w:ascii="仿宋" w:hAnsi="仿宋" w:eastAsia="仿宋"/>
          <w:color w:val="000000"/>
          <w:sz w:val="32"/>
          <w:szCs w:val="32"/>
        </w:rPr>
        <w:t>23.15</w:t>
      </w:r>
      <w:r>
        <w:rPr>
          <w:rFonts w:hint="eastAsia" w:ascii="仿宋" w:hAnsi="仿宋" w:eastAsia="仿宋"/>
          <w:color w:val="000000"/>
          <w:sz w:val="32"/>
          <w:szCs w:val="32"/>
        </w:rPr>
        <w:t>万元、维修（护）费</w:t>
      </w:r>
      <w:r>
        <w:rPr>
          <w:rFonts w:ascii="仿宋" w:hAnsi="仿宋" w:eastAsia="仿宋"/>
          <w:color w:val="000000"/>
          <w:sz w:val="32"/>
          <w:szCs w:val="32"/>
        </w:rPr>
        <w:t>1.95</w:t>
      </w:r>
      <w:r>
        <w:rPr>
          <w:rFonts w:hint="eastAsia" w:ascii="仿宋" w:hAnsi="仿宋" w:eastAsia="仿宋"/>
          <w:color w:val="000000"/>
          <w:sz w:val="32"/>
          <w:szCs w:val="32"/>
        </w:rPr>
        <w:t>万元、租赁费、会议费</w:t>
      </w:r>
      <w:r>
        <w:rPr>
          <w:rFonts w:ascii="仿宋" w:hAnsi="仿宋" w:eastAsia="仿宋"/>
          <w:color w:val="000000"/>
          <w:sz w:val="32"/>
          <w:szCs w:val="32"/>
        </w:rPr>
        <w:t>0.23</w:t>
      </w:r>
      <w:r>
        <w:rPr>
          <w:rFonts w:hint="eastAsia" w:ascii="仿宋" w:hAnsi="仿宋" w:eastAsia="仿宋"/>
          <w:color w:val="000000"/>
          <w:sz w:val="32"/>
          <w:szCs w:val="32"/>
        </w:rPr>
        <w:t>万元、培训费</w:t>
      </w:r>
      <w:r>
        <w:rPr>
          <w:rFonts w:ascii="仿宋" w:hAnsi="仿宋" w:eastAsia="仿宋"/>
          <w:color w:val="000000"/>
          <w:sz w:val="32"/>
          <w:szCs w:val="32"/>
        </w:rPr>
        <w:t>0.43</w:t>
      </w:r>
      <w:r>
        <w:rPr>
          <w:rFonts w:hint="eastAsia" w:ascii="仿宋" w:hAnsi="仿宋" w:eastAsia="仿宋"/>
          <w:color w:val="000000"/>
          <w:sz w:val="32"/>
          <w:szCs w:val="32"/>
        </w:rPr>
        <w:t>万元、公务接待费</w:t>
      </w:r>
      <w:r>
        <w:rPr>
          <w:rFonts w:ascii="仿宋" w:hAnsi="仿宋" w:eastAsia="仿宋"/>
          <w:color w:val="000000"/>
          <w:sz w:val="32"/>
          <w:szCs w:val="32"/>
        </w:rPr>
        <w:t>1.37</w:t>
      </w:r>
      <w:r>
        <w:rPr>
          <w:rFonts w:hint="eastAsia" w:ascii="仿宋" w:hAnsi="仿宋" w:eastAsia="仿宋"/>
          <w:color w:val="000000"/>
          <w:sz w:val="32"/>
          <w:szCs w:val="32"/>
        </w:rPr>
        <w:t>万元、劳务费</w:t>
      </w:r>
      <w:r>
        <w:rPr>
          <w:rFonts w:ascii="仿宋" w:hAnsi="仿宋" w:eastAsia="仿宋"/>
          <w:color w:val="000000"/>
          <w:sz w:val="32"/>
          <w:szCs w:val="32"/>
        </w:rPr>
        <w:t>3.31</w:t>
      </w:r>
      <w:r>
        <w:rPr>
          <w:rFonts w:hint="eastAsia" w:ascii="仿宋" w:hAnsi="仿宋" w:eastAsia="仿宋"/>
          <w:color w:val="000000"/>
          <w:sz w:val="32"/>
          <w:szCs w:val="32"/>
        </w:rPr>
        <w:t>万元、委托业务费</w:t>
      </w:r>
      <w:r>
        <w:rPr>
          <w:rFonts w:ascii="仿宋" w:hAnsi="仿宋" w:eastAsia="仿宋"/>
          <w:color w:val="000000"/>
          <w:sz w:val="32"/>
          <w:szCs w:val="32"/>
        </w:rPr>
        <w:t>12.15</w:t>
      </w:r>
      <w:r>
        <w:rPr>
          <w:rFonts w:hint="eastAsia" w:ascii="仿宋" w:hAnsi="仿宋" w:eastAsia="仿宋"/>
          <w:color w:val="000000"/>
          <w:sz w:val="32"/>
          <w:szCs w:val="32"/>
        </w:rPr>
        <w:t>万元、工会经费</w:t>
      </w:r>
      <w:r>
        <w:rPr>
          <w:rFonts w:ascii="仿宋" w:hAnsi="仿宋" w:eastAsia="仿宋"/>
          <w:color w:val="000000"/>
          <w:sz w:val="32"/>
          <w:szCs w:val="32"/>
        </w:rPr>
        <w:t>8.62</w:t>
      </w:r>
      <w:r>
        <w:rPr>
          <w:rFonts w:hint="eastAsia" w:ascii="仿宋" w:hAnsi="仿宋" w:eastAsia="仿宋"/>
          <w:color w:val="000000"/>
          <w:sz w:val="32"/>
          <w:szCs w:val="32"/>
        </w:rPr>
        <w:t>万元、福利费</w:t>
      </w:r>
      <w:r>
        <w:rPr>
          <w:rFonts w:ascii="仿宋" w:hAnsi="仿宋" w:eastAsia="仿宋"/>
          <w:color w:val="000000"/>
          <w:sz w:val="32"/>
          <w:szCs w:val="32"/>
        </w:rPr>
        <w:t>24.56</w:t>
      </w:r>
      <w:r>
        <w:rPr>
          <w:rFonts w:hint="eastAsia" w:ascii="仿宋" w:hAnsi="仿宋" w:eastAsia="仿宋"/>
          <w:color w:val="000000"/>
          <w:sz w:val="32"/>
          <w:szCs w:val="32"/>
        </w:rPr>
        <w:t>万元、公务用车运行维护费</w:t>
      </w:r>
      <w:r>
        <w:rPr>
          <w:rFonts w:ascii="仿宋" w:hAnsi="仿宋" w:eastAsia="仿宋"/>
          <w:color w:val="000000"/>
          <w:sz w:val="32"/>
          <w:szCs w:val="32"/>
        </w:rPr>
        <w:t>9.97</w:t>
      </w:r>
      <w:r>
        <w:rPr>
          <w:rFonts w:hint="eastAsia" w:ascii="仿宋" w:hAnsi="仿宋" w:eastAsia="仿宋"/>
          <w:color w:val="000000"/>
          <w:sz w:val="32"/>
          <w:szCs w:val="32"/>
        </w:rPr>
        <w:t>万元、其他交通费</w:t>
      </w:r>
      <w:r>
        <w:rPr>
          <w:rFonts w:ascii="仿宋" w:hAnsi="仿宋" w:eastAsia="仿宋"/>
          <w:color w:val="000000"/>
          <w:sz w:val="32"/>
          <w:szCs w:val="32"/>
        </w:rPr>
        <w:t>36.54</w:t>
      </w:r>
      <w:r>
        <w:rPr>
          <w:rFonts w:hint="eastAsia" w:ascii="仿宋" w:hAnsi="仿宋" w:eastAsia="仿宋"/>
          <w:color w:val="000000"/>
          <w:sz w:val="32"/>
          <w:szCs w:val="32"/>
        </w:rPr>
        <w:t>万元、税金及附加费用、其他商品和服务支出</w:t>
      </w:r>
      <w:r>
        <w:rPr>
          <w:rFonts w:ascii="仿宋" w:hAnsi="仿宋" w:eastAsia="仿宋"/>
          <w:color w:val="000000"/>
          <w:sz w:val="32"/>
          <w:szCs w:val="32"/>
        </w:rPr>
        <w:t>22.8</w:t>
      </w:r>
      <w:r>
        <w:rPr>
          <w:rFonts w:hint="eastAsia" w:ascii="仿宋" w:hAnsi="仿宋" w:eastAsia="仿宋"/>
          <w:color w:val="000000"/>
          <w:sz w:val="32"/>
          <w:szCs w:val="32"/>
        </w:rPr>
        <w:t>万元。</w:t>
      </w:r>
    </w:p>
    <w:p>
      <w:pPr>
        <w:spacing w:line="600" w:lineRule="exact"/>
        <w:ind w:firstLine="640"/>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07</w:t>
      </w:r>
      <w:r>
        <w:rPr>
          <w:rFonts w:hint="eastAsia" w:ascii="仿宋" w:hAnsi="仿宋" w:eastAsia="仿宋"/>
          <w:b/>
          <w:color w:val="FFC000"/>
          <w:sz w:val="32"/>
          <w:szCs w:val="32"/>
        </w:rPr>
        <w:t>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16"/>
          <w:rFonts w:ascii="黑体" w:hAnsi="黑体" w:eastAsia="黑体"/>
          <w:b w:val="0"/>
        </w:rPr>
      </w:pPr>
      <w:bookmarkStart w:id="32" w:name="_Toc15396609"/>
      <w:bookmarkStart w:id="33" w:name="_Toc15377215"/>
      <w:r>
        <w:rPr>
          <w:rFonts w:hint="eastAsia" w:ascii="黑体" w:eastAsia="黑体"/>
          <w:color w:val="000000"/>
          <w:sz w:val="32"/>
          <w:szCs w:val="32"/>
        </w:rPr>
        <w:t>七、</w:t>
      </w:r>
      <w:r>
        <w:rPr>
          <w:rStyle w:val="16"/>
          <w:rFonts w:hint="eastAsia" w:ascii="黑体" w:hAnsi="黑体" w:eastAsia="黑体"/>
        </w:rPr>
        <w:t>“三公”经费财政拨款支出决算情况说明</w:t>
      </w:r>
      <w:bookmarkEnd w:id="32"/>
      <w:bookmarkEnd w:id="33"/>
    </w:p>
    <w:p>
      <w:pPr>
        <w:spacing w:line="600" w:lineRule="exact"/>
        <w:ind w:firstLine="640"/>
        <w:outlineLvl w:val="2"/>
        <w:rPr>
          <w:rFonts w:ascii="仿宋" w:hAnsi="仿宋" w:eastAsia="仿宋"/>
          <w:b/>
          <w:color w:val="000000"/>
          <w:sz w:val="32"/>
          <w:szCs w:val="32"/>
        </w:rPr>
      </w:pPr>
      <w:bookmarkStart w:id="34" w:name="_Toc15377216"/>
      <w:r>
        <w:rPr>
          <w:rFonts w:hint="eastAsia" w:ascii="仿宋" w:hAnsi="仿宋" w:eastAsia="仿宋"/>
          <w:b/>
          <w:color w:val="000000"/>
          <w:sz w:val="32"/>
          <w:szCs w:val="32"/>
        </w:rPr>
        <w:t>（一）“三公”经费财政拨款支出决算总体情况说明</w:t>
      </w:r>
      <w:bookmarkEnd w:id="34"/>
    </w:p>
    <w:p>
      <w:pPr>
        <w:ind w:firstLine="720" w:firstLineChars="225"/>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22.06</w:t>
      </w:r>
      <w:r>
        <w:rPr>
          <w:rFonts w:hint="eastAsia" w:ascii="仿宋" w:hAnsi="仿宋" w:eastAsia="仿宋"/>
          <w:color w:val="000000"/>
          <w:sz w:val="32"/>
          <w:szCs w:val="32"/>
        </w:rPr>
        <w:t>万元，完成预算</w:t>
      </w:r>
      <w:r>
        <w:rPr>
          <w:rFonts w:ascii="仿宋" w:hAnsi="仿宋" w:eastAsia="仿宋"/>
          <w:color w:val="000000"/>
          <w:sz w:val="32"/>
          <w:szCs w:val="32"/>
        </w:rPr>
        <w:t>78.87%</w:t>
      </w:r>
      <w:r>
        <w:rPr>
          <w:rFonts w:hint="eastAsia" w:ascii="仿宋" w:hAnsi="仿宋" w:eastAsia="仿宋"/>
          <w:color w:val="000000"/>
          <w:sz w:val="32"/>
          <w:szCs w:val="32"/>
        </w:rPr>
        <w:t>，决算数小于预算数的主要原因一是</w:t>
      </w:r>
      <w:r>
        <w:rPr>
          <w:rFonts w:hint="eastAsia" w:ascii="仿宋" w:hAnsi="仿宋" w:eastAsia="仿宋"/>
          <w:color w:val="333333"/>
          <w:sz w:val="32"/>
          <w:szCs w:val="32"/>
        </w:rPr>
        <w:t>坚决贯彻执行中央八项规定和省、市“十项规定”以及《党政机关厉行节约反对浪费条例》等相关规定，单位接待人数、批次减少，二是</w:t>
      </w:r>
      <w:r>
        <w:rPr>
          <w:rFonts w:hint="eastAsia" w:ascii="仿宋" w:hAnsi="仿宋" w:eastAsia="仿宋"/>
          <w:sz w:val="32"/>
          <w:szCs w:val="32"/>
        </w:rPr>
        <w:t>加强公务用车的管理制定严格的公务车使用制度，提高了公务车的使用效率。</w:t>
      </w:r>
    </w:p>
    <w:p>
      <w:pPr>
        <w:spacing w:line="600" w:lineRule="exact"/>
        <w:ind w:firstLine="640"/>
        <w:rPr>
          <w:rFonts w:ascii="仿宋_GB2312" w:eastAsia="仿宋_GB2312"/>
          <w:color w:val="FFC000"/>
          <w:sz w:val="32"/>
          <w:szCs w:val="32"/>
        </w:rPr>
      </w:pPr>
      <w:r>
        <w:rPr>
          <w:rFonts w:ascii="仿宋_GB2312" w:eastAsia="仿宋_GB2312"/>
          <w:color w:val="000000"/>
          <w:sz w:val="32"/>
          <w:szCs w:val="32"/>
        </w:rPr>
        <w:t xml:space="preserve"> </w:t>
      </w:r>
      <w:r>
        <w:rPr>
          <w:rFonts w:hint="eastAsia" w:ascii="仿宋" w:hAnsi="仿宋" w:eastAsia="仿宋"/>
          <w:b/>
          <w:color w:val="FFC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35" w:name="_Toc15377217"/>
      <w:r>
        <w:rPr>
          <w:rFonts w:hint="eastAsia" w:ascii="仿宋" w:hAnsi="仿宋" w:eastAsia="仿宋"/>
          <w:b/>
          <w:color w:val="000000"/>
          <w:sz w:val="32"/>
          <w:szCs w:val="32"/>
        </w:rPr>
        <w:t>（二）“三公”经费财政拨款支出决算具体情况说明</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3.19</w:t>
      </w:r>
      <w:r>
        <w:rPr>
          <w:rFonts w:hint="eastAsia" w:ascii="仿宋" w:hAnsi="仿宋" w:eastAsia="仿宋"/>
          <w:color w:val="000000"/>
          <w:sz w:val="32"/>
          <w:szCs w:val="32"/>
        </w:rPr>
        <w:t>万元，占</w:t>
      </w:r>
      <w:r>
        <w:rPr>
          <w:rFonts w:ascii="仿宋" w:hAnsi="仿宋" w:eastAsia="仿宋"/>
          <w:color w:val="000000"/>
          <w:sz w:val="32"/>
          <w:szCs w:val="32"/>
        </w:rPr>
        <w:t>14.46%</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17.19</w:t>
      </w:r>
      <w:r>
        <w:rPr>
          <w:rFonts w:hint="eastAsia" w:ascii="仿宋" w:hAnsi="仿宋" w:eastAsia="仿宋"/>
          <w:color w:val="000000"/>
          <w:sz w:val="32"/>
          <w:szCs w:val="32"/>
        </w:rPr>
        <w:t>万元，占</w:t>
      </w:r>
      <w:r>
        <w:rPr>
          <w:rFonts w:ascii="仿宋" w:hAnsi="仿宋" w:eastAsia="仿宋"/>
          <w:color w:val="000000"/>
          <w:sz w:val="32"/>
          <w:szCs w:val="32"/>
        </w:rPr>
        <w:t>77.92%</w:t>
      </w:r>
      <w:r>
        <w:rPr>
          <w:rFonts w:hint="eastAsia" w:ascii="仿宋" w:hAnsi="仿宋" w:eastAsia="仿宋"/>
          <w:color w:val="000000"/>
          <w:sz w:val="32"/>
          <w:szCs w:val="32"/>
        </w:rPr>
        <w:t>；公务接待费支出决算</w:t>
      </w:r>
      <w:r>
        <w:rPr>
          <w:rFonts w:ascii="仿宋" w:hAnsi="仿宋" w:eastAsia="仿宋"/>
          <w:color w:val="000000"/>
          <w:sz w:val="32"/>
          <w:szCs w:val="32"/>
        </w:rPr>
        <w:t>1.68</w:t>
      </w:r>
      <w:r>
        <w:rPr>
          <w:rFonts w:hint="eastAsia" w:ascii="仿宋" w:hAnsi="仿宋" w:eastAsia="仿宋"/>
          <w:color w:val="000000"/>
          <w:sz w:val="32"/>
          <w:szCs w:val="32"/>
        </w:rPr>
        <w:t>万元，占</w:t>
      </w:r>
      <w:r>
        <w:rPr>
          <w:rFonts w:ascii="仿宋" w:hAnsi="仿宋" w:eastAsia="仿宋"/>
          <w:color w:val="000000"/>
          <w:sz w:val="32"/>
          <w:szCs w:val="32"/>
        </w:rPr>
        <w:t>7.62%</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                              </w:t>
      </w:r>
    </w:p>
    <w:p>
      <w:pPr>
        <w:snapToGrid w:val="0"/>
        <w:rPr>
          <w:rFonts w:ascii="华文中宋" w:hAnsi="华文中宋" w:eastAsia="华文中宋"/>
          <w:sz w:val="36"/>
          <w:szCs w:val="36"/>
        </w:rPr>
      </w:pPr>
      <w:r>
        <w:object>
          <v:shape id="_x0000_i1032" o:spt="75" type="#_x0000_t75" style="height:176.25pt;width:423.75pt;" o:ole="t" filled="f" o:preferrelative="t" stroked="f" coordsize="21600,21600">
            <v:path/>
            <v:fill on="f" focussize="0,0"/>
            <v:stroke on="f" joinstyle="miter"/>
            <v:imagedata r:id="rId19" o:title=""/>
            <o:lock v:ext="edit" aspectratio="f"/>
            <w10:wrap type="none"/>
            <w10:anchorlock/>
          </v:shape>
          <o:OLEObject Type="Embed" ProgID="Excel.Chart.8" ShapeID="_x0000_i1032" DrawAspect="Content" ObjectID="_1468075732" r:id="rId18">
            <o:LockedField>false</o:LockedField>
          </o:OLEObject>
        </w:object>
      </w:r>
    </w:p>
    <w:p>
      <w:pPr>
        <w:ind w:firstLine="643" w:firstLineChars="200"/>
        <w:rPr>
          <w:rFonts w:ascii="仿宋_GB2312" w:eastAsia="仿宋_GB2312"/>
          <w:b/>
          <w:color w:val="000000"/>
          <w:sz w:val="32"/>
          <w:szCs w:val="32"/>
        </w:rPr>
      </w:pPr>
    </w:p>
    <w:p>
      <w:pPr>
        <w:ind w:firstLine="643" w:firstLineChars="200"/>
        <w:rPr>
          <w:rFonts w:ascii="仿宋_GB2312" w:eastAsia="仿宋_GB2312"/>
          <w:b/>
          <w:color w:val="000000"/>
          <w:sz w:val="32"/>
          <w:szCs w:val="32"/>
        </w:rPr>
      </w:pPr>
    </w:p>
    <w:p>
      <w:pPr>
        <w:ind w:firstLine="643" w:firstLineChars="200"/>
        <w:rPr>
          <w:rFonts w:ascii="仿宋" w:hAnsi="仿宋" w:eastAsia="仿宋"/>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ascii="仿宋" w:hAnsi="仿宋" w:eastAsia="仿宋"/>
          <w:color w:val="000000"/>
          <w:sz w:val="32"/>
          <w:szCs w:val="32"/>
        </w:rPr>
        <w:t>3.19</w:t>
      </w:r>
      <w:r>
        <w:rPr>
          <w:rFonts w:hint="eastAsia" w:ascii="仿宋" w:hAnsi="仿宋" w:eastAsia="仿宋"/>
          <w:color w:val="000000"/>
          <w:sz w:val="32"/>
          <w:szCs w:val="32"/>
        </w:rPr>
        <w:t>万元，</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100%</w:t>
      </w:r>
      <w:r>
        <w:rPr>
          <w:rStyle w:val="13"/>
          <w:rFonts w:hint="eastAsia" w:ascii="仿宋" w:hAnsi="仿宋" w:eastAsia="仿宋"/>
          <w:bCs/>
          <w:color w:val="000000"/>
          <w:sz w:val="32"/>
          <w:szCs w:val="32"/>
        </w:rPr>
        <w:t>。</w:t>
      </w:r>
      <w:r>
        <w:rPr>
          <w:rFonts w:hint="eastAsia" w:ascii="仿宋" w:hAnsi="仿宋" w:eastAsia="仿宋"/>
          <w:color w:val="000000"/>
          <w:sz w:val="32"/>
          <w:szCs w:val="32"/>
        </w:rPr>
        <w:t>全年安排因公出国（境）团组</w:t>
      </w:r>
      <w:r>
        <w:rPr>
          <w:rFonts w:ascii="仿宋" w:hAnsi="仿宋" w:eastAsia="仿宋"/>
          <w:color w:val="000000"/>
          <w:sz w:val="32"/>
          <w:szCs w:val="32"/>
        </w:rPr>
        <w:t>2</w:t>
      </w:r>
      <w:r>
        <w:rPr>
          <w:rFonts w:hint="eastAsia" w:ascii="仿宋" w:hAnsi="仿宋" w:eastAsia="仿宋"/>
          <w:color w:val="000000"/>
          <w:sz w:val="32"/>
          <w:szCs w:val="32"/>
        </w:rPr>
        <w:t>次，出国（境）</w:t>
      </w:r>
      <w:r>
        <w:rPr>
          <w:rFonts w:ascii="仿宋" w:hAnsi="仿宋" w:eastAsia="仿宋"/>
          <w:color w:val="000000"/>
          <w:sz w:val="32"/>
          <w:szCs w:val="32"/>
        </w:rPr>
        <w:t>2</w:t>
      </w:r>
      <w:r>
        <w:rPr>
          <w:rFonts w:hint="eastAsia" w:ascii="仿宋" w:hAnsi="仿宋" w:eastAsia="仿宋"/>
          <w:color w:val="000000"/>
          <w:sz w:val="32"/>
          <w:szCs w:val="32"/>
        </w:rPr>
        <w:t>人。因公出国（境）支出决算比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3.19</w:t>
      </w:r>
      <w:r>
        <w:rPr>
          <w:rFonts w:hint="eastAsia" w:ascii="仿宋" w:hAnsi="仿宋" w:eastAsia="仿宋"/>
          <w:color w:val="000000"/>
          <w:sz w:val="32"/>
          <w:szCs w:val="32"/>
        </w:rPr>
        <w:t>万元，增涨</w:t>
      </w:r>
      <w:r>
        <w:rPr>
          <w:rFonts w:ascii="仿宋" w:hAnsi="仿宋" w:eastAsia="仿宋"/>
          <w:color w:val="000000"/>
          <w:sz w:val="32"/>
          <w:szCs w:val="32"/>
        </w:rPr>
        <w:t>100%</w:t>
      </w:r>
      <w:r>
        <w:rPr>
          <w:rFonts w:hint="eastAsia" w:ascii="仿宋" w:hAnsi="仿宋" w:eastAsia="仿宋"/>
          <w:color w:val="000000"/>
          <w:sz w:val="32"/>
          <w:szCs w:val="32"/>
        </w:rPr>
        <w:t>。主要原因一是</w:t>
      </w:r>
      <w:r>
        <w:rPr>
          <w:rFonts w:ascii="仿宋" w:hAnsi="仿宋" w:eastAsia="仿宋"/>
          <w:color w:val="000000"/>
          <w:sz w:val="32"/>
          <w:szCs w:val="32"/>
        </w:rPr>
        <w:t>2018</w:t>
      </w:r>
      <w:r>
        <w:rPr>
          <w:rFonts w:hint="eastAsia" w:ascii="仿宋" w:hAnsi="仿宋" w:eastAsia="仿宋"/>
          <w:color w:val="000000"/>
          <w:sz w:val="32"/>
          <w:szCs w:val="32"/>
        </w:rPr>
        <w:t>年为</w:t>
      </w:r>
      <w:r>
        <w:rPr>
          <w:rFonts w:hint="eastAsia" w:ascii="仿宋" w:hAnsi="仿宋" w:eastAsia="仿宋"/>
          <w:sz w:val="32"/>
          <w:szCs w:val="32"/>
        </w:rPr>
        <w:t>推进科技与金融结合，搭建桥梁，促进银企合作，推进知识产权质押融资</w:t>
      </w:r>
      <w:r>
        <w:rPr>
          <w:rFonts w:hint="eastAsia" w:ascii="仿宋" w:hAnsi="仿宋" w:eastAsia="仿宋"/>
          <w:color w:val="000000"/>
          <w:sz w:val="32"/>
          <w:szCs w:val="32"/>
        </w:rPr>
        <w:t>，</w:t>
      </w:r>
      <w:r>
        <w:rPr>
          <w:rFonts w:hint="eastAsia" w:ascii="仿宋" w:hAnsi="仿宋" w:eastAsia="仿宋"/>
          <w:sz w:val="32"/>
          <w:szCs w:val="32"/>
        </w:rPr>
        <w:t>西区天脉科技与科技支行达成</w:t>
      </w:r>
      <w:r>
        <w:rPr>
          <w:rFonts w:ascii="仿宋" w:hAnsi="仿宋" w:eastAsia="仿宋"/>
          <w:sz w:val="32"/>
          <w:szCs w:val="32"/>
        </w:rPr>
        <w:t xml:space="preserve"> 800 </w:t>
      </w:r>
      <w:r>
        <w:rPr>
          <w:rFonts w:hint="eastAsia" w:ascii="仿宋" w:hAnsi="仿宋" w:eastAsia="仿宋"/>
          <w:sz w:val="32"/>
          <w:szCs w:val="32"/>
        </w:rPr>
        <w:t>万元融资协议，邮储银行为秉扬科技公司、鸿海科技公司增信</w:t>
      </w:r>
      <w:r>
        <w:rPr>
          <w:rFonts w:ascii="仿宋" w:hAnsi="仿宋" w:eastAsia="仿宋"/>
          <w:sz w:val="32"/>
          <w:szCs w:val="32"/>
        </w:rPr>
        <w:t xml:space="preserve"> 1400</w:t>
      </w:r>
      <w:r>
        <w:rPr>
          <w:rFonts w:hint="eastAsia" w:ascii="仿宋" w:hAnsi="仿宋" w:eastAsia="仿宋"/>
          <w:sz w:val="32"/>
          <w:szCs w:val="32"/>
        </w:rPr>
        <w:t>万元。全年实现专利质押融资贷款</w:t>
      </w:r>
      <w:r>
        <w:rPr>
          <w:rFonts w:ascii="仿宋" w:hAnsi="仿宋" w:eastAsia="仿宋"/>
          <w:sz w:val="32"/>
          <w:szCs w:val="32"/>
        </w:rPr>
        <w:t xml:space="preserve">300 </w:t>
      </w:r>
      <w:r>
        <w:rPr>
          <w:rFonts w:hint="eastAsia" w:ascii="仿宋" w:hAnsi="仿宋" w:eastAsia="仿宋"/>
          <w:sz w:val="32"/>
          <w:szCs w:val="32"/>
        </w:rPr>
        <w:t>万元。二是为进一步加强攀枝花与乌克兰在钛领域的合作和人才交流，健全合作机制，应乌克兰国家科学院巴顿电子焊接研究所拉巴洛夫所长邀请，攀枝花市科学技术和知识产权局副局长兼四川钒钛产业技术研究院常务副院长罗昌轶同志率攀枝花市经济和信息化委员会总经济师杨永彬和攀枝花钒钛高新技术产业园区管委会主任张林一行</w:t>
      </w:r>
      <w:r>
        <w:rPr>
          <w:rFonts w:ascii="仿宋" w:hAnsi="仿宋" w:eastAsia="仿宋"/>
          <w:sz w:val="32"/>
          <w:szCs w:val="32"/>
        </w:rPr>
        <w:t>3</w:t>
      </w:r>
      <w:r>
        <w:rPr>
          <w:rFonts w:hint="eastAsia" w:ascii="仿宋" w:hAnsi="仿宋" w:eastAsia="仿宋"/>
          <w:sz w:val="32"/>
          <w:szCs w:val="32"/>
        </w:rPr>
        <w:t>人，于</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11</w:t>
      </w:r>
      <w:r>
        <w:rPr>
          <w:rFonts w:hint="eastAsia" w:ascii="仿宋" w:hAnsi="仿宋" w:eastAsia="仿宋"/>
          <w:sz w:val="32"/>
          <w:szCs w:val="32"/>
        </w:rPr>
        <w:t>日至</w:t>
      </w:r>
      <w:r>
        <w:rPr>
          <w:rFonts w:ascii="仿宋" w:hAnsi="仿宋" w:eastAsia="仿宋"/>
          <w:sz w:val="32"/>
          <w:szCs w:val="32"/>
        </w:rPr>
        <w:t>15</w:t>
      </w:r>
      <w:r>
        <w:rPr>
          <w:rFonts w:hint="eastAsia" w:ascii="仿宋" w:hAnsi="仿宋" w:eastAsia="仿宋"/>
          <w:sz w:val="32"/>
          <w:szCs w:val="32"/>
        </w:rPr>
        <w:t>日赴乌克兰参加国际会议并进行交流访问。</w:t>
      </w:r>
    </w:p>
    <w:p>
      <w:pPr>
        <w:ind w:firstLine="640" w:firstLineChars="200"/>
        <w:rPr>
          <w:rFonts w:ascii="仿宋" w:hAnsi="仿宋" w:eastAsia="仿宋"/>
          <w:sz w:val="32"/>
          <w:szCs w:val="32"/>
        </w:rPr>
      </w:pPr>
      <w:r>
        <w:rPr>
          <w:rFonts w:hint="eastAsia" w:ascii="仿宋" w:hAnsi="仿宋" w:eastAsia="仿宋"/>
          <w:sz w:val="32"/>
          <w:szCs w:val="32"/>
        </w:rPr>
        <w:t>代表团本次出访乌克兰，参加了在基辅市召开的“乌克兰</w:t>
      </w:r>
      <w:r>
        <w:rPr>
          <w:rFonts w:ascii="仿宋" w:hAnsi="仿宋" w:eastAsia="仿宋"/>
          <w:sz w:val="32"/>
          <w:szCs w:val="32"/>
        </w:rPr>
        <w:t>2018</w:t>
      </w:r>
      <w:r>
        <w:rPr>
          <w:rFonts w:hint="eastAsia" w:ascii="仿宋" w:hAnsi="仿宋" w:eastAsia="仿宋"/>
          <w:sz w:val="32"/>
          <w:szCs w:val="32"/>
        </w:rPr>
        <w:t>年钛合金生产和应用”国际会议，参观了钛的生产和焊接展览，拜访了巴顿研究所、钛锭生产厂和中国驻乌克兰大使馆科技参赞，与乌克兰扎波罗热镁钛联合公司、乌克兰钛研究院、巴顿研究所的专家和工程技术人员进行了座谈，就攀枝花市海绵钛提质增效等技术需求达成了合作意向，为与乌方在钛领域开展更深层次科技合作和人才交流打下了良好基础。</w:t>
      </w:r>
    </w:p>
    <w:p>
      <w:pPr>
        <w:spacing w:line="600" w:lineRule="exact"/>
        <w:ind w:firstLine="64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ascii="仿宋" w:hAnsi="仿宋" w:eastAsia="仿宋"/>
          <w:color w:val="000000"/>
          <w:sz w:val="32"/>
          <w:szCs w:val="32"/>
        </w:rPr>
        <w:t>17.19</w:t>
      </w:r>
      <w:r>
        <w:rPr>
          <w:rFonts w:hint="eastAsia" w:ascii="仿宋" w:hAnsi="仿宋" w:eastAsia="仿宋"/>
          <w:color w:val="000000"/>
          <w:sz w:val="32"/>
          <w:szCs w:val="32"/>
        </w:rPr>
        <w:t>万元</w:t>
      </w:r>
      <w:r>
        <w:rPr>
          <w:rFonts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78.49%</w:t>
      </w:r>
      <w:r>
        <w:rPr>
          <w:rStyle w:val="13"/>
          <w:rFonts w:hint="eastAsia" w:ascii="仿宋" w:hAnsi="仿宋" w:eastAsia="仿宋"/>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9.79</w:t>
      </w:r>
      <w:r>
        <w:rPr>
          <w:rFonts w:hint="eastAsia" w:ascii="仿宋" w:hAnsi="仿宋" w:eastAsia="仿宋"/>
          <w:color w:val="000000"/>
          <w:sz w:val="32"/>
          <w:szCs w:val="32"/>
        </w:rPr>
        <w:t>万元，下降</w:t>
      </w:r>
      <w:r>
        <w:rPr>
          <w:rFonts w:ascii="仿宋" w:hAnsi="仿宋" w:eastAsia="仿宋"/>
          <w:color w:val="000000"/>
          <w:sz w:val="32"/>
          <w:szCs w:val="32"/>
        </w:rPr>
        <w:t>36.29%</w:t>
      </w:r>
      <w:r>
        <w:rPr>
          <w:rFonts w:hint="eastAsia" w:ascii="仿宋" w:hAnsi="仿宋" w:eastAsia="仿宋"/>
          <w:color w:val="000000"/>
          <w:sz w:val="32"/>
          <w:szCs w:val="32"/>
        </w:rPr>
        <w:t>。主要原因</w:t>
      </w:r>
      <w:r>
        <w:rPr>
          <w:rFonts w:hint="eastAsia" w:ascii="仿宋" w:hAnsi="仿宋" w:eastAsia="仿宋"/>
          <w:color w:val="333333"/>
          <w:sz w:val="32"/>
          <w:szCs w:val="32"/>
        </w:rPr>
        <w:t>是</w:t>
      </w:r>
      <w:r>
        <w:rPr>
          <w:rFonts w:hint="eastAsia" w:ascii="仿宋" w:hAnsi="仿宋" w:eastAsia="仿宋"/>
          <w:sz w:val="30"/>
          <w:szCs w:val="30"/>
        </w:rPr>
        <w:t>加强公务用车的管理制定严格的公务车使用制度，提高了公务车的使用效率</w:t>
      </w:r>
      <w:r>
        <w:rPr>
          <w:rFonts w:hint="eastAsia" w:ascii="仿宋" w:hAnsi="仿宋" w:eastAsia="仿宋"/>
          <w:color w:val="000000"/>
          <w:sz w:val="32"/>
          <w:szCs w:val="32"/>
        </w:rPr>
        <w:t>。</w:t>
      </w: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w:t>
      </w:r>
      <w:r>
        <w:rPr>
          <w:rFonts w:ascii="仿宋" w:hAnsi="仿宋" w:eastAsia="仿宋"/>
          <w:color w:val="000000"/>
          <w:sz w:val="32"/>
          <w:szCs w:val="32"/>
        </w:rPr>
        <w:t>0</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万元，越野车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万元，载客汽车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万元，主要用于…。截至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8</w:t>
      </w:r>
      <w:r>
        <w:rPr>
          <w:rFonts w:hint="eastAsia" w:ascii="仿宋" w:hAnsi="仿宋" w:eastAsia="仿宋"/>
          <w:color w:val="000000"/>
          <w:sz w:val="32"/>
          <w:szCs w:val="32"/>
        </w:rPr>
        <w:t>辆，其中：轿车</w:t>
      </w:r>
      <w:r>
        <w:rPr>
          <w:rFonts w:ascii="仿宋" w:hAnsi="仿宋" w:eastAsia="仿宋"/>
          <w:color w:val="000000"/>
          <w:sz w:val="32"/>
          <w:szCs w:val="32"/>
        </w:rPr>
        <w:t>5</w:t>
      </w:r>
      <w:r>
        <w:rPr>
          <w:rFonts w:hint="eastAsia" w:ascii="仿宋" w:hAnsi="仿宋" w:eastAsia="仿宋"/>
          <w:color w:val="000000"/>
          <w:sz w:val="32"/>
          <w:szCs w:val="32"/>
        </w:rPr>
        <w:t>辆、越野车</w:t>
      </w:r>
      <w:r>
        <w:rPr>
          <w:rFonts w:ascii="仿宋" w:hAnsi="仿宋" w:eastAsia="仿宋"/>
          <w:color w:val="000000"/>
          <w:sz w:val="32"/>
          <w:szCs w:val="32"/>
        </w:rPr>
        <w:t>3</w:t>
      </w:r>
      <w:r>
        <w:rPr>
          <w:rFonts w:hint="eastAsia" w:ascii="仿宋" w:hAnsi="仿宋" w:eastAsia="仿宋"/>
          <w:color w:val="000000"/>
          <w:sz w:val="32"/>
          <w:szCs w:val="32"/>
        </w:rPr>
        <w:t>辆、载客汽车</w:t>
      </w:r>
      <w:r>
        <w:rPr>
          <w:rFonts w:ascii="仿宋" w:hAnsi="仿宋" w:eastAsia="仿宋"/>
          <w:color w:val="000000"/>
          <w:sz w:val="32"/>
          <w:szCs w:val="32"/>
        </w:rPr>
        <w:t>0</w:t>
      </w:r>
      <w:r>
        <w:rPr>
          <w:rFonts w:hint="eastAsia" w:ascii="仿宋" w:hAnsi="仿宋" w:eastAsia="仿宋"/>
          <w:color w:val="000000"/>
          <w:sz w:val="32"/>
          <w:szCs w:val="32"/>
        </w:rPr>
        <w:t>辆。</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公务用车运行维护费支出</w:t>
      </w:r>
      <w:r>
        <w:rPr>
          <w:rFonts w:ascii="仿宋" w:hAnsi="仿宋" w:eastAsia="仿宋"/>
          <w:color w:val="000000"/>
          <w:sz w:val="32"/>
          <w:szCs w:val="32"/>
        </w:rPr>
        <w:t>17.19</w:t>
      </w:r>
      <w:r>
        <w:rPr>
          <w:rFonts w:hint="eastAsia" w:ascii="仿宋" w:hAnsi="仿宋" w:eastAsia="仿宋"/>
          <w:color w:val="000000"/>
          <w:sz w:val="32"/>
          <w:szCs w:val="32"/>
        </w:rPr>
        <w:t>万元。主要用于项目调研、扶贫攻坚、</w:t>
      </w:r>
      <w:r>
        <w:rPr>
          <w:rFonts w:hint="eastAsia" w:ascii="仿宋" w:hAnsi="仿宋" w:eastAsia="仿宋"/>
          <w:sz w:val="32"/>
          <w:szCs w:val="32"/>
        </w:rPr>
        <w:t>科博会、院士行钒钛论坛接送专家</w:t>
      </w:r>
      <w:r>
        <w:rPr>
          <w:rFonts w:hint="eastAsia" w:ascii="仿宋" w:hAnsi="仿宋" w:eastAsia="仿宋"/>
          <w:color w:val="000000"/>
          <w:sz w:val="32"/>
          <w:szCs w:val="32"/>
        </w:rPr>
        <w:t>、执行公务、开展业务活动开支的公务用车燃料费、维修费、过路过桥费、保险费等支出。</w:t>
      </w:r>
    </w:p>
    <w:p>
      <w:pPr>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ascii="仿宋" w:hAnsi="仿宋" w:eastAsia="仿宋"/>
          <w:color w:val="000000"/>
          <w:sz w:val="32"/>
          <w:szCs w:val="32"/>
        </w:rPr>
        <w:t>1.68</w:t>
      </w:r>
      <w:r>
        <w:rPr>
          <w:rFonts w:hint="eastAsia" w:ascii="仿宋" w:hAnsi="仿宋" w:eastAsia="仿宋"/>
          <w:color w:val="000000"/>
          <w:sz w:val="32"/>
          <w:szCs w:val="32"/>
        </w:rPr>
        <w:t>万元，</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51.85%</w:t>
      </w:r>
      <w:r>
        <w:rPr>
          <w:rStyle w:val="13"/>
          <w:rFonts w:hint="eastAsia" w:ascii="仿宋" w:hAnsi="仿宋" w:eastAsia="仿宋"/>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0.07</w:t>
      </w:r>
      <w:r>
        <w:rPr>
          <w:rFonts w:hint="eastAsia" w:ascii="仿宋" w:hAnsi="仿宋" w:eastAsia="仿宋"/>
          <w:color w:val="000000"/>
          <w:sz w:val="32"/>
          <w:szCs w:val="32"/>
        </w:rPr>
        <w:t>万元，下降</w:t>
      </w:r>
      <w:r>
        <w:rPr>
          <w:rFonts w:ascii="仿宋" w:hAnsi="仿宋" w:eastAsia="仿宋"/>
          <w:color w:val="000000"/>
          <w:sz w:val="32"/>
          <w:szCs w:val="32"/>
        </w:rPr>
        <w:t>4.00%</w:t>
      </w:r>
      <w:r>
        <w:rPr>
          <w:rFonts w:hint="eastAsia" w:ascii="仿宋" w:hAnsi="仿宋" w:eastAsia="仿宋"/>
          <w:color w:val="000000"/>
          <w:sz w:val="32"/>
          <w:szCs w:val="32"/>
        </w:rPr>
        <w:t>。主要原因是</w:t>
      </w:r>
      <w:r>
        <w:rPr>
          <w:rFonts w:hint="eastAsia" w:ascii="仿宋" w:hAnsi="仿宋" w:eastAsia="仿宋"/>
          <w:color w:val="333333"/>
          <w:sz w:val="32"/>
          <w:szCs w:val="32"/>
        </w:rPr>
        <w:t>坚决贯彻执行中央八项规定和省、市“十项规定”以及《党政机关厉行节约反对浪费条例》等相关规定，单位接待人数、批次减少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公务接待费主要用于执行公务、开展业务活动开支的交通费、住宿费、用餐费等。国内公务接待</w:t>
      </w:r>
      <w:r>
        <w:rPr>
          <w:rFonts w:ascii="仿宋" w:hAnsi="仿宋" w:eastAsia="仿宋"/>
          <w:color w:val="000000"/>
          <w:sz w:val="32"/>
          <w:szCs w:val="32"/>
        </w:rPr>
        <w:t>24</w:t>
      </w:r>
      <w:r>
        <w:rPr>
          <w:rFonts w:hint="eastAsia" w:ascii="仿宋" w:hAnsi="仿宋" w:eastAsia="仿宋"/>
          <w:color w:val="000000"/>
          <w:sz w:val="32"/>
          <w:szCs w:val="32"/>
        </w:rPr>
        <w:t>批次，</w:t>
      </w:r>
      <w:r>
        <w:rPr>
          <w:rFonts w:ascii="仿宋" w:hAnsi="仿宋" w:eastAsia="仿宋"/>
          <w:color w:val="000000"/>
          <w:sz w:val="32"/>
          <w:szCs w:val="32"/>
        </w:rPr>
        <w:t>153</w:t>
      </w:r>
      <w:r>
        <w:rPr>
          <w:rFonts w:hint="eastAsia" w:ascii="仿宋" w:hAnsi="仿宋" w:eastAsia="仿宋"/>
          <w:color w:val="000000"/>
          <w:sz w:val="32"/>
          <w:szCs w:val="32"/>
        </w:rPr>
        <w:t>人次（不包括陪同人员），共计支出</w:t>
      </w:r>
      <w:r>
        <w:rPr>
          <w:rFonts w:ascii="仿宋" w:hAnsi="仿宋" w:eastAsia="仿宋"/>
          <w:color w:val="000000"/>
          <w:sz w:val="32"/>
          <w:szCs w:val="32"/>
        </w:rPr>
        <w:t>1.68</w:t>
      </w:r>
      <w:r>
        <w:rPr>
          <w:rFonts w:hint="eastAsia" w:ascii="仿宋" w:hAnsi="仿宋" w:eastAsia="仿宋"/>
          <w:color w:val="000000"/>
          <w:sz w:val="32"/>
          <w:szCs w:val="32"/>
        </w:rPr>
        <w:t>万元，具体内容包括：接待上级单位检查指导工作，科研院所高校、各地市州科技局来攀调研、交流等。其中：</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万元，主要用于接待…（具体项目）。主要用于……</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1.68</w:t>
      </w:r>
      <w:r>
        <w:rPr>
          <w:rFonts w:hint="eastAsia" w:ascii="仿宋" w:hAnsi="仿宋" w:eastAsia="仿宋"/>
          <w:color w:val="000000"/>
          <w:sz w:val="32"/>
          <w:szCs w:val="32"/>
        </w:rPr>
        <w:t>万元，主要用于接待上级单位检查指导工作，科研院所高校、各地市州科技局来攀调研、交流等。</w:t>
      </w:r>
    </w:p>
    <w:p>
      <w:pPr>
        <w:spacing w:line="600" w:lineRule="exact"/>
        <w:ind w:firstLine="640"/>
        <w:outlineLvl w:val="1"/>
        <w:rPr>
          <w:rStyle w:val="16"/>
          <w:rFonts w:ascii="黑体" w:hAnsi="黑体" w:eastAsia="黑体"/>
        </w:rPr>
      </w:pPr>
      <w:r>
        <w:rPr>
          <w:rFonts w:hint="eastAsia" w:ascii="黑体" w:eastAsia="黑体"/>
          <w:color w:val="000000"/>
          <w:sz w:val="32"/>
          <w:szCs w:val="32"/>
        </w:rPr>
        <w:t>八、</w:t>
      </w:r>
      <w:r>
        <w:rPr>
          <w:rStyle w:val="16"/>
          <w:rFonts w:hint="eastAsia" w:ascii="黑体" w:hAnsi="黑体" w:eastAsia="黑体"/>
        </w:rPr>
        <w:t>政府性基金预算支出决算情况说明</w:t>
      </w:r>
    </w:p>
    <w:p>
      <w:pPr>
        <w:spacing w:line="600" w:lineRule="exact"/>
        <w:ind w:firstLine="640"/>
        <w:rPr>
          <w:rFonts w:ascii="仿宋_GB2312" w:eastAsia="仿宋_GB2312"/>
          <w:color w:val="C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r>
        <w:rPr>
          <w:rFonts w:hint="eastAsia" w:ascii="仿宋_GB2312" w:eastAsia="仿宋_GB2312"/>
          <w:color w:val="C00000"/>
          <w:sz w:val="32"/>
          <w:szCs w:val="32"/>
        </w:rPr>
        <w:t>（无）</w:t>
      </w:r>
    </w:p>
    <w:p>
      <w:pPr>
        <w:spacing w:line="600" w:lineRule="exact"/>
        <w:ind w:firstLine="640"/>
        <w:rPr>
          <w:rFonts w:ascii="仿宋_GB2312" w:eastAsia="仿宋_GB2312"/>
          <w:color w:val="000000"/>
          <w:sz w:val="32"/>
          <w:szCs w:val="32"/>
        </w:rPr>
      </w:pPr>
    </w:p>
    <w:p>
      <w:pPr>
        <w:spacing w:line="600" w:lineRule="exact"/>
        <w:ind w:left="640"/>
        <w:outlineLvl w:val="1"/>
        <w:rPr>
          <w:rStyle w:val="16"/>
          <w:rFonts w:ascii="仿宋_GB2312" w:hAnsi="黑体" w:eastAsia="仿宋_GB2312"/>
          <w:b w:val="0"/>
          <w:color w:val="000000"/>
        </w:rPr>
      </w:pPr>
      <w:bookmarkStart w:id="36" w:name="_Toc15377219"/>
      <w:bookmarkStart w:id="37" w:name="_Toc15396611"/>
      <w:r>
        <w:rPr>
          <w:rStyle w:val="16"/>
          <w:rFonts w:hint="eastAsia" w:ascii="黑体" w:hAnsi="黑体" w:eastAsia="黑体"/>
        </w:rPr>
        <w:t>九、本经营预算支出决算情况说明</w:t>
      </w:r>
      <w:bookmarkEnd w:id="36"/>
      <w:bookmarkEnd w:id="37"/>
    </w:p>
    <w:p>
      <w:pPr>
        <w:spacing w:line="600" w:lineRule="exact"/>
        <w:outlineLvl w:val="1"/>
        <w:rPr>
          <w:rStyle w:val="16"/>
          <w:rFonts w:ascii="黑体" w:hAnsi="黑体" w:eastAsia="黑体"/>
          <w:b w:val="0"/>
        </w:rPr>
      </w:pPr>
      <w:r>
        <w:rPr>
          <w:rFonts w:ascii="仿宋_GB2312" w:eastAsia="仿宋_GB2312"/>
          <w:color w:val="000000"/>
          <w:sz w:val="32"/>
          <w:szCs w:val="32"/>
        </w:rPr>
        <w:t xml:space="preserve">    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r>
        <w:rPr>
          <w:rFonts w:hint="eastAsia" w:ascii="黑体" w:hAnsi="黑体" w:eastAsia="黑体"/>
          <w:color w:val="C00000"/>
          <w:sz w:val="32"/>
          <w:szCs w:val="32"/>
        </w:rPr>
        <w:t>。</w:t>
      </w:r>
      <w:r>
        <w:rPr>
          <w:rStyle w:val="16"/>
          <w:rFonts w:hint="eastAsia" w:ascii="黑体" w:hAnsi="黑体" w:eastAsia="黑体"/>
          <w:color w:val="C00000"/>
        </w:rPr>
        <w:t>（无</w:t>
      </w:r>
      <w:r>
        <w:rPr>
          <w:rStyle w:val="16"/>
          <w:rFonts w:hint="eastAsia" w:ascii="黑体" w:hAnsi="黑体" w:eastAsia="黑体"/>
          <w:b w:val="0"/>
          <w:color w:val="C00000"/>
        </w:rPr>
        <w:t>）</w:t>
      </w:r>
    </w:p>
    <w:p>
      <w:pPr>
        <w:spacing w:line="600" w:lineRule="exact"/>
        <w:ind w:firstLine="640"/>
        <w:rPr>
          <w:rFonts w:ascii="仿宋_GB2312" w:eastAsia="仿宋_GB2312"/>
          <w:color w:val="000000"/>
          <w:sz w:val="32"/>
          <w:szCs w:val="32"/>
        </w:rPr>
      </w:pPr>
    </w:p>
    <w:p>
      <w:pPr>
        <w:pStyle w:val="25"/>
        <w:numPr>
          <w:ilvl w:val="0"/>
          <w:numId w:val="3"/>
        </w:numPr>
        <w:spacing w:line="580" w:lineRule="exact"/>
        <w:ind w:firstLineChars="0"/>
        <w:rPr>
          <w:rStyle w:val="16"/>
          <w:rFonts w:ascii="黑体" w:hAnsi="黑体" w:eastAsia="黑体"/>
          <w:b w:val="0"/>
        </w:rPr>
      </w:pPr>
      <w:r>
        <w:rPr>
          <w:rStyle w:val="16"/>
          <w:rFonts w:hint="eastAsia" w:ascii="黑体" w:hAnsi="黑体" w:eastAsia="黑体"/>
        </w:rPr>
        <w:t>预算绩效情况说明</w:t>
      </w:r>
    </w:p>
    <w:p>
      <w:pPr>
        <w:numPr>
          <w:ilvl w:val="0"/>
          <w:numId w:val="4"/>
        </w:numPr>
        <w:snapToGrid w:val="0"/>
        <w:spacing w:line="520" w:lineRule="exact"/>
        <w:ind w:firstLine="31680"/>
        <w:rPr>
          <w:rFonts w:ascii="仿宋_GB2312" w:eastAsia="仿宋_GB2312" w:cs="仿宋_GB2312"/>
          <w:kern w:val="0"/>
          <w:sz w:val="32"/>
          <w:szCs w:val="32"/>
        </w:rPr>
      </w:pPr>
      <w:r>
        <w:rPr>
          <w:rFonts w:ascii="仿宋" w:hAnsi="仿宋" w:eastAsia="仿宋" w:cs="楷体_GB2312"/>
          <w:b/>
          <w:bCs/>
          <w:sz w:val="32"/>
          <w:szCs w:val="32"/>
        </w:rPr>
        <w:t>((</w:t>
      </w:r>
      <w:r>
        <w:rPr>
          <w:rFonts w:hint="eastAsia" w:ascii="仿宋" w:hAnsi="仿宋" w:eastAsia="仿宋" w:cs="楷体_GB2312"/>
          <w:b/>
          <w:bCs/>
          <w:sz w:val="32"/>
          <w:szCs w:val="32"/>
        </w:rPr>
        <w:t>一）预算绩效管理工作开展情况。</w:t>
      </w:r>
    </w:p>
    <w:p>
      <w:pPr>
        <w:numPr>
          <w:ilvl w:val="0"/>
          <w:numId w:val="4"/>
        </w:numPr>
        <w:snapToGrid w:val="0"/>
        <w:spacing w:line="520" w:lineRule="exact"/>
        <w:ind w:firstLine="31680"/>
        <w:rPr>
          <w:rFonts w:ascii="仿宋" w:hAnsi="仿宋" w:eastAsia="仿宋" w:cs="仿宋_GB2312"/>
          <w:kern w:val="0"/>
          <w:sz w:val="32"/>
          <w:szCs w:val="32"/>
        </w:rPr>
      </w:pPr>
      <w:r>
        <w:rPr>
          <w:rFonts w:hint="eastAsia" w:ascii="仿宋_GB2312" w:eastAsia="仿宋_GB2312"/>
          <w:color w:val="000000"/>
          <w:sz w:val="32"/>
          <w:szCs w:val="32"/>
        </w:rPr>
        <w:t>算</w:t>
      </w:r>
      <w:r>
        <w:rPr>
          <w:rFonts w:ascii="仿宋_GB2312" w:eastAsia="仿宋_GB2312"/>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按照预算绩效管理要求，本部门对</w:t>
      </w:r>
      <w:r>
        <w:rPr>
          <w:rFonts w:ascii="仿宋" w:hAnsi="仿宋" w:eastAsia="仿宋"/>
          <w:color w:val="000000"/>
          <w:sz w:val="32"/>
          <w:szCs w:val="32"/>
        </w:rPr>
        <w:t>2018</w:t>
      </w:r>
      <w:r>
        <w:rPr>
          <w:rFonts w:hint="eastAsia" w:ascii="仿宋" w:hAnsi="仿宋" w:eastAsia="仿宋"/>
          <w:color w:val="000000"/>
          <w:sz w:val="32"/>
          <w:szCs w:val="32"/>
        </w:rPr>
        <w:t>年一般公共预算项目支出开展了绩效目标管理，</w:t>
      </w:r>
      <w:r>
        <w:rPr>
          <w:rFonts w:hint="eastAsia" w:ascii="仿宋" w:hAnsi="仿宋" w:eastAsia="仿宋"/>
          <w:sz w:val="32"/>
          <w:szCs w:val="32"/>
        </w:rPr>
        <w:t>完成了项目中的绩效目标</w:t>
      </w:r>
      <w:r>
        <w:rPr>
          <w:rFonts w:ascii="仿宋" w:hAnsi="仿宋" w:eastAsia="仿宋"/>
          <w:sz w:val="32"/>
          <w:szCs w:val="32"/>
        </w:rPr>
        <w:t>,</w:t>
      </w:r>
      <w:r>
        <w:rPr>
          <w:rFonts w:hint="eastAsia" w:ascii="仿宋" w:hAnsi="仿宋" w:eastAsia="仿宋"/>
          <w:sz w:val="32"/>
          <w:szCs w:val="32"/>
        </w:rPr>
        <w:t>主要用于</w:t>
      </w:r>
      <w:r>
        <w:rPr>
          <w:rFonts w:hint="eastAsia" w:ascii="仿宋" w:hAnsi="仿宋" w:eastAsia="仿宋" w:cs="黑体"/>
          <w:sz w:val="32"/>
          <w:szCs w:val="32"/>
        </w:rPr>
        <w:t>保障正常运行，并对立项科技项目予以资金支持，</w:t>
      </w:r>
      <w:r>
        <w:rPr>
          <w:rFonts w:hint="eastAsia" w:ascii="仿宋" w:hAnsi="仿宋" w:eastAsia="仿宋"/>
          <w:sz w:val="32"/>
          <w:szCs w:val="32"/>
        </w:rPr>
        <w:t>重大科技创新和成果转化实现新提升，科技创新创业平台建设，科技精准扶贫工作，加强科技交流合作，特别是与四川大学的校市战略合作项目，强化科技人才支撑，争创知识产权强市，全社会研发投入总量达</w:t>
      </w:r>
      <w:r>
        <w:rPr>
          <w:rFonts w:ascii="仿宋" w:hAnsi="仿宋" w:eastAsia="仿宋"/>
          <w:sz w:val="32"/>
          <w:szCs w:val="32"/>
        </w:rPr>
        <w:t>13.1</w:t>
      </w:r>
      <w:r>
        <w:rPr>
          <w:rFonts w:hint="eastAsia" w:ascii="仿宋" w:hAnsi="仿宋" w:eastAsia="仿宋"/>
          <w:sz w:val="32"/>
          <w:szCs w:val="32"/>
        </w:rPr>
        <w:t>亿元，全年技术合同认定登记金额达</w:t>
      </w:r>
      <w:r>
        <w:rPr>
          <w:rFonts w:ascii="仿宋" w:hAnsi="仿宋" w:eastAsia="仿宋"/>
          <w:sz w:val="32"/>
          <w:szCs w:val="32"/>
        </w:rPr>
        <w:t>3.9</w:t>
      </w:r>
      <w:r>
        <w:rPr>
          <w:rFonts w:hint="eastAsia" w:ascii="仿宋" w:hAnsi="仿宋" w:eastAsia="仿宋"/>
          <w:sz w:val="32"/>
          <w:szCs w:val="32"/>
        </w:rPr>
        <w:t>亿元，较去年增长</w:t>
      </w:r>
      <w:r>
        <w:rPr>
          <w:rFonts w:ascii="仿宋" w:hAnsi="仿宋" w:eastAsia="仿宋"/>
          <w:sz w:val="32"/>
          <w:szCs w:val="32"/>
        </w:rPr>
        <w:t>25%</w:t>
      </w:r>
      <w:r>
        <w:rPr>
          <w:rFonts w:hint="eastAsia" w:ascii="仿宋" w:hAnsi="仿宋" w:eastAsia="仿宋"/>
          <w:sz w:val="32"/>
          <w:szCs w:val="32"/>
        </w:rPr>
        <w:t>。预计完成高新技术企业主营业务收入</w:t>
      </w:r>
      <w:r>
        <w:rPr>
          <w:rFonts w:ascii="仿宋" w:hAnsi="仿宋" w:eastAsia="仿宋"/>
          <w:sz w:val="32"/>
          <w:szCs w:val="32"/>
        </w:rPr>
        <w:t>531</w:t>
      </w:r>
      <w:r>
        <w:rPr>
          <w:rFonts w:hint="eastAsia" w:ascii="仿宋" w:hAnsi="仿宋" w:eastAsia="仿宋"/>
          <w:sz w:val="32"/>
          <w:szCs w:val="32"/>
        </w:rPr>
        <w:t>亿元，较去年增长</w:t>
      </w:r>
      <w:r>
        <w:rPr>
          <w:rFonts w:ascii="仿宋" w:hAnsi="仿宋" w:eastAsia="仿宋"/>
          <w:sz w:val="32"/>
          <w:szCs w:val="32"/>
        </w:rPr>
        <w:t>15%</w:t>
      </w:r>
      <w:r>
        <w:rPr>
          <w:rFonts w:hint="eastAsia" w:ascii="仿宋" w:hAnsi="仿宋" w:eastAsia="仿宋"/>
          <w:sz w:val="32"/>
          <w:szCs w:val="32"/>
        </w:rPr>
        <w:t>。全市新增双创载体</w:t>
      </w:r>
      <w:r>
        <w:rPr>
          <w:rFonts w:ascii="仿宋" w:hAnsi="仿宋" w:eastAsia="仿宋"/>
          <w:sz w:val="32"/>
          <w:szCs w:val="32"/>
        </w:rPr>
        <w:t>9</w:t>
      </w:r>
      <w:r>
        <w:rPr>
          <w:rFonts w:hint="eastAsia" w:ascii="仿宋" w:hAnsi="仿宋" w:eastAsia="仿宋"/>
          <w:sz w:val="32"/>
          <w:szCs w:val="32"/>
        </w:rPr>
        <w:t>个，各级各类双创载体达</w:t>
      </w:r>
      <w:r>
        <w:rPr>
          <w:rFonts w:ascii="仿宋" w:hAnsi="仿宋" w:eastAsia="仿宋"/>
          <w:sz w:val="32"/>
          <w:szCs w:val="32"/>
        </w:rPr>
        <w:t>34</w:t>
      </w:r>
      <w:r>
        <w:rPr>
          <w:rFonts w:hint="eastAsia" w:ascii="仿宋" w:hAnsi="仿宋" w:eastAsia="仿宋"/>
          <w:sz w:val="32"/>
          <w:szCs w:val="32"/>
        </w:rPr>
        <w:t>个。</w:t>
      </w:r>
      <w:r>
        <w:rPr>
          <w:rFonts w:ascii="仿宋" w:hAnsi="仿宋" w:eastAsia="仿宋"/>
          <w:sz w:val="32"/>
          <w:szCs w:val="32"/>
        </w:rPr>
        <w:t>11</w:t>
      </w:r>
      <w:r>
        <w:rPr>
          <w:rFonts w:hint="eastAsia" w:ascii="仿宋" w:hAnsi="仿宋" w:eastAsia="仿宋"/>
          <w:sz w:val="32"/>
          <w:szCs w:val="32"/>
        </w:rPr>
        <w:t>项科技成果获省科技进步奖，获奖项目数排全省第三位。创新指数、科技进步指数分别位居全省第二、第三。</w:t>
      </w:r>
    </w:p>
    <w:p>
      <w:pPr>
        <w:spacing w:line="580" w:lineRule="exact"/>
        <w:ind w:firstLine="313" w:firstLineChars="98"/>
        <w:rPr>
          <w:rFonts w:ascii="仿宋" w:hAnsi="仿宋" w:eastAsia="仿宋" w:cs="楷体_GB2312"/>
          <w:b/>
          <w:bCs/>
          <w:sz w:val="32"/>
          <w:szCs w:val="32"/>
        </w:rPr>
      </w:pPr>
      <w:r>
        <w:rPr>
          <w:rFonts w:hint="eastAsia" w:ascii="仿宋" w:hAnsi="仿宋" w:eastAsia="仿宋"/>
          <w:color w:val="000000"/>
          <w:sz w:val="32"/>
          <w:szCs w:val="32"/>
        </w:rPr>
        <w:t>（二）</w:t>
      </w:r>
      <w:r>
        <w:rPr>
          <w:rFonts w:hint="eastAsia" w:ascii="仿宋" w:hAnsi="仿宋" w:eastAsia="仿宋" w:cs="楷体_GB2312"/>
          <w:b/>
          <w:bCs/>
          <w:sz w:val="32"/>
          <w:szCs w:val="32"/>
        </w:rPr>
        <w:t>项目绩效目标完成情况。</w:t>
      </w:r>
    </w:p>
    <w:p>
      <w:pPr>
        <w:spacing w:line="58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本部门在</w:t>
      </w:r>
      <w:r>
        <w:rPr>
          <w:rFonts w:ascii="仿宋" w:hAnsi="仿宋" w:eastAsia="仿宋" w:cs="仿宋_GB2312"/>
          <w:sz w:val="32"/>
          <w:szCs w:val="32"/>
        </w:rPr>
        <w:t>2018</w:t>
      </w:r>
      <w:r>
        <w:rPr>
          <w:rFonts w:hint="eastAsia" w:ascii="仿宋" w:hAnsi="仿宋" w:eastAsia="仿宋" w:cs="仿宋_GB2312"/>
          <w:sz w:val="32"/>
          <w:szCs w:val="32"/>
        </w:rPr>
        <w:t>年度部门决算中反映“科技发展战略调研”“科技期刊出版发行”“业务运行”“</w:t>
      </w:r>
      <w:r>
        <w:rPr>
          <w:rFonts w:hint="eastAsia" w:ascii="仿宋" w:hAnsi="仿宋" w:eastAsia="仿宋" w:cs="宋体"/>
          <w:color w:val="000000"/>
          <w:sz w:val="32"/>
          <w:szCs w:val="32"/>
        </w:rPr>
        <w:t>关于加强基层社会治理</w:t>
      </w:r>
      <w:r>
        <w:rPr>
          <w:rFonts w:ascii="仿宋" w:hAnsi="仿宋" w:eastAsia="仿宋" w:cs="宋体"/>
          <w:color w:val="000000"/>
          <w:sz w:val="32"/>
          <w:szCs w:val="32"/>
        </w:rPr>
        <w:t xml:space="preserve">  </w:t>
      </w:r>
      <w:r>
        <w:rPr>
          <w:rFonts w:hint="eastAsia" w:ascii="仿宋" w:hAnsi="仿宋" w:eastAsia="仿宋" w:cs="宋体"/>
          <w:color w:val="000000"/>
          <w:sz w:val="32"/>
          <w:szCs w:val="32"/>
        </w:rPr>
        <w:t>推进法治攀枝花建设的研究”“</w:t>
      </w:r>
      <w:r>
        <w:rPr>
          <w:rFonts w:hint="eastAsia" w:ascii="仿宋" w:hAnsi="仿宋" w:eastAsia="仿宋" w:cs="仿宋_GB2312"/>
          <w:sz w:val="32"/>
          <w:szCs w:val="32"/>
        </w:rPr>
        <w:t>攀枝花钒钛研究院</w:t>
      </w:r>
      <w:r>
        <w:rPr>
          <w:rFonts w:ascii="仿宋" w:hAnsi="仿宋" w:eastAsia="仿宋" w:cs="仿宋_GB2312"/>
          <w:sz w:val="32"/>
          <w:szCs w:val="32"/>
        </w:rPr>
        <w:t>2018</w:t>
      </w:r>
      <w:r>
        <w:rPr>
          <w:rFonts w:hint="eastAsia" w:ascii="仿宋" w:hAnsi="仿宋" w:eastAsia="仿宋" w:cs="仿宋_GB2312"/>
          <w:sz w:val="32"/>
          <w:szCs w:val="32"/>
        </w:rPr>
        <w:t>年度科研目标激励</w:t>
      </w:r>
      <w:r>
        <w:rPr>
          <w:rFonts w:hint="eastAsia" w:ascii="仿宋" w:hAnsi="仿宋" w:eastAsia="仿宋" w:cs="宋体"/>
          <w:color w:val="000000"/>
          <w:sz w:val="32"/>
          <w:szCs w:val="32"/>
        </w:rPr>
        <w:t>”</w:t>
      </w:r>
      <w:r>
        <w:rPr>
          <w:rFonts w:hint="eastAsia" w:ascii="仿宋" w:hAnsi="仿宋" w:eastAsia="仿宋" w:cs="仿宋_GB2312"/>
          <w:sz w:val="32"/>
          <w:szCs w:val="32"/>
        </w:rPr>
        <w:t>等</w:t>
      </w:r>
      <w:r>
        <w:rPr>
          <w:rFonts w:ascii="仿宋" w:hAnsi="仿宋" w:eastAsia="仿宋" w:cs="仿宋_GB2312"/>
          <w:sz w:val="32"/>
          <w:szCs w:val="32"/>
        </w:rPr>
        <w:t>5</w:t>
      </w:r>
      <w:r>
        <w:rPr>
          <w:rFonts w:hint="eastAsia" w:ascii="仿宋" w:hAnsi="仿宋" w:eastAsia="仿宋" w:cs="仿宋_GB2312"/>
          <w:sz w:val="32"/>
          <w:szCs w:val="32"/>
        </w:rPr>
        <w:t>个项目绩效目标实际完成情况。</w:t>
      </w:r>
    </w:p>
    <w:p>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“科技发展战略调研”</w:t>
      </w:r>
      <w:r>
        <w:rPr>
          <w:rFonts w:ascii="仿宋" w:hAnsi="仿宋" w:eastAsia="仿宋" w:cs="仿宋_GB2312"/>
          <w:sz w:val="32"/>
          <w:szCs w:val="32"/>
        </w:rPr>
        <w:t xml:space="preserve"> </w:t>
      </w:r>
      <w:r>
        <w:rPr>
          <w:rFonts w:hint="eastAsia" w:ascii="仿宋" w:hAnsi="仿宋" w:eastAsia="仿宋" w:cs="仿宋_GB2312"/>
          <w:sz w:val="32"/>
          <w:szCs w:val="32"/>
        </w:rPr>
        <w:t>项目绩效目标完成情况综述。</w:t>
      </w:r>
      <w:r>
        <w:rPr>
          <w:rFonts w:ascii="仿宋" w:hAnsi="仿宋" w:eastAsia="仿宋" w:cs="仿宋_GB2312"/>
          <w:sz w:val="32"/>
          <w:szCs w:val="32"/>
        </w:rPr>
        <w:t xml:space="preserve"> </w:t>
      </w:r>
      <w:r>
        <w:rPr>
          <w:rFonts w:hint="eastAsia" w:ascii="仿宋" w:hAnsi="仿宋" w:eastAsia="仿宋" w:cs="仿宋_GB2312"/>
          <w:sz w:val="32"/>
          <w:szCs w:val="32"/>
        </w:rPr>
        <w:t>项目全年预算数</w:t>
      </w:r>
      <w:r>
        <w:rPr>
          <w:rFonts w:ascii="仿宋" w:hAnsi="仿宋" w:eastAsia="仿宋" w:cs="仿宋_GB2312"/>
          <w:sz w:val="32"/>
          <w:szCs w:val="32"/>
        </w:rPr>
        <w:t>1.8</w:t>
      </w:r>
      <w:r>
        <w:rPr>
          <w:rFonts w:hint="eastAsia" w:ascii="仿宋" w:hAnsi="仿宋" w:eastAsia="仿宋" w:cs="仿宋_GB2312"/>
          <w:sz w:val="32"/>
          <w:szCs w:val="32"/>
        </w:rPr>
        <w:t>万元，执行数为</w:t>
      </w:r>
      <w:r>
        <w:rPr>
          <w:rFonts w:ascii="仿宋" w:hAnsi="仿宋" w:eastAsia="仿宋" w:cs="仿宋_GB2312"/>
          <w:sz w:val="32"/>
          <w:szCs w:val="32"/>
        </w:rPr>
        <w:t>1.8</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。通过项目实施，保障了单位科技战略调研，促进了全市科技动态研究，提高了单位整体科技水平及全市科技发展质量。发现的主要问题：经费较少，调研内容不全。下一步改进措施：提高科技调研经费预算。</w:t>
      </w: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27"/>
              <w:widowControl/>
              <w:ind w:left="4177" w:leftChars="1912" w:hanging="162" w:hangingChars="45"/>
              <w:textAlignment w:val="center"/>
              <w:rPr>
                <w:rFonts w:ascii="宋体" w:cs="宋体"/>
                <w:color w:val="000000"/>
                <w:sz w:val="36"/>
                <w:szCs w:val="36"/>
              </w:rPr>
            </w:pP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科技发展战略调研</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为及时跟踪了解攀枝花特色产业在国内外的运行发展态势，将组织科研人员参加全国钛白行业年会、全国技术预见学术年会、非高炉治炼技术学术年会、钛行业及机械行业学术研讨会，并加强对外科技合作交流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根据年初制定的目标，基本完成此项目的总体目标。</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外出调研活动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w:t>
            </w:r>
            <w:r>
              <w:rPr>
                <w:rFonts w:ascii="宋体" w:cs="宋体"/>
                <w:color w:val="000000"/>
                <w:sz w:val="24"/>
              </w:rPr>
              <w:t>5</w:t>
            </w:r>
            <w:r>
              <w:rPr>
                <w:rFonts w:hint="eastAsia" w:ascii="宋体" w:cs="宋体"/>
                <w:color w:val="000000"/>
                <w:sz w:val="24"/>
              </w:rPr>
              <w:t>次</w:t>
            </w:r>
            <w:r>
              <w:rPr>
                <w:rFonts w:ascii="宋体" w:cs="宋体"/>
                <w:color w:val="000000"/>
                <w:sz w:val="24"/>
              </w:rPr>
              <w:t>/</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保证交流学习效果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外出回来在单位内部交流讲座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r>
              <w:rPr>
                <w:rFonts w:ascii="宋体" w:cs="宋体"/>
                <w:color w:val="000000"/>
                <w:sz w:val="24"/>
              </w:rPr>
              <w:t>3</w:t>
            </w:r>
            <w:r>
              <w:rPr>
                <w:rFonts w:hint="eastAsia" w:ascii="宋体" w:cs="宋体"/>
                <w:color w:val="000000"/>
                <w:sz w:val="24"/>
              </w:rPr>
              <w:t>次</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外出学习调研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6500</w:t>
            </w:r>
            <w:r>
              <w:rPr>
                <w:rFonts w:hint="eastAsia" w:ascii="宋体" w:cs="宋体"/>
                <w:color w:val="000000"/>
                <w:sz w:val="24"/>
              </w:rPr>
              <w:t>元</w:t>
            </w:r>
            <w:r>
              <w:rPr>
                <w:rFonts w:ascii="宋体" w:cs="宋体"/>
                <w:color w:val="000000"/>
                <w:sz w:val="24"/>
              </w:rPr>
              <w:t>/</w:t>
            </w:r>
            <w:r>
              <w:rPr>
                <w:rFonts w:hint="eastAsia" w:ascii="宋体"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次外出调研及</w:t>
            </w:r>
            <w:r>
              <w:rPr>
                <w:rFonts w:ascii="宋体" w:cs="宋体"/>
                <w:color w:val="000000"/>
                <w:sz w:val="24"/>
              </w:rPr>
              <w:t>2</w:t>
            </w:r>
            <w:r>
              <w:rPr>
                <w:rFonts w:hint="eastAsia" w:ascii="宋体" w:cs="宋体"/>
                <w:color w:val="000000"/>
                <w:sz w:val="24"/>
              </w:rPr>
              <w:t>次市内调研共计</w:t>
            </w:r>
            <w:r>
              <w:rPr>
                <w:rFonts w:ascii="宋体" w:cs="宋体"/>
                <w:color w:val="000000"/>
                <w:sz w:val="24"/>
              </w:rPr>
              <w:t>1.8</w:t>
            </w:r>
            <w:r>
              <w:rPr>
                <w:rFonts w:hint="eastAsia" w:ascii="宋体" w:cs="宋体"/>
                <w:color w:val="000000"/>
                <w:sz w:val="24"/>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及时跟踪相关产业发展形势，提升职工个人综合素质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保障了单位科技战略调研，促进了全市科技动态研究</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工作的连续性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确保各重点产业信息的持续更新，及时掌握产业动态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确保了各重点产业信息的持续更新，及时掌握了产业动态</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机关单位满意度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88%</w:t>
            </w:r>
          </w:p>
        </w:tc>
      </w:tr>
    </w:tbl>
    <w:p>
      <w:pPr>
        <w:tabs>
          <w:tab w:val="left" w:pos="312"/>
        </w:tabs>
        <w:rPr>
          <w:rFonts w:ascii="Calibri" w:hAnsi="Calibri"/>
        </w:rPr>
      </w:pPr>
    </w:p>
    <w:p>
      <w:pPr>
        <w:spacing w:line="580" w:lineRule="exact"/>
        <w:ind w:firstLine="640" w:firstLineChars="200"/>
        <w:jc w:val="left"/>
        <w:rPr>
          <w:rFonts w:ascii="仿宋" w:hAnsi="仿宋" w:eastAsia="仿宋" w:cs="仿宋_GB2312"/>
          <w:sz w:val="32"/>
          <w:szCs w:val="32"/>
        </w:rPr>
      </w:pPr>
    </w:p>
    <w:p>
      <w:pPr>
        <w:spacing w:line="58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业务运行”项目绩效目标完成情况综述。项目全年预算数</w:t>
      </w:r>
      <w:r>
        <w:rPr>
          <w:rFonts w:ascii="仿宋" w:hAnsi="仿宋" w:eastAsia="仿宋" w:cs="仿宋_GB2312"/>
          <w:sz w:val="32"/>
          <w:szCs w:val="32"/>
        </w:rPr>
        <w:t>5.67</w:t>
      </w:r>
      <w:r>
        <w:rPr>
          <w:rFonts w:hint="eastAsia" w:ascii="仿宋" w:hAnsi="仿宋" w:eastAsia="仿宋" w:cs="仿宋_GB2312"/>
          <w:sz w:val="32"/>
          <w:szCs w:val="32"/>
        </w:rPr>
        <w:t>万元，执行数为</w:t>
      </w:r>
      <w:r>
        <w:rPr>
          <w:rFonts w:ascii="仿宋" w:hAnsi="仿宋" w:eastAsia="仿宋" w:cs="仿宋_GB2312"/>
          <w:sz w:val="32"/>
          <w:szCs w:val="32"/>
        </w:rPr>
        <w:t>5.67</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科技网的正常运行，对科技网的各个版块的使用达到了进一步快捷、完整，提高了检索的速度，上网查寻的便利。发现的主要问题：机房的电路老化。下一步改进措施：发现的情况向上级相关部门汇报，申请部分改造机房资金。</w:t>
      </w:r>
    </w:p>
    <w:p>
      <w:pPr>
        <w:tabs>
          <w:tab w:val="left" w:pos="312"/>
        </w:tabs>
        <w:spacing w:line="580" w:lineRule="exact"/>
        <w:rPr>
          <w:rFonts w:ascii="仿宋_GB2312" w:hAnsi="仿宋_GB2312" w:eastAsia="仿宋_GB2312" w:cs="仿宋_GB2312"/>
          <w:sz w:val="32"/>
          <w:szCs w:val="32"/>
        </w:rPr>
      </w:pP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业务运行费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5.67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5.67</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5.67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5.67</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根据攀府发【</w:t>
            </w:r>
            <w:r>
              <w:rPr>
                <w:rFonts w:ascii="宋体" w:cs="宋体"/>
                <w:color w:val="000000"/>
                <w:sz w:val="24"/>
              </w:rPr>
              <w:t>2017</w:t>
            </w:r>
            <w:r>
              <w:rPr>
                <w:rFonts w:hint="eastAsia" w:ascii="宋体" w:cs="宋体"/>
                <w:color w:val="000000"/>
                <w:sz w:val="24"/>
              </w:rPr>
              <w:t>】</w:t>
            </w:r>
            <w:r>
              <w:rPr>
                <w:rFonts w:ascii="宋体" w:cs="宋体"/>
                <w:color w:val="000000"/>
                <w:sz w:val="24"/>
              </w:rPr>
              <w:t>39</w:t>
            </w:r>
            <w:r>
              <w:rPr>
                <w:rFonts w:hint="eastAsia" w:ascii="宋体" w:cs="宋体"/>
                <w:color w:val="000000"/>
                <w:sz w:val="24"/>
              </w:rPr>
              <w:t>号文精神，建立完善攀枝花市科研仪器网络管理平台。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根据年初制定的目标，基本完成此项目的总体目标。</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全年网络光纤费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42000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42000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全年机房电费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21000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14700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逐步完善科研仪器网络平台建设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面向全市科研仪器单位完善网络平台建设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面向全市科研仪器单位完善网络平台建设</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r>
              <w:rPr>
                <w:rFonts w:ascii="宋体" w:cs="宋体"/>
                <w:color w:val="000000"/>
                <w:sz w:val="24"/>
              </w:rPr>
              <w:t>12</w:t>
            </w:r>
            <w:r>
              <w:rPr>
                <w:rFonts w:hint="eastAsia" w:ascii="宋体" w:cs="宋体"/>
                <w:color w:val="000000"/>
                <w:sz w:val="24"/>
              </w:rPr>
              <w:t>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r>
              <w:rPr>
                <w:rFonts w:ascii="宋体" w:cs="宋体"/>
                <w:color w:val="000000"/>
                <w:sz w:val="24"/>
              </w:rPr>
              <w:t>12</w:t>
            </w:r>
            <w:r>
              <w:rPr>
                <w:rFonts w:hint="eastAsia" w:ascii="宋体" w:cs="宋体"/>
                <w:color w:val="000000"/>
                <w:sz w:val="24"/>
              </w:rPr>
              <w:t>月</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网络光纤费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3500</w:t>
            </w:r>
            <w:r>
              <w:rPr>
                <w:rFonts w:hint="eastAsia" w:ascii="宋体" w:cs="宋体"/>
                <w:color w:val="000000"/>
                <w:sz w:val="24"/>
              </w:rPr>
              <w:t>元</w:t>
            </w:r>
            <w:r>
              <w:rPr>
                <w:rFonts w:ascii="宋体" w:cs="宋体"/>
                <w:color w:val="000000"/>
                <w:sz w:val="24"/>
              </w:rPr>
              <w:t>/</w:t>
            </w:r>
            <w:r>
              <w:rPr>
                <w:rFonts w:hint="eastAsia" w:ascii="宋体" w:cs="宋体"/>
                <w:color w:val="000000"/>
                <w:sz w:val="24"/>
              </w:rPr>
              <w:t>月，</w:t>
            </w:r>
            <w:r>
              <w:rPr>
                <w:rFonts w:ascii="宋体" w:cs="宋体"/>
                <w:color w:val="000000"/>
                <w:sz w:val="24"/>
              </w:rPr>
              <w:t>12*3500=42000</w:t>
            </w:r>
            <w:r>
              <w:rPr>
                <w:rFonts w:hint="eastAsia" w:asci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3500</w:t>
            </w:r>
            <w:r>
              <w:rPr>
                <w:rFonts w:hint="eastAsia" w:ascii="宋体" w:cs="宋体"/>
                <w:color w:val="000000"/>
                <w:sz w:val="24"/>
              </w:rPr>
              <w:t>元</w:t>
            </w:r>
            <w:r>
              <w:rPr>
                <w:rFonts w:ascii="宋体" w:cs="宋体"/>
                <w:color w:val="000000"/>
                <w:sz w:val="24"/>
              </w:rPr>
              <w:t>/</w:t>
            </w:r>
            <w:r>
              <w:rPr>
                <w:rFonts w:hint="eastAsia" w:ascii="宋体" w:cs="宋体"/>
                <w:color w:val="000000"/>
                <w:sz w:val="24"/>
              </w:rPr>
              <w:t>月，</w:t>
            </w:r>
            <w:r>
              <w:rPr>
                <w:rFonts w:ascii="宋体" w:cs="宋体"/>
                <w:color w:val="000000"/>
                <w:sz w:val="24"/>
              </w:rPr>
              <w:t>12*3500=42000</w:t>
            </w:r>
            <w:r>
              <w:rPr>
                <w:rFonts w:hint="eastAsia" w:ascii="宋体" w:cs="宋体"/>
                <w:color w:val="000000"/>
                <w:sz w:val="24"/>
              </w:rPr>
              <w:t>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21000/</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14700/</w:t>
            </w:r>
            <w:r>
              <w:rPr>
                <w:rFonts w:hint="eastAsia" w:ascii="宋体" w:cs="宋体"/>
                <w:color w:val="000000"/>
                <w:sz w:val="24"/>
              </w:rPr>
              <w:t>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建立健全全市科研仪器单位网络平台建设，为共享大型仪器做好基础。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建立健全全市科研仪器单位网络平台建设，为共享大型仪器做好基础。</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对企、事业单位科研仪器共享做好基础网络工作。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企、事业单位参与度</w:t>
            </w:r>
            <w:r>
              <w:rPr>
                <w:color w:val="000000"/>
                <w:sz w:val="24"/>
              </w:rPr>
              <w:t>&gt;</w:t>
            </w:r>
            <w:r>
              <w:rPr>
                <w:rFonts w:ascii="宋体" w:cs="宋体"/>
                <w:color w:val="000000"/>
                <w:sz w:val="24"/>
              </w:rPr>
              <w:t>85%</w:t>
            </w:r>
            <w:r>
              <w:rPr>
                <w:rFonts w:hint="eastAsia" w:ascii="宋体" w:cs="宋体"/>
                <w:color w:val="000000"/>
                <w:sz w:val="24"/>
              </w:rPr>
              <w:t>，公众知晓度</w:t>
            </w:r>
            <w:r>
              <w:rPr>
                <w:color w:val="000000"/>
                <w:sz w:val="24"/>
              </w:rPr>
              <w:t>&gt;85%</w:t>
            </w:r>
            <w:r>
              <w:rPr>
                <w:rFonts w:hint="eastAsia"/>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企、事业单位参与度</w:t>
            </w:r>
            <w:r>
              <w:rPr>
                <w:color w:val="000000"/>
                <w:sz w:val="24"/>
              </w:rPr>
              <w:t>&gt;</w:t>
            </w:r>
            <w:r>
              <w:rPr>
                <w:rFonts w:ascii="宋体" w:cs="宋体"/>
                <w:color w:val="000000"/>
                <w:sz w:val="24"/>
              </w:rPr>
              <w:t>85%</w:t>
            </w:r>
            <w:r>
              <w:rPr>
                <w:rFonts w:hint="eastAsia" w:ascii="宋体" w:cs="宋体"/>
                <w:color w:val="000000"/>
                <w:sz w:val="24"/>
              </w:rPr>
              <w:t>，公众知晓度</w:t>
            </w:r>
            <w:r>
              <w:rPr>
                <w:color w:val="000000"/>
                <w:sz w:val="24"/>
              </w:rPr>
              <w:t>&gt;85%</w:t>
            </w:r>
            <w:r>
              <w:rPr>
                <w:rFonts w:hint="eastAsia"/>
                <w:color w:val="000000"/>
                <w:sz w:val="24"/>
              </w:rPr>
              <w:t>。</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开展活动单位满意度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r>
    </w:tbl>
    <w:p>
      <w:pPr>
        <w:rPr>
          <w:rFonts w:ascii="Calibri" w:hAnsi="Calibri"/>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3. </w:t>
      </w:r>
      <w:r>
        <w:rPr>
          <w:rFonts w:hint="eastAsia" w:ascii="仿宋" w:hAnsi="仿宋" w:eastAsia="仿宋" w:cs="仿宋_GB2312"/>
          <w:sz w:val="32"/>
          <w:szCs w:val="32"/>
        </w:rPr>
        <w:t>“科技期刊出版发行”项目绩效目标完成情况综述。项目全年预算数</w:t>
      </w:r>
      <w:r>
        <w:rPr>
          <w:rFonts w:ascii="仿宋" w:hAnsi="仿宋" w:eastAsia="仿宋" w:cs="仿宋_GB2312"/>
          <w:sz w:val="32"/>
          <w:szCs w:val="32"/>
        </w:rPr>
        <w:t>8</w:t>
      </w:r>
      <w:r>
        <w:rPr>
          <w:rFonts w:hint="eastAsia" w:ascii="仿宋" w:hAnsi="仿宋" w:eastAsia="仿宋" w:cs="仿宋_GB2312"/>
          <w:sz w:val="32"/>
          <w:szCs w:val="32"/>
        </w:rPr>
        <w:t>万元，执行数为</w:t>
      </w:r>
      <w:r>
        <w:rPr>
          <w:rFonts w:ascii="仿宋" w:hAnsi="仿宋" w:eastAsia="仿宋" w:cs="仿宋_GB2312"/>
          <w:sz w:val="32"/>
          <w:szCs w:val="32"/>
        </w:rPr>
        <w:t>8</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攀枝花科技与信息》期刊的正常出版发行、提高了市级各部门的科技动态了解及为科技决策提供了基础资料的支撑。发现的主要问题：由于经费较少，社会需求量较大，期刊发行量不能满足社会需求。下一步改进措施：增加财政预算，提高期刊发行量。</w:t>
      </w: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firstLine="1800" w:firstLineChars="500"/>
              <w:textAlignment w:val="center"/>
              <w:rPr>
                <w:rFonts w:asci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27"/>
              <w:widowControl/>
              <w:ind w:left="4173" w:leftChars="1310" w:hanging="1422" w:hangingChars="395"/>
              <w:textAlignment w:val="center"/>
              <w:rPr>
                <w:rFonts w:ascii="宋体" w:cs="宋体"/>
                <w:color w:val="000000"/>
                <w:sz w:val="36"/>
                <w:szCs w:val="36"/>
              </w:rPr>
            </w:pP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科技期刊出版经费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8.00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8.00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8.00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8.00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25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严格按照国家新闻出版广电总局发布的《内部资料性出版物管理办法》（国家新闻出版广电总局令第</w:t>
            </w:r>
            <w:r>
              <w:rPr>
                <w:rFonts w:ascii="宋体" w:cs="宋体"/>
                <w:color w:val="000000"/>
                <w:sz w:val="24"/>
              </w:rPr>
              <w:t>2</w:t>
            </w:r>
            <w:r>
              <w:rPr>
                <w:rFonts w:hint="eastAsia" w:ascii="宋体" w:cs="宋体"/>
                <w:color w:val="000000"/>
                <w:sz w:val="24"/>
              </w:rPr>
              <w:t>号，于</w:t>
            </w:r>
            <w:r>
              <w:rPr>
                <w:rFonts w:ascii="宋体" w:cs="宋体"/>
                <w:color w:val="000000"/>
                <w:sz w:val="24"/>
              </w:rPr>
              <w:t>2015</w:t>
            </w:r>
            <w:r>
              <w:rPr>
                <w:rFonts w:hint="eastAsia" w:ascii="宋体" w:cs="宋体"/>
                <w:color w:val="000000"/>
                <w:sz w:val="24"/>
              </w:rPr>
              <w:t>年</w:t>
            </w:r>
            <w:r>
              <w:rPr>
                <w:rFonts w:ascii="宋体" w:cs="宋体"/>
                <w:color w:val="000000"/>
                <w:sz w:val="24"/>
              </w:rPr>
              <w:t>4</w:t>
            </w:r>
            <w:r>
              <w:rPr>
                <w:rFonts w:hint="eastAsia" w:ascii="宋体" w:cs="宋体"/>
                <w:color w:val="000000"/>
                <w:sz w:val="24"/>
              </w:rPr>
              <w:t>月</w:t>
            </w:r>
            <w:r>
              <w:rPr>
                <w:rFonts w:ascii="宋体" w:cs="宋体"/>
                <w:color w:val="000000"/>
                <w:sz w:val="24"/>
              </w:rPr>
              <w:t>1</w:t>
            </w:r>
            <w:r>
              <w:rPr>
                <w:rFonts w:hint="eastAsia" w:ascii="宋体" w:cs="宋体"/>
                <w:color w:val="000000"/>
                <w:sz w:val="24"/>
              </w:rPr>
              <w:t>日起施行）的有关规定进行办刊，切实搭建好科技工作的宣传舆论平台，为攀枝花市科技工作、科学研究服务。</w:t>
            </w:r>
            <w:r>
              <w:rPr>
                <w:rFonts w:ascii="宋体" w:cs="宋体"/>
                <w:color w:val="000000"/>
                <w:sz w:val="24"/>
              </w:rPr>
              <w:t xml:space="preserve">  </w:t>
            </w:r>
          </w:p>
          <w:p>
            <w:pPr>
              <w:widowControl/>
              <w:jc w:val="left"/>
              <w:textAlignment w:val="center"/>
              <w:rPr>
                <w:rFonts w:ascii="宋体" w:cs="宋体"/>
                <w:color w:val="000000"/>
                <w:sz w:val="24"/>
              </w:rPr>
            </w:pPr>
            <w:r>
              <w:rPr>
                <w:rFonts w:hint="eastAsia" w:ascii="宋体" w:cs="宋体"/>
                <w:color w:val="000000"/>
                <w:sz w:val="24"/>
              </w:rPr>
              <w:t>全年完成</w:t>
            </w:r>
            <w:r>
              <w:rPr>
                <w:rFonts w:ascii="宋体" w:cs="宋体"/>
                <w:color w:val="000000"/>
                <w:sz w:val="24"/>
              </w:rPr>
              <w:t>32</w:t>
            </w:r>
            <w:r>
              <w:rPr>
                <w:rFonts w:hint="eastAsia" w:ascii="宋体" w:cs="宋体"/>
                <w:color w:val="000000"/>
                <w:sz w:val="24"/>
              </w:rPr>
              <w:t>万字，总共四期刊版发行等工作。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根据年初制定的目标，圆满完成此项目的总体目标。</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刊物编辑出版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期</w:t>
            </w:r>
            <w:r>
              <w:rPr>
                <w:rFonts w:ascii="宋体" w:cs="宋体"/>
                <w:color w:val="000000"/>
                <w:sz w:val="24"/>
              </w:rPr>
              <w:t>/</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期</w:t>
            </w:r>
            <w:r>
              <w:rPr>
                <w:rFonts w:ascii="宋体" w:cs="宋体"/>
                <w:color w:val="000000"/>
                <w:sz w:val="24"/>
              </w:rPr>
              <w:t>/</w:t>
            </w:r>
            <w:r>
              <w:rPr>
                <w:rFonts w:hint="eastAsia" w:ascii="宋体" w:cs="宋体"/>
                <w:color w:val="000000"/>
                <w:sz w:val="24"/>
              </w:rPr>
              <w:t>年</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符合管理部门相关规定和标准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刊物编辑出版费及作者稿费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27000</w:t>
            </w:r>
            <w:r>
              <w:rPr>
                <w:rFonts w:hint="eastAsia" w:ascii="宋体" w:cs="宋体"/>
                <w:color w:val="000000"/>
                <w:sz w:val="24"/>
              </w:rPr>
              <w:t>元</w:t>
            </w:r>
            <w:r>
              <w:rPr>
                <w:rFonts w:ascii="宋体" w:cs="宋体"/>
                <w:color w:val="000000"/>
                <w:sz w:val="24"/>
              </w:rPr>
              <w:t>/</w:t>
            </w:r>
            <w:r>
              <w:rPr>
                <w:rFonts w:hint="eastAsia" w:ascii="宋体" w:cs="宋体"/>
                <w:color w:val="000000"/>
                <w:sz w:val="24"/>
              </w:rPr>
              <w:t>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20000</w:t>
            </w:r>
            <w:r>
              <w:rPr>
                <w:rFonts w:hint="eastAsia" w:ascii="宋体" w:cs="宋体"/>
                <w:color w:val="000000"/>
                <w:sz w:val="24"/>
              </w:rPr>
              <w:t>元</w:t>
            </w:r>
            <w:r>
              <w:rPr>
                <w:rFonts w:ascii="宋体" w:cs="宋体"/>
                <w:color w:val="000000"/>
                <w:sz w:val="24"/>
              </w:rPr>
              <w:t>/</w:t>
            </w:r>
            <w:r>
              <w:rPr>
                <w:rFonts w:hint="eastAsia" w:ascii="宋体" w:cs="宋体"/>
                <w:color w:val="000000"/>
                <w:sz w:val="24"/>
              </w:rPr>
              <w:t>期</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切实搭建好科技工作的宣传舆论平台，为攀枝花市科技工作、科学研究服务。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圆满完成</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试用期限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长期</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受众满意度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92%</w:t>
            </w:r>
          </w:p>
        </w:tc>
      </w:tr>
    </w:tbl>
    <w:p>
      <w:pPr>
        <w:spacing w:line="580" w:lineRule="exact"/>
        <w:rPr>
          <w:rFonts w:ascii="仿宋_GB2312" w:hAnsi="仿宋_GB2312" w:eastAsia="仿宋_GB2312" w:cs="仿宋_GB2312"/>
          <w:sz w:val="32"/>
          <w:szCs w:val="32"/>
        </w:rPr>
      </w:pPr>
    </w:p>
    <w:p>
      <w:pPr>
        <w:ind w:firstLine="640" w:firstLineChars="200"/>
        <w:rPr>
          <w:rFonts w:ascii="仿宋" w:hAnsi="仿宋" w:eastAsia="仿宋"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w:t>
      </w:r>
      <w:r>
        <w:rPr>
          <w:rFonts w:hint="eastAsia" w:ascii="仿宋" w:hAnsi="仿宋" w:eastAsia="仿宋" w:cs="宋体"/>
          <w:color w:val="000000"/>
          <w:sz w:val="32"/>
          <w:szCs w:val="32"/>
        </w:rPr>
        <w:t>关于加强基层社会治理</w:t>
      </w:r>
      <w:r>
        <w:rPr>
          <w:rFonts w:ascii="仿宋" w:hAnsi="仿宋" w:eastAsia="仿宋" w:cs="宋体"/>
          <w:color w:val="000000"/>
          <w:sz w:val="32"/>
          <w:szCs w:val="32"/>
        </w:rPr>
        <w:t xml:space="preserve">  </w:t>
      </w:r>
      <w:r>
        <w:rPr>
          <w:rFonts w:hint="eastAsia" w:ascii="仿宋" w:hAnsi="仿宋" w:eastAsia="仿宋" w:cs="宋体"/>
          <w:color w:val="000000"/>
          <w:sz w:val="32"/>
          <w:szCs w:val="32"/>
        </w:rPr>
        <w:t>推进法治攀枝花建设的研究</w:t>
      </w:r>
      <w:r>
        <w:rPr>
          <w:rFonts w:hint="eastAsia" w:ascii="仿宋" w:hAnsi="仿宋" w:eastAsia="仿宋" w:cs="仿宋_GB2312"/>
          <w:sz w:val="32"/>
          <w:szCs w:val="32"/>
        </w:rPr>
        <w:t>”项目绩效目标完成情况综述。项目全年预算数</w:t>
      </w:r>
      <w:r>
        <w:rPr>
          <w:rFonts w:ascii="仿宋" w:hAnsi="仿宋" w:eastAsia="仿宋" w:cs="仿宋_GB2312"/>
          <w:sz w:val="32"/>
          <w:szCs w:val="32"/>
        </w:rPr>
        <w:t>5</w:t>
      </w:r>
      <w:r>
        <w:rPr>
          <w:rFonts w:hint="eastAsia" w:ascii="仿宋" w:hAnsi="仿宋" w:eastAsia="仿宋" w:cs="仿宋_GB2312"/>
          <w:sz w:val="32"/>
          <w:szCs w:val="32"/>
        </w:rPr>
        <w:t>万元，执行数为</w:t>
      </w:r>
      <w:r>
        <w:rPr>
          <w:rFonts w:ascii="仿宋" w:hAnsi="仿宋" w:eastAsia="仿宋" w:cs="仿宋_GB2312"/>
          <w:sz w:val="32"/>
          <w:szCs w:val="32"/>
        </w:rPr>
        <w:t>5</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w:t>
      </w:r>
      <w:r>
        <w:rPr>
          <w:rFonts w:hint="eastAsia" w:ascii="仿宋" w:hAnsi="仿宋" w:eastAsia="仿宋"/>
          <w:sz w:val="32"/>
          <w:szCs w:val="32"/>
        </w:rPr>
        <w:t>对我市基层治理成效、问题进行了深入分析，认真总结全市基层社会治理取得的成效，深入分析存在的主要问题和困难，在借鉴有关城市治理经验的基础上，有针对性的提出了意见建议。</w:t>
      </w:r>
    </w:p>
    <w:tbl>
      <w:tblPr>
        <w:tblStyle w:val="11"/>
        <w:tblpPr w:leftFromText="180" w:rightFromText="180" w:vertAnchor="text" w:horzAnchor="page" w:tblpXSpec="center" w:tblpY="423"/>
        <w:tblOverlap w:val="never"/>
        <w:tblW w:w="9646" w:type="dxa"/>
        <w:tblInd w:w="0" w:type="dxa"/>
        <w:tblLayout w:type="fixed"/>
        <w:tblCellMar>
          <w:top w:w="0" w:type="dxa"/>
          <w:left w:w="0" w:type="dxa"/>
          <w:bottom w:w="0" w:type="dxa"/>
          <w:right w:w="0" w:type="dxa"/>
        </w:tblCellMar>
      </w:tblPr>
      <w:tblGrid>
        <w:gridCol w:w="9646"/>
      </w:tblGrid>
      <w:tr>
        <w:tblPrEx>
          <w:tblLayout w:type="fixed"/>
          <w:tblCellMar>
            <w:top w:w="0" w:type="dxa"/>
            <w:left w:w="0" w:type="dxa"/>
            <w:bottom w:w="0" w:type="dxa"/>
            <w:right w:w="0" w:type="dxa"/>
          </w:tblCellMar>
        </w:tblPrEx>
        <w:trPr>
          <w:trHeight w:val="1034" w:hRule="atLeast"/>
        </w:trPr>
        <w:tc>
          <w:tcPr>
            <w:tcW w:w="9646" w:type="dxa"/>
            <w:noWrap/>
            <w:tcMar>
              <w:top w:w="15" w:type="dxa"/>
              <w:left w:w="15" w:type="dxa"/>
              <w:bottom w:w="0" w:type="dxa"/>
              <w:right w:w="15" w:type="dxa"/>
            </w:tcMar>
            <w:vAlign w:val="center"/>
          </w:tcPr>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firstLine="1800" w:firstLineChars="500"/>
                    <w:textAlignment w:val="center"/>
                    <w:rPr>
                      <w:rFonts w:asci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27"/>
                    <w:widowControl/>
                    <w:ind w:left="4174" w:leftChars="1396" w:hanging="1242" w:hangingChars="345"/>
                    <w:textAlignment w:val="center"/>
                    <w:rPr>
                      <w:rFonts w:ascii="宋体" w:cs="宋体"/>
                      <w:color w:val="000000"/>
                      <w:sz w:val="36"/>
                      <w:szCs w:val="36"/>
                    </w:rPr>
                  </w:pP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关于加强基层社会治理</w:t>
                  </w:r>
                  <w:r>
                    <w:rPr>
                      <w:rFonts w:ascii="宋体" w:cs="宋体"/>
                      <w:color w:val="000000"/>
                      <w:sz w:val="24"/>
                    </w:rPr>
                    <w:t xml:space="preserve">  </w:t>
                  </w:r>
                  <w:r>
                    <w:rPr>
                      <w:rFonts w:hint="eastAsia" w:ascii="宋体" w:cs="宋体"/>
                      <w:color w:val="000000"/>
                      <w:sz w:val="24"/>
                    </w:rPr>
                    <w:t>推进法治攀枝花建设的研究</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通过对全市基层社会治理状况进行深入调查研究和认真梳理，查找全市基层社会治理的薄弱环节和制约瓶颈，提出新时期加强基层社会治理的对策建议，为政府决策提供参考。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方正仿宋_GBK" w:eastAsia="方正仿宋_GBK"/>
                      <w:sz w:val="24"/>
                    </w:rPr>
                    <w:t>本</w:t>
                  </w:r>
                  <w:r>
                    <w:rPr>
                      <w:rFonts w:hint="eastAsia" w:ascii="宋体" w:cs="宋体"/>
                      <w:color w:val="000000"/>
                      <w:sz w:val="24"/>
                    </w:rPr>
                    <w:t>课题认真贯彻落实习近平总书记关于推动社会管理向社会治理转变的重大战略思想，以十九大“加强和创新社会治理”为统揽，对我市基层治理成效、问题进行了深入分析，在借鉴有关城市治理经验的基础上，有针对性的提出了意见建议。</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外出调研活动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w:t>
                  </w:r>
                  <w:r>
                    <w:rPr>
                      <w:rFonts w:ascii="宋体" w:cs="宋体"/>
                      <w:color w:val="000000"/>
                      <w:sz w:val="24"/>
                    </w:rPr>
                    <w:t>3</w:t>
                  </w:r>
                  <w:r>
                    <w:rPr>
                      <w:rFonts w:hint="eastAsia" w:ascii="宋体" w:cs="宋体"/>
                      <w:color w:val="000000"/>
                      <w:sz w:val="24"/>
                    </w:rPr>
                    <w:t>次</w:t>
                  </w:r>
                  <w:r>
                    <w:rPr>
                      <w:rFonts w:ascii="宋体" w:cs="宋体"/>
                      <w:color w:val="000000"/>
                      <w:sz w:val="24"/>
                    </w:rPr>
                    <w:t>/</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次</w:t>
                  </w:r>
                </w:p>
              </w:tc>
            </w:tr>
            <w:tr>
              <w:tblPrEx>
                <w:tblLayout w:type="fixed"/>
                <w:tblCellMar>
                  <w:top w:w="0" w:type="dxa"/>
                  <w:left w:w="0" w:type="dxa"/>
                  <w:bottom w:w="0" w:type="dxa"/>
                  <w:right w:w="0" w:type="dxa"/>
                </w:tblCellMar>
              </w:tblPrEx>
              <w:trPr>
                <w:trHeight w:val="23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取得真实可靠的第一手资料，提出科学的建议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对我市基层治理成效、问题进行了深入分析，在借鉴有关城市治理经验的基础上，有针对性的提出了意见建议。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对我市基层治理成效、问题进行了深入分析，在借鉴有关城市治理经验的基础上，有针对性的提出了意见建议。</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调研差旅行费、撰搞费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通过对全市基层社会治理状况进行深入调查研究和认真梳理，查找全市基层社会治理的薄弱环节和制约瓶颈，提出新时期加强基层社会治理的对策建议，为政府决策提供参考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一、本课题认真贯彻落实习近平总书记关于推动社会管理向社会治理转变的重大战略思想，以十九大“加强和创新社会治理”为统揽，对我市基层治理成效、问题进行了深入分析，在借鉴有关城市治理经验的基础上，有针对性的提出了意见建议。</w:t>
                  </w:r>
                </w:p>
                <w:p>
                  <w:pPr>
                    <w:widowControl/>
                    <w:jc w:val="center"/>
                    <w:textAlignment w:val="center"/>
                    <w:rPr>
                      <w:rFonts w:ascii="宋体" w:cs="宋体"/>
                      <w:color w:val="000000"/>
                      <w:szCs w:val="21"/>
                    </w:rPr>
                  </w:pPr>
                  <w:r>
                    <w:rPr>
                      <w:rFonts w:hint="eastAsia" w:ascii="宋体" w:cs="宋体"/>
                      <w:color w:val="000000"/>
                      <w:szCs w:val="21"/>
                    </w:rPr>
                    <w:t>二、课题首次对全市城镇社区和行政村资料统一收集、研究，立体展示了全市基层经济、社会、法治、组织建设等情况，为全面、深入研究我市基层社会治理提供了难得素材，具有较强的再利用价值。以图文并茂方式进行比较研究，形式可取。</w:t>
                  </w:r>
                </w:p>
                <w:p>
                  <w:pPr>
                    <w:widowControl/>
                    <w:jc w:val="left"/>
                    <w:textAlignment w:val="center"/>
                    <w:rPr>
                      <w:rFonts w:ascii="宋体" w:cs="宋体"/>
                      <w:color w:val="000000"/>
                      <w:sz w:val="24"/>
                    </w:rPr>
                  </w:pPr>
                  <w:r>
                    <w:rPr>
                      <w:rFonts w:hint="eastAsia" w:ascii="宋体" w:cs="宋体"/>
                      <w:color w:val="000000"/>
                      <w:szCs w:val="21"/>
                    </w:rPr>
                    <w:t>三、课题对问题的分析基于大量第一手资料，真实可信；有关城市治理经验介绍较翔实，便于参考借鉴；对策建议对照党的十九大“社会心理服务体系、社区治理体系建设”等新要求提出，具有一定的前瞻性和可操作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cs="宋体"/>
                      <w:color w:val="000000"/>
                      <w:szCs w:val="21"/>
                    </w:rPr>
                    <w:t>一、本课题认真贯彻落实习近平总书记关于推动社会管理向社会治理转变的重大战略思想，以十九大“加强和创新社会治理”为统揽，对我市基层治理成效、问题进行了深入分析，在借鉴有关城市治理经验的基础上，有针对性的提出了意见建议。</w:t>
                  </w:r>
                </w:p>
                <w:p>
                  <w:pPr>
                    <w:widowControl/>
                    <w:jc w:val="center"/>
                    <w:textAlignment w:val="center"/>
                    <w:rPr>
                      <w:rFonts w:ascii="宋体" w:cs="宋体"/>
                      <w:color w:val="000000"/>
                      <w:szCs w:val="21"/>
                    </w:rPr>
                  </w:pPr>
                  <w:r>
                    <w:rPr>
                      <w:rFonts w:hint="eastAsia" w:ascii="宋体" w:cs="宋体"/>
                      <w:color w:val="000000"/>
                      <w:szCs w:val="21"/>
                    </w:rPr>
                    <w:t>二、课题首次对全市城镇社区和行政村资料统一收集、研究，立体展示了全市基层经济、社会、法治、组织建设等情况，为全面、深入研究我市基层社会治理提供了难得素材，具有较强的再利用价值。以图文并茂方式进行比较研究，形式可取。</w:t>
                  </w:r>
                </w:p>
                <w:p>
                  <w:pPr>
                    <w:widowControl/>
                    <w:jc w:val="center"/>
                    <w:textAlignment w:val="center"/>
                    <w:rPr>
                      <w:rFonts w:ascii="宋体" w:cs="宋体"/>
                      <w:color w:val="000000"/>
                      <w:sz w:val="24"/>
                    </w:rPr>
                  </w:pPr>
                  <w:r>
                    <w:rPr>
                      <w:rFonts w:hint="eastAsia" w:ascii="宋体" w:cs="宋体"/>
                      <w:color w:val="000000"/>
                      <w:szCs w:val="21"/>
                    </w:rPr>
                    <w:t>三、课题对问题的分析基于大量第一手资料，真实可信；有关城市治理经验介绍较翔实，便于参考借鉴；对策建议对照党的十九大“社会心理服务体系、社区治理体系建设”等新要求提出，具有一定的前瞻性和可操作性。</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95%</w:t>
                  </w:r>
                </w:p>
              </w:tc>
            </w:tr>
          </w:tbl>
          <w:p>
            <w:pPr>
              <w:rPr>
                <w:rFonts w:ascii="Calibri" w:hAnsi="Calibri"/>
              </w:rPr>
            </w:pPr>
          </w:p>
          <w:p/>
          <w:p>
            <w:pPr>
              <w:ind w:firstLine="640" w:firstLineChars="200"/>
              <w:rPr>
                <w:rFonts w:ascii="仿宋" w:hAnsi="仿宋" w:eastAsia="仿宋" w:cs="仿宋_GB2312"/>
                <w:sz w:val="32"/>
                <w:szCs w:val="32"/>
              </w:rPr>
            </w:pPr>
            <w:r>
              <w:rPr>
                <w:rFonts w:ascii="仿宋" w:hAnsi="仿宋" w:eastAsia="仿宋" w:cs="仿宋_GB2312"/>
                <w:sz w:val="32"/>
                <w:szCs w:val="32"/>
              </w:rPr>
              <w:t xml:space="preserve">5. </w:t>
            </w:r>
            <w:r>
              <w:rPr>
                <w:rFonts w:hint="eastAsia" w:ascii="仿宋" w:hAnsi="仿宋" w:eastAsia="仿宋" w:cs="仿宋_GB2312"/>
                <w:sz w:val="32"/>
                <w:szCs w:val="32"/>
              </w:rPr>
              <w:t>“攀枝花钒钛研究院</w:t>
            </w:r>
            <w:r>
              <w:rPr>
                <w:rFonts w:ascii="仿宋" w:hAnsi="仿宋" w:eastAsia="仿宋" w:cs="仿宋_GB2312"/>
                <w:sz w:val="32"/>
                <w:szCs w:val="32"/>
              </w:rPr>
              <w:t>2018</w:t>
            </w:r>
            <w:r>
              <w:rPr>
                <w:rFonts w:hint="eastAsia" w:ascii="仿宋" w:hAnsi="仿宋" w:eastAsia="仿宋" w:cs="仿宋_GB2312"/>
                <w:sz w:val="32"/>
                <w:szCs w:val="32"/>
              </w:rPr>
              <w:t>年度科研目标激励”项目绩效目标完成情况综述。项目全年预算数</w:t>
            </w:r>
            <w:r>
              <w:rPr>
                <w:rFonts w:ascii="仿宋" w:hAnsi="仿宋" w:eastAsia="仿宋" w:cs="仿宋_GB2312"/>
                <w:sz w:val="32"/>
                <w:szCs w:val="32"/>
              </w:rPr>
              <w:t>100</w:t>
            </w:r>
            <w:r>
              <w:rPr>
                <w:rFonts w:hint="eastAsia" w:ascii="仿宋" w:hAnsi="仿宋" w:eastAsia="仿宋" w:cs="仿宋_GB2312"/>
                <w:sz w:val="32"/>
                <w:szCs w:val="32"/>
              </w:rPr>
              <w:t>万元，执行数为</w:t>
            </w:r>
            <w:r>
              <w:rPr>
                <w:rFonts w:ascii="仿宋" w:hAnsi="仿宋" w:eastAsia="仿宋" w:cs="仿宋_GB2312"/>
                <w:sz w:val="32"/>
                <w:szCs w:val="32"/>
              </w:rPr>
              <w:t>100</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为攀钢钛产业做强做大以及钒产业做强做优提出了快速强力支撑；以高炉渣提钒低温氯化长周期连续稳定运行与示范线建设、球形钛粉制备、提钛尾渣资源化利用以及低温脱硝技术等为标志，一批前瞻性项目取得重要阶段进展，指引了资源综合利用与新材料事业新方向。</w:t>
            </w:r>
          </w:p>
        </w:tc>
      </w:tr>
    </w:tbl>
    <w:p>
      <w:pPr>
        <w:tabs>
          <w:tab w:val="left" w:pos="312"/>
        </w:tabs>
        <w:spacing w:line="580" w:lineRule="exact"/>
        <w:rPr>
          <w:rFonts w:ascii="仿宋_GB2312" w:hAnsi="仿宋_GB2312" w:eastAsia="仿宋_GB2312" w:cs="仿宋_GB2312"/>
          <w:sz w:val="32"/>
          <w:szCs w:val="32"/>
        </w:rPr>
      </w:pP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3247" w:leftChars="946" w:hanging="1260" w:hangingChars="350"/>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攀枝花钒钛研究院</w:t>
            </w:r>
            <w:r>
              <w:rPr>
                <w:rFonts w:ascii="宋体" w:hAnsi="宋体" w:cs="宋体"/>
                <w:color w:val="000000"/>
                <w:sz w:val="24"/>
              </w:rPr>
              <w:t>2018</w:t>
            </w:r>
            <w:r>
              <w:rPr>
                <w:rFonts w:hint="eastAsia" w:ascii="宋体" w:hAnsi="宋体" w:cs="宋体"/>
                <w:color w:val="000000"/>
                <w:sz w:val="24"/>
              </w:rPr>
              <w:t>年度科研目标激励</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一、科研项目管理</w:t>
            </w:r>
          </w:p>
          <w:p>
            <w:pPr>
              <w:widowControl/>
              <w:jc w:val="left"/>
              <w:textAlignment w:val="center"/>
              <w:rPr>
                <w:rFonts w:ascii="宋体" w:cs="宋体"/>
                <w:color w:val="000000"/>
                <w:sz w:val="24"/>
              </w:rPr>
            </w:pPr>
            <w:r>
              <w:rPr>
                <w:rFonts w:hint="eastAsia" w:ascii="宋体" w:hAnsi="宋体" w:cs="宋体"/>
                <w:color w:val="000000"/>
                <w:sz w:val="24"/>
              </w:rPr>
              <w:t>（一）项目申报</w:t>
            </w:r>
          </w:p>
          <w:p>
            <w:pPr>
              <w:widowControl/>
              <w:jc w:val="left"/>
              <w:textAlignment w:val="center"/>
              <w:rPr>
                <w:rFonts w:ascii="宋体" w:cs="宋体"/>
                <w:color w:val="000000"/>
                <w:sz w:val="24"/>
              </w:rPr>
            </w:pPr>
            <w:r>
              <w:rPr>
                <w:rFonts w:ascii="宋体" w:hAnsi="宋体" w:cs="宋体"/>
                <w:color w:val="000000"/>
                <w:sz w:val="24"/>
              </w:rPr>
              <w:t xml:space="preserve">    1</w:t>
            </w:r>
            <w:r>
              <w:rPr>
                <w:rFonts w:hint="eastAsia" w:ascii="宋体" w:hAnsi="宋体" w:cs="宋体"/>
                <w:color w:val="000000"/>
                <w:sz w:val="24"/>
              </w:rPr>
              <w:t>．组织申报国家级科研项目（课题）</w:t>
            </w:r>
            <w:r>
              <w:rPr>
                <w:rFonts w:ascii="宋体" w:hAnsi="宋体" w:cs="宋体"/>
                <w:color w:val="000000"/>
                <w:sz w:val="24"/>
              </w:rPr>
              <w:t>2</w:t>
            </w:r>
            <w:r>
              <w:rPr>
                <w:rFonts w:hint="eastAsia" w:ascii="宋体" w:hAnsi="宋体" w:cs="宋体"/>
                <w:color w:val="000000"/>
                <w:sz w:val="24"/>
              </w:rPr>
              <w:t>项以上；承担国家级科研课题</w:t>
            </w:r>
            <w:r>
              <w:rPr>
                <w:rFonts w:ascii="宋体" w:hAnsi="宋体" w:cs="宋体"/>
                <w:color w:val="000000"/>
                <w:sz w:val="24"/>
              </w:rPr>
              <w:t>2</w:t>
            </w:r>
            <w:r>
              <w:rPr>
                <w:rFonts w:hint="eastAsia" w:ascii="宋体" w:hAnsi="宋体" w:cs="宋体"/>
                <w:color w:val="000000"/>
                <w:sz w:val="24"/>
              </w:rPr>
              <w:t>项。</w:t>
            </w:r>
          </w:p>
          <w:p>
            <w:pPr>
              <w:widowControl/>
              <w:jc w:val="left"/>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．组织申报省级科技计划项目</w:t>
            </w:r>
            <w:r>
              <w:rPr>
                <w:rFonts w:ascii="宋体" w:hAnsi="宋体" w:cs="宋体"/>
                <w:color w:val="000000"/>
                <w:sz w:val="24"/>
              </w:rPr>
              <w:t>5</w:t>
            </w:r>
            <w:r>
              <w:rPr>
                <w:rFonts w:hint="eastAsia" w:ascii="宋体" w:hAnsi="宋体" w:cs="宋体"/>
                <w:color w:val="000000"/>
                <w:sz w:val="24"/>
              </w:rPr>
              <w:t>项以上，获专项经费不低于</w:t>
            </w:r>
            <w:r>
              <w:rPr>
                <w:rFonts w:ascii="宋体" w:hAnsi="宋体" w:cs="宋体"/>
                <w:color w:val="000000"/>
                <w:sz w:val="24"/>
              </w:rPr>
              <w:t>150</w:t>
            </w:r>
            <w:r>
              <w:rPr>
                <w:rFonts w:hint="eastAsia" w:ascii="宋体" w:hAnsi="宋体" w:cs="宋体"/>
                <w:color w:val="000000"/>
                <w:sz w:val="24"/>
              </w:rPr>
              <w:t>万元；承担省级各类科研项目</w:t>
            </w:r>
            <w:r>
              <w:rPr>
                <w:rFonts w:ascii="宋体" w:hAnsi="宋体" w:cs="宋体"/>
                <w:color w:val="000000"/>
                <w:sz w:val="24"/>
              </w:rPr>
              <w:t>5</w:t>
            </w:r>
            <w:r>
              <w:rPr>
                <w:rFonts w:hint="eastAsia" w:ascii="宋体" w:hAnsi="宋体" w:cs="宋体"/>
                <w:color w:val="000000"/>
                <w:sz w:val="24"/>
              </w:rPr>
              <w:t>项。</w:t>
            </w:r>
          </w:p>
          <w:p>
            <w:pPr>
              <w:widowControl/>
              <w:jc w:val="left"/>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．积极组织实施攀西战略资源创新开发试验区重大科技攻关工作，验收结题</w:t>
            </w:r>
            <w:r>
              <w:rPr>
                <w:rFonts w:ascii="宋体" w:hAnsi="宋体" w:cs="宋体"/>
                <w:color w:val="000000"/>
                <w:sz w:val="24"/>
              </w:rPr>
              <w:t>3</w:t>
            </w:r>
            <w:r>
              <w:rPr>
                <w:rFonts w:hint="eastAsia" w:ascii="宋体" w:hAnsi="宋体" w:cs="宋体"/>
                <w:color w:val="000000"/>
                <w:sz w:val="24"/>
              </w:rPr>
              <w:t>个项目。</w:t>
            </w:r>
          </w:p>
          <w:p>
            <w:pPr>
              <w:widowControl/>
              <w:jc w:val="left"/>
              <w:textAlignment w:val="center"/>
              <w:rPr>
                <w:rFonts w:ascii="宋体" w:cs="宋体"/>
                <w:color w:val="000000"/>
                <w:sz w:val="24"/>
              </w:rPr>
            </w:pPr>
            <w:r>
              <w:rPr>
                <w:rFonts w:ascii="宋体" w:hAnsi="宋体" w:cs="宋体"/>
                <w:color w:val="000000"/>
                <w:sz w:val="24"/>
              </w:rPr>
              <w:t>4</w:t>
            </w:r>
            <w:r>
              <w:rPr>
                <w:rFonts w:hint="eastAsia" w:ascii="宋体" w:hAnsi="宋体" w:cs="宋体"/>
                <w:color w:val="000000"/>
                <w:sz w:val="24"/>
              </w:rPr>
              <w:t>．完善国家和省级各类科技计划项目库，提出年度研发计划。</w:t>
            </w:r>
          </w:p>
          <w:p>
            <w:pPr>
              <w:widowControl/>
              <w:jc w:val="left"/>
              <w:textAlignment w:val="center"/>
              <w:rPr>
                <w:rFonts w:ascii="宋体" w:cs="宋体"/>
                <w:color w:val="000000"/>
                <w:sz w:val="24"/>
              </w:rPr>
            </w:pPr>
            <w:r>
              <w:rPr>
                <w:rFonts w:hint="eastAsia" w:ascii="宋体" w:hAnsi="宋体" w:cs="宋体"/>
                <w:color w:val="000000"/>
                <w:sz w:val="24"/>
              </w:rPr>
              <w:t>（二）科技研发</w:t>
            </w:r>
          </w:p>
          <w:p>
            <w:pPr>
              <w:widowControl/>
              <w:jc w:val="left"/>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．对照项目计划任务书（合同）规定的项目执行期限，系统梳理承担的市级以上科技计划项目，按要求及时报送项目执行情况，做好到期项目验收结题工作。</w:t>
            </w:r>
          </w:p>
          <w:p>
            <w:pPr>
              <w:widowControl/>
              <w:jc w:val="left"/>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．定期向市科学技术和知识产权局报送钒钛研究院年度科研工作进展、存在的问题及计划安排，积极配合市科学技术和知识产权局做好临时安排的统计和科研任务。</w:t>
            </w:r>
          </w:p>
          <w:p>
            <w:pPr>
              <w:widowControl/>
              <w:jc w:val="left"/>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建立院</w:t>
            </w:r>
            <w:r>
              <w:rPr>
                <w:rFonts w:ascii="宋体" w:cs="宋体"/>
                <w:color w:val="000000"/>
                <w:sz w:val="24"/>
              </w:rPr>
              <w:t>-</w:t>
            </w:r>
            <w:r>
              <w:rPr>
                <w:rFonts w:hint="eastAsia" w:ascii="宋体" w:hAnsi="宋体" w:cs="宋体"/>
                <w:color w:val="000000"/>
                <w:sz w:val="24"/>
              </w:rPr>
              <w:t>局定期交流机制，打造有效沟通平台。每季度最后一月，以实地走访或会议形式，双方进行工作交流。</w:t>
            </w:r>
          </w:p>
          <w:p>
            <w:pPr>
              <w:widowControl/>
              <w:jc w:val="left"/>
              <w:textAlignment w:val="center"/>
              <w:rPr>
                <w:rFonts w:ascii="宋体" w:cs="宋体"/>
                <w:color w:val="000000"/>
                <w:sz w:val="24"/>
              </w:rPr>
            </w:pPr>
            <w:r>
              <w:rPr>
                <w:rFonts w:ascii="宋体" w:hAnsi="宋体" w:cs="宋体"/>
                <w:color w:val="000000"/>
                <w:sz w:val="24"/>
              </w:rPr>
              <w:t>4</w:t>
            </w:r>
            <w:r>
              <w:rPr>
                <w:rFonts w:hint="eastAsia" w:ascii="宋体" w:hAnsi="宋体" w:cs="宋体"/>
                <w:color w:val="000000"/>
                <w:sz w:val="24"/>
              </w:rPr>
              <w:t>．统筹布局一批重大科技创新项目，以构建共创共享研发体系为根本，深化科技供给与激励改革，锐意进取，拼搏实干，为新攀钢建设提供新动能，为地方企业生产经营和攀枝花市发展战略</w:t>
            </w:r>
            <w:r>
              <w:rPr>
                <w:rFonts w:ascii="宋体" w:cs="宋体"/>
                <w:color w:val="000000"/>
                <w:sz w:val="24"/>
              </w:rPr>
              <w:t>,</w:t>
            </w:r>
            <w:r>
              <w:rPr>
                <w:rFonts w:hint="eastAsia" w:ascii="宋体" w:hAnsi="宋体" w:cs="宋体"/>
                <w:color w:val="000000"/>
                <w:sz w:val="24"/>
              </w:rPr>
              <w:t>发挥强劲的技术引擎作用。</w:t>
            </w:r>
          </w:p>
          <w:p>
            <w:pPr>
              <w:widowControl/>
              <w:jc w:val="left"/>
              <w:textAlignment w:val="center"/>
              <w:rPr>
                <w:rFonts w:ascii="宋体" w:cs="宋体"/>
                <w:color w:val="000000"/>
                <w:sz w:val="24"/>
              </w:rPr>
            </w:pPr>
            <w:r>
              <w:rPr>
                <w:rFonts w:hint="eastAsia" w:ascii="宋体" w:hAnsi="宋体" w:cs="宋体"/>
                <w:color w:val="000000"/>
                <w:sz w:val="24"/>
              </w:rPr>
              <w:t>二、“四技”服务</w:t>
            </w:r>
          </w:p>
          <w:p>
            <w:pPr>
              <w:widowControl/>
              <w:jc w:val="left"/>
              <w:textAlignment w:val="center"/>
              <w:rPr>
                <w:rFonts w:ascii="宋体" w:cs="宋体"/>
                <w:color w:val="000000"/>
                <w:sz w:val="24"/>
              </w:rPr>
            </w:pPr>
            <w:r>
              <w:rPr>
                <w:rFonts w:hint="eastAsia" w:ascii="宋体" w:hAnsi="宋体" w:cs="宋体"/>
                <w:color w:val="000000"/>
                <w:sz w:val="24"/>
              </w:rPr>
              <w:t>积极主动服务地方经济社会，加强成果转移转化，全年完成技术交易合同</w:t>
            </w:r>
            <w:r>
              <w:rPr>
                <w:rFonts w:ascii="宋体" w:hAnsi="宋体" w:cs="宋体"/>
                <w:color w:val="000000"/>
                <w:sz w:val="24"/>
              </w:rPr>
              <w:t>1.2</w:t>
            </w:r>
            <w:r>
              <w:rPr>
                <w:rFonts w:hint="eastAsia" w:ascii="宋体" w:hAnsi="宋体" w:cs="宋体"/>
                <w:color w:val="000000"/>
                <w:sz w:val="24"/>
              </w:rPr>
              <w:t>亿元。重点围绕攀枝花钒钛高新技术产业园区中的企业提供“四技”服务工作，争取技术性收入≥</w:t>
            </w:r>
            <w:r>
              <w:rPr>
                <w:rFonts w:ascii="宋体" w:hAnsi="宋体" w:cs="宋体"/>
                <w:color w:val="000000"/>
                <w:sz w:val="24"/>
              </w:rPr>
              <w:t>300</w:t>
            </w:r>
            <w:r>
              <w:rPr>
                <w:rFonts w:hint="eastAsia" w:ascii="宋体" w:hAnsi="宋体" w:cs="宋体"/>
                <w:color w:val="000000"/>
                <w:sz w:val="24"/>
              </w:rPr>
              <w:t>万元。</w:t>
            </w:r>
          </w:p>
          <w:p>
            <w:pPr>
              <w:widowControl/>
              <w:jc w:val="left"/>
              <w:textAlignment w:val="center"/>
              <w:rPr>
                <w:rFonts w:ascii="宋体" w:cs="宋体"/>
                <w:color w:val="000000"/>
                <w:sz w:val="24"/>
              </w:rPr>
            </w:pPr>
            <w:r>
              <w:rPr>
                <w:rFonts w:hint="eastAsia" w:ascii="宋体" w:hAnsi="宋体" w:cs="宋体"/>
                <w:color w:val="000000"/>
                <w:sz w:val="24"/>
              </w:rPr>
              <w:t>三、知识产权工作</w:t>
            </w:r>
          </w:p>
          <w:p>
            <w:pPr>
              <w:widowControl/>
              <w:jc w:val="left"/>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年在攀申请发明专利不低于</w:t>
            </w:r>
            <w:r>
              <w:rPr>
                <w:rFonts w:ascii="宋体" w:hAnsi="宋体" w:cs="宋体"/>
                <w:color w:val="000000"/>
                <w:sz w:val="24"/>
              </w:rPr>
              <w:t>240</w:t>
            </w:r>
            <w:r>
              <w:rPr>
                <w:rFonts w:hint="eastAsia" w:ascii="宋体" w:hAnsi="宋体" w:cs="宋体"/>
                <w:color w:val="000000"/>
                <w:sz w:val="24"/>
              </w:rPr>
              <w:t>项（或有效发明专利累计不低于</w:t>
            </w:r>
            <w:r>
              <w:rPr>
                <w:rFonts w:ascii="宋体" w:hAnsi="宋体" w:cs="宋体"/>
                <w:color w:val="000000"/>
                <w:sz w:val="24"/>
              </w:rPr>
              <w:t>1200</w:t>
            </w:r>
            <w:r>
              <w:rPr>
                <w:rFonts w:hint="eastAsia" w:ascii="宋体" w:hAnsi="宋体" w:cs="宋体"/>
                <w:color w:val="000000"/>
                <w:sz w:val="24"/>
              </w:rPr>
              <w:t>项），形成企业技术秘密不低于</w:t>
            </w:r>
            <w:r>
              <w:rPr>
                <w:rFonts w:ascii="宋体" w:hAnsi="宋体" w:cs="宋体"/>
                <w:color w:val="000000"/>
                <w:sz w:val="24"/>
              </w:rPr>
              <w:t>10</w:t>
            </w:r>
            <w:r>
              <w:rPr>
                <w:rFonts w:hint="eastAsia" w:ascii="宋体" w:hAnsi="宋体" w:cs="宋体"/>
                <w:color w:val="000000"/>
                <w:sz w:val="24"/>
              </w:rPr>
              <w:t>项，在核心期刊发表论文不低于</w:t>
            </w:r>
            <w:r>
              <w:rPr>
                <w:rFonts w:ascii="宋体" w:hAnsi="宋体" w:cs="宋体"/>
                <w:color w:val="000000"/>
                <w:sz w:val="24"/>
              </w:rPr>
              <w:t>50</w:t>
            </w:r>
            <w:r>
              <w:rPr>
                <w:rFonts w:hint="eastAsia" w:ascii="宋体" w:hAnsi="宋体" w:cs="宋体"/>
                <w:color w:val="000000"/>
                <w:sz w:val="24"/>
              </w:rPr>
              <w:t>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全面完成。</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争取军工合作项目≥</w:t>
            </w:r>
            <w:r>
              <w:rPr>
                <w:rFonts w:ascii="宋体" w:hAnsi="宋体" w:cs="宋体"/>
                <w:color w:val="000000"/>
                <w:sz w:val="24"/>
              </w:rPr>
              <w:t>2</w:t>
            </w:r>
            <w:r>
              <w:rPr>
                <w:rFonts w:hint="eastAsia" w:ascii="宋体" w:hAnsi="宋体" w:cs="宋体"/>
                <w:color w:val="000000"/>
                <w:sz w:val="24"/>
              </w:rPr>
              <w:t>项；争取省以上政府项目≥</w:t>
            </w:r>
            <w:r>
              <w:rPr>
                <w:rFonts w:ascii="宋体" w:hAnsi="宋体" w:cs="宋体"/>
                <w:color w:val="000000"/>
                <w:sz w:val="24"/>
              </w:rPr>
              <w:t>4</w:t>
            </w:r>
            <w:r>
              <w:rPr>
                <w:rFonts w:hint="eastAsia" w:ascii="宋体" w:hAnsi="宋体" w:cs="宋体"/>
                <w:color w:val="000000"/>
                <w:sz w:val="24"/>
              </w:rPr>
              <w:t>项，其中国家</w:t>
            </w:r>
            <w:r>
              <w:rPr>
                <w:rFonts w:ascii="宋体" w:hAnsi="宋体" w:cs="宋体"/>
                <w:color w:val="000000"/>
                <w:sz w:val="24"/>
              </w:rPr>
              <w:t>1</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争取军工合作项目≥</w:t>
            </w:r>
            <w:r>
              <w:rPr>
                <w:rFonts w:ascii="宋体" w:hAnsi="宋体" w:cs="宋体"/>
                <w:color w:val="000000"/>
                <w:sz w:val="24"/>
              </w:rPr>
              <w:t>2</w:t>
            </w:r>
            <w:r>
              <w:rPr>
                <w:rFonts w:hint="eastAsia" w:ascii="宋体" w:hAnsi="宋体" w:cs="宋体"/>
                <w:color w:val="000000"/>
                <w:sz w:val="24"/>
              </w:rPr>
              <w:t>项；争取省以上政府项目≥</w:t>
            </w:r>
            <w:r>
              <w:rPr>
                <w:rFonts w:ascii="宋体" w:hAnsi="宋体" w:cs="宋体"/>
                <w:color w:val="000000"/>
                <w:sz w:val="24"/>
              </w:rPr>
              <w:t>4</w:t>
            </w:r>
            <w:r>
              <w:rPr>
                <w:rFonts w:hint="eastAsia" w:ascii="宋体" w:hAnsi="宋体" w:cs="宋体"/>
                <w:color w:val="000000"/>
                <w:sz w:val="24"/>
              </w:rPr>
              <w:t>项，其中国家</w:t>
            </w:r>
            <w:r>
              <w:rPr>
                <w:rFonts w:ascii="宋体" w:hAnsi="宋体" w:cs="宋体"/>
                <w:color w:val="000000"/>
                <w:sz w:val="24"/>
              </w:rPr>
              <w:t>1</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、军工</w:t>
            </w:r>
            <w:r>
              <w:rPr>
                <w:rFonts w:ascii="宋体" w:hAnsi="宋体" w:cs="宋体"/>
                <w:color w:val="000000"/>
                <w:sz w:val="24"/>
              </w:rPr>
              <w:t>2</w:t>
            </w:r>
            <w:r>
              <w:rPr>
                <w:rFonts w:hint="eastAsia" w:ascii="宋体" w:hAnsi="宋体" w:cs="宋体"/>
                <w:color w:val="000000"/>
                <w:sz w:val="24"/>
              </w:rPr>
              <w:t>项：钛精密铸造、</w:t>
            </w:r>
            <w:r>
              <w:rPr>
                <w:rFonts w:ascii="宋体" w:hAnsi="宋体" w:cs="宋体"/>
                <w:color w:val="000000"/>
                <w:sz w:val="24"/>
              </w:rPr>
              <w:t>3D</w:t>
            </w:r>
            <w:r>
              <w:rPr>
                <w:rFonts w:hint="eastAsia" w:ascii="宋体" w:hAnsi="宋体" w:cs="宋体"/>
                <w:color w:val="000000"/>
                <w:sz w:val="24"/>
              </w:rPr>
              <w:t>打印钛粉</w:t>
            </w:r>
          </w:p>
          <w:p>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、省级上</w:t>
            </w:r>
            <w:r>
              <w:rPr>
                <w:rFonts w:ascii="宋体" w:hAnsi="宋体" w:cs="宋体"/>
                <w:color w:val="000000"/>
                <w:sz w:val="24"/>
              </w:rPr>
              <w:t>5</w:t>
            </w:r>
            <w:r>
              <w:rPr>
                <w:rFonts w:hint="eastAsia" w:ascii="宋体" w:hAnsi="宋体" w:cs="宋体"/>
                <w:color w:val="000000"/>
                <w:sz w:val="24"/>
              </w:rPr>
              <w:t>项，其中国家级</w:t>
            </w:r>
            <w:r>
              <w:rPr>
                <w:rFonts w:ascii="宋体" w:hAnsi="宋体" w:cs="宋体"/>
                <w:color w:val="000000"/>
                <w:sz w:val="24"/>
              </w:rPr>
              <w:t>1</w:t>
            </w:r>
            <w:r>
              <w:rPr>
                <w:rFonts w:hint="eastAsia" w:ascii="宋体" w:hAnsi="宋体" w:cs="宋体"/>
                <w:color w:val="000000"/>
                <w:sz w:val="24"/>
              </w:rPr>
              <w:t>项。</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获得省部级</w:t>
            </w:r>
            <w:r>
              <w:rPr>
                <w:rFonts w:ascii="宋体" w:hAnsi="宋体" w:cs="宋体"/>
                <w:color w:val="000000"/>
                <w:sz w:val="24"/>
              </w:rPr>
              <w:t>/</w:t>
            </w:r>
            <w:r>
              <w:rPr>
                <w:rFonts w:hint="eastAsia" w:ascii="宋体" w:hAnsi="宋体" w:cs="宋体"/>
                <w:color w:val="000000"/>
                <w:sz w:val="24"/>
              </w:rPr>
              <w:t>行业科研成果≥</w:t>
            </w:r>
            <w:r>
              <w:rPr>
                <w:rFonts w:ascii="宋体" w:hAnsi="宋体" w:cs="宋体"/>
                <w:color w:val="000000"/>
                <w:sz w:val="24"/>
              </w:rPr>
              <w:t>10</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获得省部级</w:t>
            </w:r>
            <w:r>
              <w:rPr>
                <w:rFonts w:ascii="宋体" w:hAnsi="宋体" w:cs="宋体"/>
                <w:color w:val="000000"/>
                <w:sz w:val="24"/>
              </w:rPr>
              <w:t>/</w:t>
            </w:r>
            <w:r>
              <w:rPr>
                <w:rFonts w:hint="eastAsia" w:ascii="宋体" w:hAnsi="宋体" w:cs="宋体"/>
                <w:color w:val="000000"/>
                <w:sz w:val="24"/>
              </w:rPr>
              <w:t>行业科研成果≥</w:t>
            </w:r>
            <w:r>
              <w:rPr>
                <w:rFonts w:ascii="宋体" w:hAnsi="宋体" w:cs="宋体"/>
                <w:color w:val="000000"/>
                <w:sz w:val="24"/>
              </w:rPr>
              <w:t>10</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通过省金属学会评价成果</w:t>
            </w:r>
            <w:r>
              <w:rPr>
                <w:rFonts w:ascii="宋体" w:hAnsi="宋体" w:cs="宋体"/>
                <w:color w:val="000000"/>
                <w:sz w:val="24"/>
              </w:rPr>
              <w:t>10</w:t>
            </w:r>
            <w:r>
              <w:rPr>
                <w:rFonts w:hint="eastAsia" w:ascii="宋体" w:hAnsi="宋体" w:cs="宋体"/>
                <w:color w:val="000000"/>
                <w:sz w:val="24"/>
              </w:rPr>
              <w:t>项。</w:t>
            </w:r>
          </w:p>
          <w:p>
            <w:pPr>
              <w:widowControl/>
              <w:jc w:val="center"/>
              <w:textAlignment w:val="center"/>
              <w:rPr>
                <w:rFonts w:ascii="宋体" w:cs="宋体"/>
                <w:color w:val="000000"/>
                <w:sz w:val="24"/>
              </w:rPr>
            </w:pPr>
            <w:r>
              <w:rPr>
                <w:rFonts w:hint="eastAsia" w:ascii="宋体" w:hAnsi="宋体" w:cs="宋体"/>
                <w:color w:val="000000"/>
                <w:sz w:val="24"/>
              </w:rPr>
              <w:t>获得冶金工业科学技术三等奖</w:t>
            </w:r>
            <w:r>
              <w:rPr>
                <w:rFonts w:ascii="宋体" w:hAnsi="宋体" w:cs="宋体"/>
                <w:color w:val="000000"/>
                <w:sz w:val="24"/>
              </w:rPr>
              <w:t>2</w:t>
            </w:r>
            <w:r>
              <w:rPr>
                <w:rFonts w:hint="eastAsia" w:ascii="宋体" w:hAnsi="宋体" w:cs="宋体"/>
                <w:color w:val="000000"/>
                <w:sz w:val="24"/>
              </w:rPr>
              <w:t>项；四川省科技进步奖</w:t>
            </w:r>
            <w:r>
              <w:rPr>
                <w:rFonts w:ascii="宋体" w:hAnsi="宋体" w:cs="宋体"/>
                <w:color w:val="000000"/>
                <w:sz w:val="24"/>
              </w:rPr>
              <w:t>10</w:t>
            </w:r>
            <w:r>
              <w:rPr>
                <w:rFonts w:hint="eastAsia" w:ascii="宋体" w:hAnsi="宋体" w:cs="宋体"/>
                <w:color w:val="000000"/>
                <w:sz w:val="24"/>
              </w:rPr>
              <w:t>项（其中一等奖</w:t>
            </w:r>
            <w:r>
              <w:rPr>
                <w:rFonts w:ascii="宋体" w:cs="宋体"/>
                <w:color w:val="000000"/>
                <w:sz w:val="24"/>
              </w:rPr>
              <w:t>0</w:t>
            </w:r>
            <w:r>
              <w:rPr>
                <w:rFonts w:hint="eastAsia" w:ascii="宋体" w:hAnsi="宋体" w:cs="宋体"/>
                <w:color w:val="000000"/>
                <w:sz w:val="24"/>
              </w:rPr>
              <w:t>项，二等奖</w:t>
            </w:r>
            <w:r>
              <w:rPr>
                <w:rFonts w:ascii="宋体" w:hAnsi="宋体" w:cs="宋体"/>
                <w:color w:val="000000"/>
                <w:sz w:val="24"/>
              </w:rPr>
              <w:t>1</w:t>
            </w:r>
            <w:r>
              <w:rPr>
                <w:rFonts w:hint="eastAsia" w:ascii="宋体" w:hAnsi="宋体" w:cs="宋体"/>
                <w:color w:val="000000"/>
                <w:sz w:val="24"/>
              </w:rPr>
              <w:t>项，三等奖</w:t>
            </w:r>
            <w:r>
              <w:rPr>
                <w:rFonts w:ascii="宋体" w:hAnsi="宋体" w:cs="宋体"/>
                <w:color w:val="000000"/>
                <w:sz w:val="24"/>
              </w:rPr>
              <w:t>9</w:t>
            </w:r>
            <w:r>
              <w:rPr>
                <w:rFonts w:hint="eastAsia" w:ascii="宋体" w:hAnsi="宋体" w:cs="宋体"/>
                <w:color w:val="000000"/>
                <w:sz w:val="24"/>
              </w:rPr>
              <w:t>项）。</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发明专利申请数量≥</w:t>
            </w:r>
            <w:r>
              <w:rPr>
                <w:rFonts w:ascii="宋体" w:hAnsi="宋体" w:cs="宋体"/>
                <w:color w:val="000000"/>
                <w:sz w:val="24"/>
              </w:rPr>
              <w:t>360</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发明专利申请数量≥</w:t>
            </w:r>
            <w:r>
              <w:rPr>
                <w:rFonts w:ascii="宋体" w:hAnsi="宋体" w:cs="宋体"/>
                <w:color w:val="000000"/>
                <w:sz w:val="24"/>
              </w:rPr>
              <w:t>360</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申报</w:t>
            </w:r>
            <w:r>
              <w:rPr>
                <w:rFonts w:ascii="宋体" w:hAnsi="宋体" w:cs="宋体"/>
                <w:color w:val="000000"/>
                <w:sz w:val="24"/>
              </w:rPr>
              <w:t>460</w:t>
            </w:r>
            <w:r>
              <w:rPr>
                <w:rFonts w:hint="eastAsia" w:ascii="宋体" w:hAnsi="宋体" w:cs="宋体"/>
                <w:color w:val="000000"/>
                <w:sz w:val="24"/>
              </w:rPr>
              <w:t>项；受理</w:t>
            </w:r>
            <w:r>
              <w:rPr>
                <w:rFonts w:ascii="宋体" w:hAnsi="宋体" w:cs="宋体"/>
                <w:color w:val="000000"/>
                <w:sz w:val="24"/>
              </w:rPr>
              <w:t>433</w:t>
            </w:r>
            <w:r>
              <w:rPr>
                <w:rFonts w:hint="eastAsia" w:ascii="宋体" w:hAnsi="宋体" w:cs="宋体"/>
                <w:color w:val="000000"/>
                <w:sz w:val="24"/>
              </w:rPr>
              <w:t>项；授权</w:t>
            </w:r>
            <w:r>
              <w:rPr>
                <w:rFonts w:ascii="宋体" w:hAnsi="宋体" w:cs="宋体"/>
                <w:color w:val="000000"/>
                <w:sz w:val="24"/>
              </w:rPr>
              <w:t>165</w:t>
            </w:r>
            <w:r>
              <w:rPr>
                <w:rFonts w:hint="eastAsia" w:ascii="宋体" w:hAnsi="宋体" w:cs="宋体"/>
                <w:color w:val="000000"/>
                <w:sz w:val="24"/>
              </w:rPr>
              <w:t>项</w:t>
            </w:r>
            <w:r>
              <w:rPr>
                <w:rFonts w:ascii="宋体" w:hAnsi="宋体" w:cs="宋体"/>
                <w:color w:val="000000"/>
                <w:sz w:val="24"/>
              </w:rPr>
              <w:t>(</w:t>
            </w:r>
            <w:r>
              <w:rPr>
                <w:rFonts w:hint="eastAsia" w:ascii="宋体" w:hAnsi="宋体" w:cs="宋体"/>
                <w:color w:val="000000"/>
                <w:sz w:val="24"/>
              </w:rPr>
              <w:t>国内</w:t>
            </w:r>
            <w:r>
              <w:rPr>
                <w:rFonts w:ascii="宋体" w:hAnsi="宋体" w:cs="宋体"/>
                <w:color w:val="000000"/>
                <w:sz w:val="24"/>
              </w:rPr>
              <w:t>159</w:t>
            </w:r>
            <w:r>
              <w:rPr>
                <w:rFonts w:hint="eastAsia" w:ascii="宋体" w:hAnsi="宋体" w:cs="宋体"/>
                <w:color w:val="000000"/>
                <w:sz w:val="24"/>
              </w:rPr>
              <w:t>项、国外</w:t>
            </w:r>
            <w:r>
              <w:rPr>
                <w:rFonts w:ascii="宋体" w:hAnsi="宋体" w:cs="宋体"/>
                <w:color w:val="000000"/>
                <w:sz w:val="24"/>
              </w:rPr>
              <w:t>6</w:t>
            </w:r>
            <w:r>
              <w:rPr>
                <w:rFonts w:hint="eastAsia" w:ascii="宋体" w:hAnsi="宋体" w:cs="宋体"/>
                <w:color w:val="000000"/>
                <w:sz w:val="24"/>
              </w:rPr>
              <w:t>项</w:t>
            </w:r>
            <w:r>
              <w:rPr>
                <w:rFonts w:ascii="宋体" w:hAnsi="宋体" w:cs="宋体"/>
                <w:color w:val="000000"/>
                <w:sz w:val="24"/>
              </w:rPr>
              <w:t>)</w:t>
            </w:r>
            <w:r>
              <w:rPr>
                <w:rFonts w:hint="eastAsia" w:ascii="宋体" w:hAnsi="宋体" w:cs="宋体"/>
                <w:color w:val="000000"/>
                <w:sz w:val="24"/>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两大检索（</w:t>
            </w:r>
            <w:r>
              <w:rPr>
                <w:rFonts w:ascii="宋体" w:hAnsi="宋体" w:cs="宋体"/>
                <w:color w:val="000000"/>
                <w:sz w:val="24"/>
              </w:rPr>
              <w:t>SCI</w:t>
            </w:r>
            <w:r>
              <w:rPr>
                <w:rFonts w:hint="eastAsia" w:ascii="宋体" w:hAnsi="宋体" w:cs="宋体"/>
                <w:color w:val="000000"/>
                <w:sz w:val="24"/>
              </w:rPr>
              <w:t>、</w:t>
            </w:r>
            <w:r>
              <w:rPr>
                <w:rFonts w:ascii="宋体" w:hAnsi="宋体" w:cs="宋体"/>
                <w:color w:val="000000"/>
                <w:sz w:val="24"/>
              </w:rPr>
              <w:t>EI</w:t>
            </w:r>
            <w:r>
              <w:rPr>
                <w:rFonts w:hint="eastAsia" w:ascii="宋体" w:hAnsi="宋体" w:cs="宋体"/>
                <w:color w:val="000000"/>
                <w:sz w:val="24"/>
              </w:rPr>
              <w:t>）论文≥</w:t>
            </w:r>
            <w:r>
              <w:rPr>
                <w:rFonts w:ascii="宋体" w:hAnsi="宋体" w:cs="宋体"/>
                <w:color w:val="000000"/>
                <w:sz w:val="24"/>
              </w:rPr>
              <w:t>20</w:t>
            </w:r>
            <w:r>
              <w:rPr>
                <w:rFonts w:hint="eastAsia" w:ascii="宋体" w:hAnsi="宋体" w:cs="宋体"/>
                <w:color w:val="000000"/>
                <w:sz w:val="24"/>
              </w:rPr>
              <w:t>篇。</w:t>
            </w:r>
          </w:p>
          <w:p>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国际、国家、行业标准制修订≥</w:t>
            </w:r>
            <w:r>
              <w:rPr>
                <w:rFonts w:ascii="宋体" w:hAnsi="宋体" w:cs="宋体"/>
                <w:color w:val="000000"/>
                <w:sz w:val="24"/>
              </w:rPr>
              <w:t>12</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两大检索（</w:t>
            </w:r>
            <w:r>
              <w:rPr>
                <w:rFonts w:ascii="宋体" w:hAnsi="宋体" w:cs="宋体"/>
                <w:color w:val="000000"/>
                <w:sz w:val="24"/>
              </w:rPr>
              <w:t>SCI</w:t>
            </w:r>
            <w:r>
              <w:rPr>
                <w:rFonts w:hint="eastAsia" w:ascii="宋体" w:hAnsi="宋体" w:cs="宋体"/>
                <w:color w:val="000000"/>
                <w:sz w:val="24"/>
              </w:rPr>
              <w:t>、</w:t>
            </w:r>
            <w:r>
              <w:rPr>
                <w:rFonts w:ascii="宋体" w:hAnsi="宋体" w:cs="宋体"/>
                <w:color w:val="000000"/>
                <w:sz w:val="24"/>
              </w:rPr>
              <w:t>EI</w:t>
            </w:r>
            <w:r>
              <w:rPr>
                <w:rFonts w:hint="eastAsia" w:ascii="宋体" w:hAnsi="宋体" w:cs="宋体"/>
                <w:color w:val="000000"/>
                <w:sz w:val="24"/>
              </w:rPr>
              <w:t>）论文≥</w:t>
            </w:r>
            <w:r>
              <w:rPr>
                <w:rFonts w:ascii="宋体" w:hAnsi="宋体" w:cs="宋体"/>
                <w:color w:val="000000"/>
                <w:sz w:val="24"/>
              </w:rPr>
              <w:t>20</w:t>
            </w:r>
            <w:r>
              <w:rPr>
                <w:rFonts w:hint="eastAsia" w:ascii="宋体" w:hAnsi="宋体" w:cs="宋体"/>
                <w:color w:val="000000"/>
                <w:sz w:val="24"/>
              </w:rPr>
              <w:t>篇。</w:t>
            </w:r>
          </w:p>
          <w:p>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国际、国家、行业标准制修订≥</w:t>
            </w:r>
            <w:r>
              <w:rPr>
                <w:rFonts w:ascii="宋体" w:hAnsi="宋体" w:cs="宋体"/>
                <w:color w:val="000000"/>
                <w:sz w:val="24"/>
              </w:rPr>
              <w:t>12</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1.22</w:t>
            </w:r>
            <w:r>
              <w:rPr>
                <w:rFonts w:hint="eastAsia" w:ascii="宋体" w:hAnsi="宋体" w:cs="宋体"/>
                <w:color w:val="000000"/>
                <w:sz w:val="24"/>
              </w:rPr>
              <w:t>篇。</w:t>
            </w:r>
          </w:p>
          <w:p>
            <w:pPr>
              <w:widowControl/>
              <w:jc w:val="center"/>
              <w:textAlignment w:val="center"/>
              <w:rPr>
                <w:rFonts w:ascii="宋体" w:cs="宋体"/>
                <w:color w:val="000000"/>
                <w:sz w:val="24"/>
              </w:rPr>
            </w:pPr>
            <w:r>
              <w:rPr>
                <w:rFonts w:ascii="宋体" w:hAnsi="宋体" w:cs="宋体"/>
                <w:color w:val="000000"/>
                <w:sz w:val="24"/>
              </w:rPr>
              <w:t>2.16</w:t>
            </w:r>
            <w:r>
              <w:rPr>
                <w:rFonts w:hint="eastAsia" w:ascii="宋体" w:hAnsi="宋体" w:cs="宋体"/>
                <w:color w:val="000000"/>
                <w:sz w:val="24"/>
              </w:rPr>
              <w:t>项。</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重点课题完成率（国家、省部级、鞍钢集团），</w:t>
            </w:r>
            <w:r>
              <w:rPr>
                <w:rFonts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重点课题完成率（国家、省部级、鞍钢集团），</w:t>
            </w: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按计划执行。</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深入贯彻创新驱动发展战略，聚焦发展大局，突出问题导向，坚持价值创造，全面实施《研究院十三五发展规划纲要》，统筹布局一批重大科技创新项目，以构建共创共享研发体系为根本，深化科技供给与激励改革，锐意进取，拼搏实干，为新攀钢建设提供了新动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深入贯彻创新驱动发展战略，聚焦发展大局，突出问题导向，坚持价值创造，全面实施《研究院十三五发展规划纲要》，统筹布局一批重大科技创新项目，以构建共创共享研发体系为根本，深化科技供给与激励改革，锐意进取，拼搏实干，为新攀钢建设提供了新动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年，以</w:t>
            </w:r>
            <w:r>
              <w:rPr>
                <w:rFonts w:ascii="宋体" w:hAnsi="宋体" w:cs="宋体"/>
                <w:color w:val="000000"/>
                <w:sz w:val="24"/>
              </w:rPr>
              <w:t>O5</w:t>
            </w:r>
            <w:r>
              <w:rPr>
                <w:rFonts w:hint="eastAsia" w:ascii="宋体" w:hAnsi="宋体" w:cs="宋体"/>
                <w:color w:val="000000"/>
                <w:sz w:val="24"/>
              </w:rPr>
              <w:t>板和</w:t>
            </w:r>
            <w:r>
              <w:rPr>
                <w:rFonts w:ascii="宋体" w:hAnsi="宋体" w:cs="宋体"/>
                <w:color w:val="000000"/>
                <w:sz w:val="24"/>
              </w:rPr>
              <w:t>LC</w:t>
            </w:r>
            <w:r>
              <w:rPr>
                <w:rFonts w:hint="eastAsia" w:ascii="宋体" w:hAnsi="宋体" w:cs="宋体"/>
                <w:color w:val="000000"/>
                <w:sz w:val="24"/>
              </w:rPr>
              <w:t>系列高强钢为代表的汽车板开发及推广成绩显著，助力攀钢打造国内一流汽车用钢制造基地；以</w:t>
            </w:r>
            <w:r>
              <w:rPr>
                <w:rFonts w:ascii="宋体" w:hAnsi="宋体" w:cs="宋体"/>
                <w:color w:val="000000"/>
                <w:sz w:val="24"/>
              </w:rPr>
              <w:t>X80</w:t>
            </w:r>
            <w:r>
              <w:rPr>
                <w:rFonts w:hint="eastAsia" w:ascii="宋体" w:hAnsi="宋体" w:cs="宋体"/>
                <w:color w:val="000000"/>
                <w:sz w:val="24"/>
              </w:rPr>
              <w:t>为代表的热轧高强高韧产品开发及推广取得突破，助力国家“一带一路”</w:t>
            </w:r>
            <w:r>
              <w:rPr>
                <w:rFonts w:hint="eastAsia" w:ascii="宋体" w:hAnsi="宋体" w:cs="宋体"/>
                <w:color w:val="000000"/>
                <w:sz w:val="24"/>
                <w:lang w:val="en-US" w:eastAsia="zh-CN"/>
              </w:rPr>
              <w:t>倡议</w:t>
            </w:r>
            <w:bookmarkStart w:id="63" w:name="_GoBack"/>
            <w:bookmarkEnd w:id="63"/>
            <w:r>
              <w:rPr>
                <w:rFonts w:hint="eastAsia" w:ascii="宋体" w:hAnsi="宋体" w:cs="宋体"/>
                <w:color w:val="000000"/>
                <w:sz w:val="24"/>
              </w:rPr>
              <w:t>重大管道工程，使攀钢跻身高钢级管线钢主流市场；涂镀层钢板质量提升和电器用镀层钢板（</w:t>
            </w:r>
            <w:r>
              <w:rPr>
                <w:rFonts w:ascii="宋体" w:hAnsi="宋体" w:cs="宋体"/>
                <w:color w:val="000000"/>
                <w:sz w:val="24"/>
              </w:rPr>
              <w:t>GI</w:t>
            </w:r>
            <w:r>
              <w:rPr>
                <w:rFonts w:hint="eastAsia" w:ascii="宋体" w:hAnsi="宋体" w:cs="宋体"/>
                <w:color w:val="000000"/>
                <w:sz w:val="24"/>
              </w:rPr>
              <w:t>、</w:t>
            </w:r>
            <w:r>
              <w:rPr>
                <w:rFonts w:ascii="宋体" w:hAnsi="宋体" w:cs="宋体"/>
                <w:color w:val="000000"/>
                <w:sz w:val="24"/>
              </w:rPr>
              <w:t>GL</w:t>
            </w:r>
            <w:r>
              <w:rPr>
                <w:rFonts w:hint="eastAsia" w:ascii="宋体" w:hAnsi="宋体" w:cs="宋体"/>
                <w:color w:val="000000"/>
                <w:sz w:val="24"/>
              </w:rPr>
              <w:t>）新产品开发及推广效果显著，全力打造国内一流电器用钢品牌；重庆渝钛</w:t>
            </w:r>
            <w:r>
              <w:rPr>
                <w:rFonts w:ascii="宋体" w:hAnsi="宋体" w:cs="宋体"/>
                <w:color w:val="000000"/>
                <w:sz w:val="24"/>
              </w:rPr>
              <w:t>R298</w:t>
            </w:r>
            <w:r>
              <w:rPr>
                <w:rFonts w:hint="eastAsia" w:ascii="宋体" w:hAnsi="宋体" w:cs="宋体"/>
                <w:color w:val="000000"/>
                <w:sz w:val="24"/>
              </w:rPr>
              <w:t>产品品级率提升、钙化提钒尾渣深度浸出技术取得突破。</w:t>
            </w:r>
          </w:p>
        </w:tc>
      </w:tr>
    </w:tbl>
    <w:p>
      <w:pPr>
        <w:tabs>
          <w:tab w:val="left" w:pos="312"/>
        </w:tabs>
        <w:rPr>
          <w:rFonts w:ascii="Calibri" w:hAnsi="Calibri"/>
        </w:rPr>
      </w:pPr>
    </w:p>
    <w:p>
      <w:pPr>
        <w:spacing w:line="580" w:lineRule="exact"/>
        <w:rPr>
          <w:rFonts w:ascii="仿宋" w:hAnsi="仿宋" w:eastAsia="仿宋" w:cs="仿宋_GB2312"/>
          <w:sz w:val="32"/>
          <w:szCs w:val="32"/>
        </w:rPr>
      </w:pPr>
      <w:r>
        <w:rPr>
          <w:rFonts w:ascii="仿宋" w:hAnsi="仿宋" w:eastAsia="仿宋" w:cs="楷体_GB2312"/>
          <w:b/>
          <w:bCs/>
          <w:sz w:val="32"/>
          <w:szCs w:val="32"/>
        </w:rPr>
        <w:t>(</w:t>
      </w:r>
      <w:r>
        <w:rPr>
          <w:rFonts w:hint="eastAsia" w:ascii="仿宋" w:hAnsi="仿宋" w:eastAsia="仿宋" w:cs="楷体_GB2312"/>
          <w:b/>
          <w:bCs/>
          <w:sz w:val="32"/>
          <w:szCs w:val="32"/>
        </w:rPr>
        <w:t>三</w:t>
      </w:r>
      <w:r>
        <w:rPr>
          <w:rFonts w:ascii="仿宋" w:hAnsi="仿宋" w:eastAsia="仿宋" w:cs="楷体_GB2312"/>
          <w:b/>
          <w:bCs/>
          <w:sz w:val="32"/>
          <w:szCs w:val="32"/>
        </w:rPr>
        <w:t>)</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项目开展了绩效评价，《</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spacing w:line="580" w:lineRule="exact"/>
        <w:rPr>
          <w:rFonts w:ascii="仿宋" w:hAnsi="仿宋" w:eastAsia="仿宋" w:cs="仿宋_GB2312"/>
          <w:sz w:val="32"/>
          <w:szCs w:val="32"/>
        </w:rPr>
      </w:pP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6"/>
          <w:rFonts w:ascii="黑体" w:hAnsi="黑体" w:eastAsia="黑体"/>
        </w:rPr>
      </w:pPr>
      <w:bookmarkStart w:id="38" w:name="_Toc15396612"/>
      <w:bookmarkStart w:id="39" w:name="_Toc15377221"/>
      <w:r>
        <w:rPr>
          <w:rFonts w:hint="eastAsia" w:ascii="黑体" w:hAnsi="黑体" w:eastAsia="黑体"/>
          <w:color w:val="000000"/>
          <w:sz w:val="32"/>
          <w:szCs w:val="32"/>
        </w:rPr>
        <w:t>十</w:t>
      </w:r>
      <w:r>
        <w:rPr>
          <w:rStyle w:val="16"/>
          <w:rFonts w:hint="eastAsia" w:ascii="黑体" w:hAnsi="黑体" w:eastAsia="黑体"/>
        </w:rPr>
        <w:t>一、其他重要事项的情况说明</w:t>
      </w:r>
      <w:bookmarkEnd w:id="38"/>
      <w:bookmarkEnd w:id="39"/>
    </w:p>
    <w:p>
      <w:pPr>
        <w:spacing w:line="600" w:lineRule="exact"/>
        <w:ind w:firstLine="643" w:firstLineChars="200"/>
        <w:outlineLvl w:val="2"/>
        <w:rPr>
          <w:rFonts w:ascii="仿宋" w:hAnsi="仿宋" w:eastAsia="仿宋"/>
          <w:color w:val="000000"/>
          <w:sz w:val="32"/>
          <w:szCs w:val="32"/>
        </w:rPr>
      </w:pPr>
      <w:bookmarkStart w:id="40" w:name="_Toc15377222"/>
      <w:r>
        <w:rPr>
          <w:rFonts w:hint="eastAsia" w:ascii="仿宋" w:hAnsi="仿宋" w:eastAsia="仿宋"/>
          <w:b/>
          <w:color w:val="000000"/>
          <w:sz w:val="32"/>
          <w:szCs w:val="32"/>
        </w:rPr>
        <w:t>（一）机关运行经费支出情况</w:t>
      </w:r>
      <w:bookmarkEnd w:id="4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年，攀枝花市科学技术和知识产权局机关运行经费支出</w:t>
      </w:r>
      <w:r>
        <w:rPr>
          <w:rFonts w:ascii="仿宋" w:hAnsi="仿宋" w:eastAsia="仿宋"/>
          <w:color w:val="000000"/>
          <w:sz w:val="32"/>
          <w:szCs w:val="32"/>
        </w:rPr>
        <w:t>71.58</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38.88</w:t>
      </w:r>
      <w:r>
        <w:rPr>
          <w:rFonts w:hint="eastAsia" w:ascii="仿宋" w:hAnsi="仿宋" w:eastAsia="仿宋"/>
          <w:color w:val="000000"/>
          <w:sz w:val="32"/>
          <w:szCs w:val="32"/>
        </w:rPr>
        <w:t>万元，下降</w:t>
      </w:r>
      <w:r>
        <w:rPr>
          <w:rFonts w:ascii="仿宋" w:hAnsi="仿宋" w:eastAsia="仿宋"/>
          <w:color w:val="000000"/>
          <w:sz w:val="32"/>
          <w:szCs w:val="32"/>
        </w:rPr>
        <w:t>35.19%</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支出</w:t>
      </w:r>
      <w:r>
        <w:rPr>
          <w:rFonts w:ascii="仿宋" w:hAnsi="仿宋" w:eastAsia="仿宋"/>
          <w:color w:val="000000"/>
          <w:sz w:val="32"/>
          <w:szCs w:val="32"/>
        </w:rPr>
        <w:t>58.97</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12.61</w:t>
      </w:r>
      <w:r>
        <w:rPr>
          <w:rFonts w:hint="eastAsia" w:ascii="仿宋" w:hAnsi="仿宋" w:eastAsia="仿宋"/>
          <w:color w:val="000000"/>
          <w:sz w:val="32"/>
          <w:szCs w:val="32"/>
        </w:rPr>
        <w:t>万元，下降</w:t>
      </w:r>
      <w:r>
        <w:rPr>
          <w:rFonts w:ascii="仿宋" w:hAnsi="仿宋" w:eastAsia="仿宋"/>
          <w:color w:val="000000"/>
          <w:sz w:val="32"/>
          <w:szCs w:val="32"/>
        </w:rPr>
        <w:t>17.62%</w:t>
      </w:r>
      <w:r>
        <w:rPr>
          <w:rFonts w:hint="eastAsia" w:ascii="仿宋" w:hAnsi="仿宋" w:eastAsia="仿宋"/>
          <w:color w:val="000000"/>
          <w:sz w:val="32"/>
          <w:szCs w:val="32"/>
        </w:rPr>
        <w:t>（或与</w:t>
      </w:r>
      <w:r>
        <w:rPr>
          <w:rFonts w:ascii="仿宋" w:hAnsi="仿宋" w:eastAsia="仿宋"/>
          <w:color w:val="000000"/>
          <w:sz w:val="32"/>
          <w:szCs w:val="32"/>
        </w:rPr>
        <w:t>2017</w:t>
      </w:r>
      <w:r>
        <w:rPr>
          <w:rFonts w:hint="eastAsia" w:ascii="仿宋" w:hAnsi="仿宋" w:eastAsia="仿宋"/>
          <w:color w:val="000000"/>
          <w:sz w:val="32"/>
          <w:szCs w:val="32"/>
        </w:rPr>
        <w:t>年决算数持平）。主要原因是加强管理，节约支出。</w:t>
      </w:r>
    </w:p>
    <w:p>
      <w:pPr>
        <w:spacing w:line="600" w:lineRule="exact"/>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CS05</w:t>
      </w:r>
      <w:r>
        <w:rPr>
          <w:rFonts w:hint="eastAsia" w:ascii="仿宋" w:hAnsi="仿宋" w:eastAsia="仿宋"/>
          <w:b/>
          <w:color w:val="FFC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1" w:name="_Toc15377223"/>
      <w:r>
        <w:rPr>
          <w:rFonts w:hint="eastAsia" w:ascii="仿宋" w:hAnsi="仿宋" w:eastAsia="仿宋"/>
          <w:b/>
          <w:color w:val="000000"/>
          <w:sz w:val="32"/>
          <w:szCs w:val="32"/>
        </w:rPr>
        <w:t>（二）政府采购支出情况</w:t>
      </w:r>
      <w:bookmarkEnd w:id="4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年，攀枝花市科学技术和知识产权局，政府采购支出总额</w:t>
      </w:r>
      <w:r>
        <w:rPr>
          <w:rFonts w:ascii="仿宋" w:hAnsi="仿宋" w:eastAsia="仿宋"/>
          <w:color w:val="000000"/>
          <w:sz w:val="32"/>
          <w:szCs w:val="32"/>
        </w:rPr>
        <w:t>6.01</w:t>
      </w:r>
      <w:r>
        <w:rPr>
          <w:rFonts w:hint="eastAsia" w:ascii="仿宋" w:hAnsi="仿宋" w:eastAsia="仿宋"/>
          <w:color w:val="000000"/>
          <w:sz w:val="32"/>
          <w:szCs w:val="32"/>
        </w:rPr>
        <w:t>万元，其中：政府采购货物支出</w:t>
      </w:r>
      <w:r>
        <w:rPr>
          <w:rFonts w:ascii="仿宋" w:hAnsi="仿宋" w:eastAsia="仿宋"/>
          <w:color w:val="000000"/>
          <w:sz w:val="32"/>
          <w:szCs w:val="32"/>
        </w:rPr>
        <w:t>6.01</w:t>
      </w:r>
      <w:r>
        <w:rPr>
          <w:rFonts w:hint="eastAsia" w:ascii="仿宋" w:hAnsi="仿宋" w:eastAsia="仿宋"/>
          <w:color w:val="000000"/>
          <w:sz w:val="32"/>
          <w:szCs w:val="32"/>
        </w:rPr>
        <w:t>万元、政府采购工程支出</w:t>
      </w:r>
      <w:r>
        <w:rPr>
          <w:rFonts w:ascii="仿宋" w:hAnsi="仿宋" w:eastAsia="仿宋"/>
          <w:color w:val="000000"/>
          <w:sz w:val="32"/>
          <w:szCs w:val="32"/>
        </w:rPr>
        <w:t>0</w:t>
      </w:r>
      <w:r>
        <w:rPr>
          <w:rFonts w:hint="eastAsia" w:ascii="仿宋" w:hAnsi="仿宋" w:eastAsia="仿宋"/>
          <w:color w:val="000000"/>
          <w:sz w:val="32"/>
          <w:szCs w:val="32"/>
        </w:rPr>
        <w:t>万元、政府采购服务支出</w:t>
      </w:r>
      <w:r>
        <w:rPr>
          <w:rFonts w:ascii="仿宋" w:hAnsi="仿宋" w:eastAsia="仿宋"/>
          <w:color w:val="000000"/>
          <w:sz w:val="32"/>
          <w:szCs w:val="32"/>
        </w:rPr>
        <w:t>0</w:t>
      </w:r>
      <w:r>
        <w:rPr>
          <w:rFonts w:hint="eastAsia" w:ascii="仿宋" w:hAnsi="仿宋" w:eastAsia="仿宋"/>
          <w:color w:val="000000"/>
          <w:sz w:val="32"/>
          <w:szCs w:val="32"/>
        </w:rPr>
        <w:t>万元。主要用于主要用于购置办公设备。授予中小企业合同金额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，其中：授予小微企业合同金额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CS06</w:t>
      </w:r>
      <w:r>
        <w:rPr>
          <w:rFonts w:hint="eastAsia" w:ascii="仿宋" w:hAnsi="仿宋" w:eastAsia="仿宋"/>
          <w:b/>
          <w:color w:val="FFC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2" w:name="_Toc15377224"/>
      <w:r>
        <w:rPr>
          <w:rFonts w:hint="eastAsia" w:ascii="仿宋" w:hAnsi="仿宋" w:eastAsia="仿宋"/>
          <w:b/>
          <w:color w:val="000000"/>
          <w:sz w:val="32"/>
          <w:szCs w:val="32"/>
        </w:rPr>
        <w:t>（三）国有资产占有使用情况</w:t>
      </w:r>
      <w:bookmarkEnd w:id="42"/>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日，攀枝花市科学技术和知识产权局共有车辆</w:t>
      </w:r>
      <w:r>
        <w:rPr>
          <w:rFonts w:ascii="仿宋" w:hAnsi="仿宋" w:eastAsia="仿宋"/>
          <w:color w:val="000000"/>
          <w:sz w:val="32"/>
          <w:szCs w:val="32"/>
        </w:rPr>
        <w:t>8</w:t>
      </w:r>
      <w:r>
        <w:rPr>
          <w:rFonts w:hint="eastAsia" w:ascii="仿宋" w:hAnsi="仿宋" w:eastAsia="仿宋"/>
          <w:color w:val="000000"/>
          <w:sz w:val="32"/>
          <w:szCs w:val="32"/>
        </w:rPr>
        <w:t>辆，其中：部级领导干部用车</w:t>
      </w:r>
      <w:r>
        <w:rPr>
          <w:rFonts w:ascii="仿宋" w:hAnsi="仿宋" w:eastAsia="仿宋"/>
          <w:color w:val="000000"/>
          <w:sz w:val="32"/>
          <w:szCs w:val="32"/>
        </w:rPr>
        <w:t>0</w:t>
      </w:r>
      <w:r>
        <w:rPr>
          <w:rFonts w:hint="eastAsia" w:ascii="仿宋" w:hAnsi="仿宋" w:eastAsia="仿宋"/>
          <w:color w:val="000000"/>
          <w:sz w:val="32"/>
          <w:szCs w:val="32"/>
        </w:rPr>
        <w:t>辆、一般公务用车</w:t>
      </w:r>
      <w:r>
        <w:rPr>
          <w:rFonts w:ascii="仿宋" w:hAnsi="仿宋" w:eastAsia="仿宋"/>
          <w:color w:val="000000"/>
          <w:sz w:val="32"/>
          <w:szCs w:val="32"/>
        </w:rPr>
        <w:t>8</w:t>
      </w:r>
      <w:r>
        <w:rPr>
          <w:rFonts w:hint="eastAsia" w:ascii="仿宋" w:hAnsi="仿宋" w:eastAsia="仿宋"/>
          <w:color w:val="000000"/>
          <w:sz w:val="32"/>
          <w:szCs w:val="32"/>
        </w:rPr>
        <w:t>辆、一般执法执勤用车</w:t>
      </w:r>
      <w:r>
        <w:rPr>
          <w:rFonts w:ascii="仿宋" w:hAnsi="仿宋" w:eastAsia="仿宋"/>
          <w:color w:val="000000"/>
          <w:sz w:val="32"/>
          <w:szCs w:val="32"/>
        </w:rPr>
        <w:t>0</w:t>
      </w:r>
      <w:r>
        <w:rPr>
          <w:rFonts w:hint="eastAsia" w:ascii="仿宋" w:hAnsi="仿宋" w:eastAsia="仿宋"/>
          <w:color w:val="000000"/>
          <w:sz w:val="32"/>
          <w:szCs w:val="32"/>
        </w:rPr>
        <w:t>辆、特种专业技术用车</w:t>
      </w:r>
      <w:r>
        <w:rPr>
          <w:rFonts w:ascii="仿宋" w:hAnsi="仿宋" w:eastAsia="仿宋"/>
          <w:color w:val="000000"/>
          <w:sz w:val="32"/>
          <w:szCs w:val="32"/>
        </w:rPr>
        <w:t>0</w:t>
      </w:r>
      <w:r>
        <w:rPr>
          <w:rFonts w:hint="eastAsia" w:ascii="仿宋" w:hAnsi="仿宋" w:eastAsia="仿宋"/>
          <w:color w:val="000000"/>
          <w:sz w:val="32"/>
          <w:szCs w:val="32"/>
        </w:rPr>
        <w:t>辆、其他用车</w:t>
      </w:r>
      <w:r>
        <w:rPr>
          <w:rFonts w:ascii="仿宋" w:hAnsi="仿宋" w:eastAsia="仿宋"/>
          <w:color w:val="000000"/>
          <w:sz w:val="32"/>
          <w:szCs w:val="32"/>
        </w:rPr>
        <w:t>0</w:t>
      </w:r>
      <w:r>
        <w:rPr>
          <w:rFonts w:hint="eastAsia" w:ascii="仿宋" w:hAnsi="仿宋" w:eastAsia="仿宋"/>
          <w:color w:val="000000"/>
          <w:sz w:val="32"/>
          <w:szCs w:val="32"/>
        </w:rPr>
        <w:t>辆，其他用车主要是用于执行公务、开展业务活动。单价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9</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9</w:t>
      </w:r>
      <w:r>
        <w:rPr>
          <w:rFonts w:hint="eastAsia" w:ascii="仿宋" w:hAnsi="仿宋" w:eastAsia="仿宋"/>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CS05</w:t>
      </w:r>
      <w:r>
        <w:rPr>
          <w:rFonts w:hint="eastAsia" w:ascii="仿宋" w:hAnsi="仿宋" w:eastAsia="仿宋"/>
          <w:b/>
          <w:color w:val="FFC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FFC000"/>
          <w:sz w:val="32"/>
          <w:szCs w:val="32"/>
        </w:rPr>
      </w:pPr>
    </w:p>
    <w:p>
      <w:pPr>
        <w:numPr>
          <w:ilvl w:val="0"/>
          <w:numId w:val="6"/>
        </w:numPr>
        <w:spacing w:line="600" w:lineRule="exact"/>
        <w:ind w:firstLine="663" w:firstLineChars="150"/>
        <w:jc w:val="center"/>
        <w:outlineLvl w:val="0"/>
        <w:rPr>
          <w:rStyle w:val="15"/>
          <w:rFonts w:ascii="黑体" w:hAnsi="黑体" w:eastAsia="黑体"/>
          <w:b w:val="0"/>
        </w:rPr>
      </w:pPr>
      <w:bookmarkStart w:id="43" w:name="_Toc15377225"/>
      <w:bookmarkStart w:id="44" w:name="_Toc15396613"/>
      <w:r>
        <w:rPr>
          <w:rFonts w:hint="eastAsia" w:ascii="黑体" w:hAnsi="黑体" w:eastAsia="黑体"/>
          <w:b/>
          <w:color w:val="000000"/>
          <w:sz w:val="44"/>
          <w:szCs w:val="44"/>
        </w:rPr>
        <w:t>名</w:t>
      </w:r>
      <w:r>
        <w:rPr>
          <w:rStyle w:val="15"/>
          <w:rFonts w:hint="eastAsia" w:ascii="黑体" w:hAnsi="黑体" w:eastAsia="黑体"/>
        </w:rPr>
        <w:t>词解释</w:t>
      </w:r>
      <w:bookmarkEnd w:id="43"/>
      <w:bookmarkEnd w:id="44"/>
    </w:p>
    <w:p>
      <w:pPr>
        <w:spacing w:line="600" w:lineRule="exact"/>
        <w:jc w:val="left"/>
        <w:rPr>
          <w:rFonts w:ascii="宋体"/>
          <w:b/>
          <w:color w:val="000000"/>
          <w:sz w:val="44"/>
          <w:szCs w:val="44"/>
        </w:rPr>
      </w:pPr>
    </w:p>
    <w:p>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p>
    <w:p>
      <w:pPr>
        <w:spacing w:line="600" w:lineRule="exact"/>
        <w:ind w:firstLine="482" w:firstLineChars="15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8"/>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5"/>
          <w:rFonts w:ascii="黑体" w:hAnsi="黑体" w:eastAsia="黑体"/>
          <w:b w:val="0"/>
        </w:rPr>
      </w:pPr>
      <w:bookmarkStart w:id="45" w:name="_Toc15377226"/>
      <w:r>
        <w:rPr>
          <w:rFonts w:ascii="宋体"/>
          <w:b/>
          <w:color w:val="000000"/>
          <w:sz w:val="44"/>
          <w:szCs w:val="44"/>
        </w:rPr>
        <w:br w:type="page"/>
      </w:r>
      <w:bookmarkStart w:id="46" w:name="_Toc15396614"/>
      <w:r>
        <w:rPr>
          <w:rFonts w:hint="eastAsia" w:ascii="黑体" w:hAnsi="黑体" w:eastAsia="黑体"/>
          <w:color w:val="000000"/>
          <w:sz w:val="44"/>
          <w:szCs w:val="44"/>
        </w:rPr>
        <w:t>第</w:t>
      </w:r>
      <w:r>
        <w:rPr>
          <w:rStyle w:val="15"/>
          <w:rFonts w:hint="eastAsia" w:ascii="黑体" w:hAnsi="黑体" w:eastAsia="黑体"/>
        </w:rPr>
        <w:t>四部分</w:t>
      </w:r>
      <w:r>
        <w:rPr>
          <w:rStyle w:val="15"/>
          <w:rFonts w:ascii="黑体" w:hAnsi="黑体" w:eastAsia="黑体"/>
        </w:rPr>
        <w:t xml:space="preserve"> </w:t>
      </w:r>
      <w:r>
        <w:rPr>
          <w:rStyle w:val="15"/>
          <w:rFonts w:hint="eastAsia" w:ascii="黑体" w:hAnsi="黑体" w:eastAsia="黑体"/>
        </w:rPr>
        <w:t>附件</w:t>
      </w:r>
      <w:bookmarkEnd w:id="46"/>
    </w:p>
    <w:p>
      <w:pPr>
        <w:spacing w:line="600" w:lineRule="exact"/>
        <w:jc w:val="center"/>
        <w:outlineLvl w:val="0"/>
        <w:rPr>
          <w:rStyle w:val="15"/>
        </w:rPr>
      </w:pPr>
    </w:p>
    <w:p>
      <w:pPr>
        <w:pStyle w:val="3"/>
        <w:rPr>
          <w:rStyle w:val="15"/>
          <w:rFonts w:ascii="仿宋" w:hAnsi="仿宋" w:eastAsia="仿宋"/>
          <w:b w:val="0"/>
          <w:bCs w:val="0"/>
        </w:rPr>
      </w:pPr>
      <w:bookmarkStart w:id="47" w:name="_Toc15396615"/>
      <w:r>
        <w:rPr>
          <w:rStyle w:val="15"/>
          <w:rFonts w:hint="eastAsia" w:ascii="仿宋" w:hAnsi="仿宋" w:eastAsia="仿宋"/>
          <w:b w:val="0"/>
          <w:bCs w:val="0"/>
        </w:rPr>
        <w:t>附件</w:t>
      </w:r>
      <w:r>
        <w:rPr>
          <w:rStyle w:val="15"/>
          <w:rFonts w:ascii="仿宋" w:hAnsi="仿宋" w:eastAsia="仿宋"/>
          <w:b w:val="0"/>
          <w:bCs w:val="0"/>
        </w:rPr>
        <w:t>1</w:t>
      </w:r>
      <w:bookmarkEnd w:id="47"/>
    </w:p>
    <w:p>
      <w:pPr>
        <w:spacing w:line="580" w:lineRule="exact"/>
        <w:jc w:val="center"/>
        <w:rPr>
          <w:rFonts w:ascii="仿宋" w:hAnsi="仿宋" w:eastAsia="仿宋" w:cs="楷体_GB2312"/>
          <w:b/>
          <w:bCs/>
          <w:sz w:val="36"/>
          <w:szCs w:val="36"/>
        </w:rPr>
      </w:pPr>
      <w:r>
        <w:rPr>
          <w:rFonts w:hint="eastAsia" w:ascii="仿宋" w:hAnsi="仿宋" w:eastAsia="仿宋" w:cs="楷体_GB2312"/>
          <w:b/>
          <w:bCs/>
          <w:sz w:val="36"/>
          <w:szCs w:val="36"/>
        </w:rPr>
        <w:t>攀枝花市科学技术和知识产权局</w:t>
      </w:r>
    </w:p>
    <w:p>
      <w:pPr>
        <w:spacing w:line="580" w:lineRule="exact"/>
        <w:jc w:val="center"/>
        <w:rPr>
          <w:rFonts w:ascii="仿宋" w:hAnsi="仿宋" w:eastAsia="仿宋" w:cs="楷体_GB2312"/>
          <w:b/>
          <w:bCs/>
          <w:sz w:val="36"/>
          <w:szCs w:val="36"/>
        </w:rPr>
      </w:pPr>
      <w:r>
        <w:rPr>
          <w:rFonts w:ascii="仿宋" w:hAnsi="仿宋" w:eastAsia="仿宋" w:cs="楷体_GB2312"/>
          <w:b/>
          <w:bCs/>
          <w:sz w:val="36"/>
          <w:szCs w:val="36"/>
        </w:rPr>
        <w:t>2018</w:t>
      </w:r>
      <w:r>
        <w:rPr>
          <w:rFonts w:hint="eastAsia" w:ascii="仿宋" w:hAnsi="仿宋" w:eastAsia="仿宋" w:cs="楷体_GB2312"/>
          <w:b/>
          <w:bCs/>
          <w:sz w:val="36"/>
          <w:szCs w:val="36"/>
        </w:rPr>
        <w:t>年部门整体支出绩效评价报告</w:t>
      </w:r>
    </w:p>
    <w:p>
      <w:pPr>
        <w:spacing w:line="58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一、部门概况</w:t>
      </w:r>
    </w:p>
    <w:p>
      <w:pPr>
        <w:ind w:firstLine="800" w:firstLineChars="250"/>
        <w:rPr>
          <w:rFonts w:ascii="仿宋" w:hAnsi="仿宋" w:eastAsia="仿宋"/>
          <w:sz w:val="32"/>
          <w:szCs w:val="32"/>
        </w:rPr>
      </w:pPr>
      <w:r>
        <w:rPr>
          <w:rFonts w:hint="eastAsia" w:ascii="仿宋_GB2312" w:eastAsia="仿宋_GB2312" w:cs="仿宋_GB2312"/>
          <w:kern w:val="0"/>
          <w:sz w:val="32"/>
          <w:szCs w:val="32"/>
        </w:rPr>
        <w:t>（一）机构组成：</w:t>
      </w:r>
      <w:r>
        <w:rPr>
          <w:rFonts w:hint="eastAsia" w:ascii="仿宋" w:hAnsi="仿宋" w:eastAsia="仿宋"/>
          <w:sz w:val="32"/>
          <w:szCs w:val="32"/>
        </w:rPr>
        <w:t>攀枝花市科学技术和知识产权局属于行政机关，内设机构</w:t>
      </w:r>
      <w:r>
        <w:rPr>
          <w:rFonts w:ascii="仿宋" w:hAnsi="仿宋" w:eastAsia="仿宋"/>
          <w:sz w:val="32"/>
          <w:szCs w:val="32"/>
        </w:rPr>
        <w:t>7</w:t>
      </w:r>
      <w:r>
        <w:rPr>
          <w:rFonts w:hint="eastAsia" w:ascii="仿宋" w:hAnsi="仿宋" w:eastAsia="仿宋"/>
          <w:sz w:val="32"/>
          <w:szCs w:val="32"/>
        </w:rPr>
        <w:t>个，下属二级单位</w:t>
      </w:r>
      <w:r>
        <w:rPr>
          <w:rFonts w:ascii="仿宋" w:hAnsi="仿宋" w:eastAsia="仿宋"/>
          <w:sz w:val="32"/>
          <w:szCs w:val="32"/>
        </w:rPr>
        <w:t>4</w:t>
      </w:r>
      <w:r>
        <w:rPr>
          <w:rFonts w:hint="eastAsia" w:ascii="仿宋" w:hAnsi="仿宋" w:eastAsia="仿宋"/>
          <w:sz w:val="32"/>
          <w:szCs w:val="32"/>
        </w:rPr>
        <w:t>个，其他事业单位</w:t>
      </w:r>
      <w:r>
        <w:rPr>
          <w:rFonts w:ascii="仿宋" w:hAnsi="仿宋" w:eastAsia="仿宋"/>
          <w:sz w:val="32"/>
          <w:szCs w:val="32"/>
        </w:rPr>
        <w:t>4</w:t>
      </w:r>
      <w:r>
        <w:rPr>
          <w:rFonts w:hint="eastAsia" w:ascii="仿宋" w:hAnsi="仿宋" w:eastAsia="仿宋"/>
          <w:sz w:val="32"/>
          <w:szCs w:val="32"/>
        </w:rPr>
        <w:t>个。</w:t>
      </w:r>
    </w:p>
    <w:p>
      <w:pPr>
        <w:pStyle w:val="25"/>
        <w:widowControl/>
        <w:spacing w:line="620" w:lineRule="atLeast"/>
        <w:ind w:firstLine="597" w:firstLineChars="166"/>
        <w:rPr>
          <w:rFonts w:ascii="仿宋_GB2312" w:eastAsia="仿宋_GB2312" w:cs="仿宋_GB2312"/>
          <w:bCs/>
          <w:sz w:val="36"/>
          <w:szCs w:val="36"/>
        </w:rPr>
      </w:pPr>
      <w:r>
        <w:rPr>
          <w:rFonts w:ascii="仿宋_GB2312" w:eastAsia="仿宋_GB2312" w:cs="仿宋_GB2312"/>
          <w:bCs/>
          <w:sz w:val="36"/>
          <w:szCs w:val="36"/>
        </w:rPr>
        <w:t>(</w:t>
      </w:r>
      <w:r>
        <w:rPr>
          <w:rFonts w:hint="eastAsia" w:ascii="仿宋_GB2312" w:eastAsia="仿宋_GB2312" w:cs="仿宋_GB2312"/>
          <w:bCs/>
          <w:sz w:val="36"/>
          <w:szCs w:val="36"/>
        </w:rPr>
        <w:t>二</w:t>
      </w:r>
      <w:r>
        <w:rPr>
          <w:rFonts w:ascii="仿宋_GB2312" w:eastAsia="仿宋_GB2312" w:cs="仿宋_GB2312"/>
          <w:bCs/>
          <w:sz w:val="36"/>
          <w:szCs w:val="36"/>
        </w:rPr>
        <w:t>)</w:t>
      </w:r>
      <w:r>
        <w:rPr>
          <w:rFonts w:hint="eastAsia" w:ascii="仿宋_GB2312" w:eastAsia="仿宋_GB2312" w:cs="仿宋_GB2312"/>
          <w:bCs/>
          <w:sz w:val="36"/>
          <w:szCs w:val="36"/>
        </w:rPr>
        <w:t>机构职能：</w:t>
      </w:r>
      <w:r>
        <w:rPr>
          <w:rFonts w:hint="eastAsia" w:ascii="仿宋" w:hAnsi="仿宋" w:eastAsia="仿宋"/>
          <w:sz w:val="32"/>
          <w:szCs w:val="32"/>
        </w:rPr>
        <w:t>贯彻执行国家、省有关科学技术和知识产权发展的方针政策和法律法规；拟订促进全市科学技术和知识产权发展的政策措施并组织实施和监督检查，拟订全市科学技术和知识产权发展规划并组织实施</w:t>
      </w:r>
      <w:r>
        <w:rPr>
          <w:rFonts w:ascii="仿宋" w:hAnsi="仿宋" w:eastAsia="仿宋"/>
          <w:sz w:val="32"/>
          <w:szCs w:val="32"/>
        </w:rPr>
        <w:t xml:space="preserve">, </w:t>
      </w:r>
      <w:r>
        <w:rPr>
          <w:rFonts w:hint="eastAsia" w:ascii="仿宋" w:hAnsi="仿宋" w:eastAsia="仿宋"/>
          <w:sz w:val="32"/>
          <w:szCs w:val="32"/>
        </w:rPr>
        <w:t>提出全市科学技术和知识产权发展布局和优先领域，拟订科技促进农村和社会发展</w:t>
      </w:r>
      <w:r>
        <w:rPr>
          <w:rFonts w:hint="eastAsia" w:ascii="仿宋" w:hAnsi="仿宋" w:eastAsia="仿宋"/>
          <w:color w:val="000000"/>
          <w:sz w:val="32"/>
          <w:szCs w:val="32"/>
        </w:rPr>
        <w:t>领域</w:t>
      </w:r>
      <w:r>
        <w:rPr>
          <w:rFonts w:hint="eastAsia" w:ascii="仿宋" w:hAnsi="仿宋" w:eastAsia="仿宋" w:cs="宋体"/>
          <w:kern w:val="0"/>
          <w:sz w:val="32"/>
          <w:szCs w:val="32"/>
        </w:rPr>
        <w:t>政策措施并组织实施，</w:t>
      </w:r>
      <w:r>
        <w:rPr>
          <w:rFonts w:hint="eastAsia" w:ascii="仿宋" w:hAnsi="仿宋" w:eastAsia="仿宋"/>
          <w:sz w:val="32"/>
          <w:szCs w:val="32"/>
        </w:rPr>
        <w:t>拟定并实施科技支撑计划、重大工程，负责拟订全市科技体制改革政策措施并组织实施，负责全市科技人才队伍建设，</w:t>
      </w:r>
      <w:r>
        <w:rPr>
          <w:rFonts w:hint="eastAsia" w:ascii="仿宋" w:hAnsi="仿宋" w:eastAsia="仿宋"/>
          <w:b/>
          <w:sz w:val="32"/>
          <w:szCs w:val="32"/>
        </w:rPr>
        <w:t>牵头组织</w:t>
      </w:r>
      <w:r>
        <w:rPr>
          <w:rFonts w:hint="eastAsia" w:ascii="仿宋" w:hAnsi="仿宋" w:eastAsia="仿宋"/>
          <w:sz w:val="32"/>
          <w:szCs w:val="32"/>
        </w:rPr>
        <w:t>经济社会发展重要领域的重大关键技术攻关，组织科技重大专项的方案论证、综合平衡、评估验收，牵头拟订建设创新型城市的科学技术和知识产权政策措施并组织实施；推进全市科技创新体系建设；拟订促进产学研结合的政策措施，拟订促进全市高新技术产业发展</w:t>
      </w:r>
      <w:r>
        <w:rPr>
          <w:rFonts w:hint="eastAsia" w:ascii="仿宋" w:hAnsi="仿宋" w:eastAsia="仿宋" w:cs="Arial"/>
          <w:color w:val="000000"/>
          <w:sz w:val="32"/>
          <w:szCs w:val="32"/>
        </w:rPr>
        <w:t>政策措施并组织实施；指导高新技术企业、创新型企业和创新平台建设，</w:t>
      </w:r>
      <w:r>
        <w:rPr>
          <w:rFonts w:hint="eastAsia" w:ascii="仿宋" w:hAnsi="仿宋" w:eastAsia="仿宋" w:cs="Arial"/>
          <w:b/>
          <w:color w:val="000000"/>
          <w:sz w:val="32"/>
          <w:szCs w:val="32"/>
        </w:rPr>
        <w:t>负责</w:t>
      </w:r>
      <w:r>
        <w:rPr>
          <w:rFonts w:hint="eastAsia" w:ascii="仿宋" w:hAnsi="仿宋" w:eastAsia="仿宋" w:cs="Arial"/>
          <w:color w:val="000000"/>
          <w:sz w:val="32"/>
          <w:szCs w:val="32"/>
        </w:rPr>
        <w:t>市级高新技术企业、创新平台认定管理工作；推进攀枝花国家新材料成果转化及产业化基地建设</w:t>
      </w:r>
      <w:r>
        <w:rPr>
          <w:rFonts w:hint="eastAsia" w:ascii="仿宋" w:hAnsi="仿宋" w:eastAsia="仿宋" w:cs="宋体"/>
          <w:kern w:val="0"/>
          <w:sz w:val="32"/>
          <w:szCs w:val="32"/>
        </w:rPr>
        <w:t>；</w:t>
      </w:r>
      <w:r>
        <w:rPr>
          <w:rFonts w:hint="eastAsia" w:ascii="仿宋" w:hAnsi="仿宋" w:eastAsia="仿宋"/>
          <w:sz w:val="32"/>
          <w:szCs w:val="32"/>
        </w:rPr>
        <w:t>指导农业科技园区和可持续发展实验区建设；</w:t>
      </w:r>
      <w:r>
        <w:rPr>
          <w:rFonts w:hint="eastAsia" w:ascii="仿宋" w:hAnsi="仿宋" w:eastAsia="仿宋"/>
          <w:color w:val="000000"/>
          <w:sz w:val="32"/>
          <w:szCs w:val="32"/>
        </w:rPr>
        <w:t>负责科技服务民生工作</w:t>
      </w:r>
      <w:r>
        <w:rPr>
          <w:rFonts w:ascii="仿宋" w:hAnsi="仿宋" w:eastAsia="仿宋"/>
          <w:color w:val="000000"/>
          <w:sz w:val="32"/>
          <w:szCs w:val="32"/>
        </w:rPr>
        <w:t>,</w:t>
      </w:r>
      <w:r>
        <w:rPr>
          <w:rFonts w:hint="eastAsia" w:ascii="仿宋" w:hAnsi="仿宋" w:eastAsia="仿宋"/>
          <w:color w:val="000000"/>
          <w:sz w:val="32"/>
          <w:szCs w:val="32"/>
        </w:rPr>
        <w:t>促进以改善民生为重点的农村建设社会事业发展</w:t>
      </w:r>
      <w:r>
        <w:rPr>
          <w:rFonts w:hint="eastAsia" w:ascii="仿宋" w:hAnsi="仿宋" w:eastAsia="仿宋"/>
          <w:sz w:val="32"/>
          <w:szCs w:val="32"/>
        </w:rPr>
        <w:t>，负责全市专利行政执法工作，依法处理专利纠纷案件，查处假冒专利的违法行为，指导全市企事业单位的专利工作和专利代理机构业务工作，拟订科学技术和知识产权的奖励政策并组织实施，拟订全市科技金融发展的政策措施并组织实施负责组织科学技术奖励的评审和科技成果管理、科技保密以及技术市场工作，指导科技中介组织的建设，全市科学技术普及工作；</w:t>
      </w:r>
      <w:r>
        <w:rPr>
          <w:rFonts w:hint="eastAsia" w:ascii="仿宋" w:hAnsi="仿宋" w:eastAsia="仿宋"/>
          <w:color w:val="000000"/>
          <w:sz w:val="32"/>
          <w:szCs w:val="32"/>
        </w:rPr>
        <w:t>牵头组织全市</w:t>
      </w:r>
      <w:r>
        <w:rPr>
          <w:rFonts w:hint="eastAsia" w:ascii="仿宋" w:hAnsi="仿宋" w:eastAsia="仿宋"/>
          <w:sz w:val="32"/>
          <w:szCs w:val="32"/>
        </w:rPr>
        <w:t>科技和</w:t>
      </w:r>
      <w:r>
        <w:rPr>
          <w:rFonts w:hint="eastAsia" w:ascii="仿宋" w:hAnsi="仿宋" w:eastAsia="仿宋"/>
          <w:color w:val="000000"/>
          <w:sz w:val="32"/>
          <w:szCs w:val="32"/>
        </w:rPr>
        <w:t>知识产权法律、法规的宣传和培训</w:t>
      </w:r>
      <w:r>
        <w:rPr>
          <w:rFonts w:hint="eastAsia" w:ascii="仿宋" w:hAnsi="仿宋" w:eastAsia="仿宋"/>
          <w:sz w:val="32"/>
          <w:szCs w:val="32"/>
        </w:rPr>
        <w:t>，科学技术的对外交流与合作；</w:t>
      </w:r>
      <w:r>
        <w:rPr>
          <w:rFonts w:hint="eastAsia" w:ascii="仿宋" w:hAnsi="仿宋" w:eastAsia="仿宋" w:cs="Arial"/>
          <w:color w:val="000000"/>
          <w:sz w:val="32"/>
          <w:szCs w:val="32"/>
        </w:rPr>
        <w:t>指导科技金融业务</w:t>
      </w:r>
      <w:r>
        <w:rPr>
          <w:rFonts w:ascii="仿宋" w:hAnsi="仿宋" w:eastAsia="仿宋"/>
          <w:sz w:val="32"/>
          <w:szCs w:val="32"/>
        </w:rPr>
        <w:t>,</w:t>
      </w:r>
      <w:r>
        <w:rPr>
          <w:rFonts w:hint="eastAsia" w:ascii="仿宋" w:hAnsi="仿宋" w:eastAsia="仿宋" w:cs="Arial"/>
          <w:color w:val="000000"/>
          <w:sz w:val="32"/>
          <w:szCs w:val="32"/>
        </w:rPr>
        <w:t>促进科技金融结合，</w:t>
      </w:r>
      <w:r>
        <w:rPr>
          <w:rFonts w:hint="eastAsia" w:ascii="仿宋" w:hAnsi="仿宋" w:eastAsia="仿宋"/>
          <w:sz w:val="32"/>
          <w:szCs w:val="32"/>
        </w:rPr>
        <w:t>负责全市应用技术研究与开发资金的监督管理；提出强化科学技术和知识产权投入及优化资源配置的建议；推进</w:t>
      </w:r>
      <w:r>
        <w:rPr>
          <w:rFonts w:hint="eastAsia" w:ascii="仿宋" w:hAnsi="仿宋" w:eastAsia="仿宋"/>
          <w:color w:val="000000"/>
          <w:sz w:val="32"/>
          <w:szCs w:val="32"/>
        </w:rPr>
        <w:t>科技基础条件平台建设。</w:t>
      </w:r>
    </w:p>
    <w:p>
      <w:pPr>
        <w:widowControl/>
        <w:spacing w:line="620" w:lineRule="atLeast"/>
        <w:ind w:firstLine="640" w:firstLineChars="200"/>
        <w:rPr>
          <w:rFonts w:ascii="仿宋_GB2312" w:eastAsia="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人员概况：</w:t>
      </w:r>
      <w:r>
        <w:rPr>
          <w:rFonts w:hint="eastAsia" w:ascii="仿宋" w:hAnsi="仿宋" w:eastAsia="仿宋"/>
          <w:sz w:val="32"/>
        </w:rPr>
        <w:t>我局机关行政编制</w:t>
      </w:r>
      <w:r>
        <w:rPr>
          <w:rFonts w:ascii="仿宋" w:hAnsi="仿宋" w:eastAsia="仿宋"/>
          <w:sz w:val="32"/>
        </w:rPr>
        <w:t>21</w:t>
      </w:r>
      <w:r>
        <w:rPr>
          <w:rFonts w:hint="eastAsia" w:ascii="仿宋" w:hAnsi="仿宋" w:eastAsia="仿宋"/>
          <w:sz w:val="32"/>
        </w:rPr>
        <w:t>名，后勤事业编制</w:t>
      </w:r>
      <w:r>
        <w:rPr>
          <w:rFonts w:ascii="仿宋" w:hAnsi="仿宋" w:eastAsia="仿宋"/>
          <w:sz w:val="32"/>
        </w:rPr>
        <w:t>5</w:t>
      </w:r>
      <w:r>
        <w:rPr>
          <w:rFonts w:hint="eastAsia" w:ascii="仿宋" w:hAnsi="仿宋" w:eastAsia="仿宋"/>
          <w:sz w:val="32"/>
        </w:rPr>
        <w:t>名。领导职数</w:t>
      </w:r>
      <w:r>
        <w:rPr>
          <w:rFonts w:ascii="仿宋" w:hAnsi="仿宋" w:eastAsia="仿宋"/>
          <w:sz w:val="32"/>
        </w:rPr>
        <w:t>5</w:t>
      </w:r>
      <w:r>
        <w:rPr>
          <w:rFonts w:hint="eastAsia" w:ascii="仿宋" w:hAnsi="仿宋" w:eastAsia="仿宋"/>
          <w:sz w:val="32"/>
        </w:rPr>
        <w:t>名（一正三副、</w:t>
      </w:r>
      <w:r>
        <w:rPr>
          <w:rFonts w:ascii="仿宋" w:hAnsi="仿宋" w:eastAsia="仿宋"/>
          <w:sz w:val="32"/>
        </w:rPr>
        <w:t>1</w:t>
      </w:r>
      <w:r>
        <w:rPr>
          <w:rFonts w:hint="eastAsia" w:ascii="仿宋" w:hAnsi="仿宋" w:eastAsia="仿宋"/>
          <w:sz w:val="32"/>
        </w:rPr>
        <w:t>名机关总支书记），科级领导职数</w:t>
      </w:r>
      <w:r>
        <w:rPr>
          <w:rFonts w:ascii="仿宋" w:hAnsi="仿宋" w:eastAsia="仿宋"/>
          <w:sz w:val="32"/>
        </w:rPr>
        <w:t>11</w:t>
      </w:r>
      <w:r>
        <w:rPr>
          <w:rFonts w:hint="eastAsia" w:ascii="仿宋" w:hAnsi="仿宋" w:eastAsia="仿宋"/>
          <w:sz w:val="32"/>
        </w:rPr>
        <w:t>名。局属事业单位</w:t>
      </w:r>
      <w:r>
        <w:rPr>
          <w:rFonts w:ascii="仿宋" w:hAnsi="仿宋" w:eastAsia="仿宋"/>
          <w:sz w:val="32"/>
        </w:rPr>
        <w:t>4</w:t>
      </w:r>
      <w:r>
        <w:rPr>
          <w:rFonts w:hint="eastAsia" w:ascii="仿宋" w:hAnsi="仿宋" w:eastAsia="仿宋"/>
          <w:sz w:val="32"/>
        </w:rPr>
        <w:t>个，编制</w:t>
      </w:r>
      <w:r>
        <w:rPr>
          <w:rFonts w:ascii="仿宋" w:hAnsi="仿宋" w:eastAsia="仿宋"/>
          <w:sz w:val="32"/>
        </w:rPr>
        <w:t>48</w:t>
      </w:r>
      <w:r>
        <w:rPr>
          <w:rFonts w:hint="eastAsia" w:ascii="仿宋" w:hAnsi="仿宋" w:eastAsia="仿宋"/>
          <w:sz w:val="32"/>
        </w:rPr>
        <w:t>名</w:t>
      </w:r>
      <w:r>
        <w:rPr>
          <w:rFonts w:hint="eastAsia"/>
          <w:sz w:val="32"/>
        </w:rPr>
        <w:t>。</w:t>
      </w:r>
    </w:p>
    <w:p>
      <w:pPr>
        <w:widowControl/>
        <w:spacing w:line="620" w:lineRule="atLeast"/>
        <w:ind w:firstLine="708" w:firstLineChars="196"/>
        <w:rPr>
          <w:rFonts w:ascii="仿宋_GB2312" w:eastAsia="仿宋_GB2312"/>
          <w:b/>
          <w:bCs/>
          <w:sz w:val="36"/>
          <w:szCs w:val="36"/>
        </w:rPr>
      </w:pPr>
      <w:r>
        <w:rPr>
          <w:rFonts w:hint="eastAsia" w:ascii="仿宋_GB2312" w:eastAsia="仿宋_GB2312" w:cs="仿宋_GB2312"/>
          <w:b/>
          <w:bCs/>
          <w:sz w:val="36"/>
          <w:szCs w:val="36"/>
        </w:rPr>
        <w:t>二、部门财政资金收支情况</w:t>
      </w:r>
    </w:p>
    <w:p>
      <w:pPr>
        <w:widowControl/>
        <w:spacing w:line="620" w:lineRule="atLeas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一</w:t>
      </w:r>
      <w:r>
        <w:rPr>
          <w:rFonts w:ascii="仿宋" w:hAnsi="仿宋" w:eastAsia="仿宋" w:cs="仿宋_GB2312"/>
          <w:sz w:val="32"/>
          <w:szCs w:val="32"/>
        </w:rPr>
        <w:t>)</w:t>
      </w:r>
      <w:r>
        <w:rPr>
          <w:rFonts w:hint="eastAsia" w:ascii="仿宋" w:hAnsi="仿宋" w:eastAsia="仿宋" w:cs="仿宋_GB2312"/>
          <w:sz w:val="32"/>
          <w:szCs w:val="32"/>
        </w:rPr>
        <w:t>部门财政资金收入情况：</w:t>
      </w:r>
      <w:r>
        <w:rPr>
          <w:rFonts w:ascii="仿宋" w:hAnsi="仿宋" w:eastAsia="仿宋" w:cs="仿宋_GB2312"/>
          <w:sz w:val="32"/>
          <w:szCs w:val="32"/>
        </w:rPr>
        <w:t>2018</w:t>
      </w:r>
      <w:r>
        <w:rPr>
          <w:rFonts w:hint="eastAsia" w:ascii="仿宋" w:hAnsi="仿宋" w:eastAsia="仿宋" w:cs="仿宋_GB2312"/>
          <w:sz w:val="32"/>
          <w:szCs w:val="32"/>
        </w:rPr>
        <w:t>年财政资总收入</w:t>
      </w:r>
      <w:r>
        <w:rPr>
          <w:rFonts w:ascii="仿宋" w:hAnsi="仿宋" w:eastAsia="仿宋" w:cs="仿宋_GB2312"/>
          <w:sz w:val="32"/>
          <w:szCs w:val="32"/>
        </w:rPr>
        <w:t>4576.43</w:t>
      </w:r>
      <w:r>
        <w:rPr>
          <w:rFonts w:hint="eastAsia" w:ascii="仿宋" w:hAnsi="仿宋" w:eastAsia="仿宋" w:cs="仿宋_GB2312"/>
          <w:sz w:val="32"/>
          <w:szCs w:val="32"/>
        </w:rPr>
        <w:t>万元。</w:t>
      </w:r>
    </w:p>
    <w:p>
      <w:pPr>
        <w:widowControl/>
        <w:spacing w:line="620" w:lineRule="atLeast"/>
        <w:ind w:firstLine="640" w:firstLineChars="20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2017</w:t>
      </w:r>
      <w:r>
        <w:rPr>
          <w:rFonts w:hint="eastAsia" w:ascii="仿宋" w:hAnsi="仿宋" w:eastAsia="仿宋" w:cs="仿宋_GB2312"/>
          <w:sz w:val="32"/>
          <w:szCs w:val="32"/>
        </w:rPr>
        <w:t>年结转财政资金</w:t>
      </w:r>
      <w:r>
        <w:rPr>
          <w:rFonts w:ascii="仿宋" w:hAnsi="仿宋" w:eastAsia="仿宋" w:cs="仿宋_GB2312"/>
          <w:sz w:val="32"/>
          <w:szCs w:val="32"/>
        </w:rPr>
        <w:t>1031.65</w:t>
      </w:r>
      <w:r>
        <w:rPr>
          <w:rFonts w:hint="eastAsia" w:ascii="仿宋" w:hAnsi="仿宋" w:eastAsia="仿宋" w:cs="仿宋_GB2312"/>
          <w:sz w:val="32"/>
          <w:szCs w:val="32"/>
        </w:rPr>
        <w:t>万元</w:t>
      </w:r>
      <w:r>
        <w:rPr>
          <w:rFonts w:ascii="仿宋" w:hAnsi="仿宋" w:eastAsia="仿宋" w:cs="仿宋_GB2312"/>
          <w:sz w:val="32"/>
          <w:szCs w:val="32"/>
        </w:rPr>
        <w:t>,</w:t>
      </w:r>
      <w:r>
        <w:rPr>
          <w:rFonts w:hint="eastAsia" w:ascii="仿宋" w:hAnsi="仿宋" w:eastAsia="仿宋" w:cs="仿宋_GB2312"/>
          <w:sz w:val="32"/>
          <w:szCs w:val="32"/>
        </w:rPr>
        <w:t>其中</w:t>
      </w:r>
      <w:r>
        <w:rPr>
          <w:rFonts w:ascii="仿宋" w:hAnsi="仿宋" w:eastAsia="仿宋" w:cs="仿宋_GB2312"/>
          <w:sz w:val="32"/>
          <w:szCs w:val="32"/>
        </w:rPr>
        <w:t>:</w:t>
      </w:r>
      <w:r>
        <w:rPr>
          <w:rFonts w:hint="eastAsia" w:ascii="仿宋" w:hAnsi="仿宋" w:eastAsia="仿宋" w:cs="仿宋_GB2312"/>
          <w:sz w:val="32"/>
          <w:szCs w:val="32"/>
        </w:rPr>
        <w:t>项目资金</w:t>
      </w:r>
      <w:r>
        <w:rPr>
          <w:rFonts w:ascii="仿宋" w:hAnsi="仿宋" w:eastAsia="仿宋" w:cs="仿宋_GB2312"/>
          <w:sz w:val="32"/>
          <w:szCs w:val="32"/>
        </w:rPr>
        <w:t>1031.65</w:t>
      </w:r>
      <w:r>
        <w:rPr>
          <w:rFonts w:hint="eastAsia" w:ascii="仿宋" w:hAnsi="仿宋" w:eastAsia="仿宋" w:cs="仿宋_GB2312"/>
          <w:sz w:val="32"/>
          <w:szCs w:val="32"/>
        </w:rPr>
        <w:t>万元。</w:t>
      </w:r>
    </w:p>
    <w:p>
      <w:pPr>
        <w:widowControl/>
        <w:spacing w:line="620" w:lineRule="atLeast"/>
        <w:ind w:firstLine="640" w:firstLineChars="200"/>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2018</w:t>
      </w:r>
      <w:r>
        <w:rPr>
          <w:rFonts w:hint="eastAsia" w:ascii="仿宋" w:hAnsi="仿宋" w:eastAsia="仿宋" w:cs="仿宋_GB2312"/>
          <w:sz w:val="32"/>
          <w:szCs w:val="32"/>
        </w:rPr>
        <w:t>年财政资金拨款</w:t>
      </w:r>
      <w:r>
        <w:rPr>
          <w:rFonts w:ascii="仿宋" w:hAnsi="仿宋" w:eastAsia="仿宋" w:cs="仿宋_GB2312"/>
          <w:sz w:val="32"/>
          <w:szCs w:val="32"/>
        </w:rPr>
        <w:t>3544.78</w:t>
      </w:r>
      <w:r>
        <w:rPr>
          <w:rFonts w:hint="eastAsia" w:ascii="仿宋" w:hAnsi="仿宋" w:eastAsia="仿宋" w:cs="仿宋_GB2312"/>
          <w:sz w:val="32"/>
          <w:szCs w:val="32"/>
        </w:rPr>
        <w:t>万元，其中：基本支出拨款</w:t>
      </w:r>
      <w:r>
        <w:rPr>
          <w:rFonts w:ascii="仿宋" w:hAnsi="仿宋" w:eastAsia="仿宋" w:cs="仿宋_GB2312"/>
          <w:sz w:val="32"/>
          <w:szCs w:val="32"/>
        </w:rPr>
        <w:t>1720.12</w:t>
      </w:r>
      <w:r>
        <w:rPr>
          <w:rFonts w:hint="eastAsia" w:ascii="仿宋" w:hAnsi="仿宋" w:eastAsia="仿宋" w:cs="仿宋_GB2312"/>
          <w:sz w:val="32"/>
          <w:szCs w:val="32"/>
        </w:rPr>
        <w:t>万元，项目支出拨款</w:t>
      </w:r>
      <w:r>
        <w:rPr>
          <w:rFonts w:ascii="仿宋" w:hAnsi="仿宋" w:eastAsia="仿宋" w:cs="仿宋_GB2312"/>
          <w:sz w:val="32"/>
          <w:szCs w:val="32"/>
        </w:rPr>
        <w:t>1824.66</w:t>
      </w:r>
      <w:r>
        <w:rPr>
          <w:rFonts w:hint="eastAsia" w:ascii="仿宋" w:hAnsi="仿宋" w:eastAsia="仿宋" w:cs="仿宋_GB2312"/>
          <w:sz w:val="32"/>
          <w:szCs w:val="32"/>
        </w:rPr>
        <w:t>万元。</w:t>
      </w:r>
    </w:p>
    <w:p>
      <w:pPr>
        <w:widowControl/>
        <w:spacing w:line="620" w:lineRule="atLeast"/>
        <w:ind w:firstLine="480" w:firstLineChars="150"/>
        <w:rPr>
          <w:rFonts w:ascii="仿宋" w:hAnsi="仿宋" w:eastAsia="仿宋"/>
          <w:sz w:val="32"/>
          <w:szCs w:val="32"/>
        </w:rPr>
      </w:pPr>
      <w:r>
        <w:rPr>
          <w:rFonts w:hint="eastAsia" w:ascii="仿宋" w:hAnsi="仿宋" w:eastAsia="仿宋" w:cs="仿宋_GB2312"/>
          <w:sz w:val="32"/>
          <w:szCs w:val="32"/>
        </w:rPr>
        <w:t>（二）部门财政资金支出情况。</w:t>
      </w:r>
      <w:r>
        <w:rPr>
          <w:rFonts w:ascii="仿宋" w:hAnsi="仿宋" w:eastAsia="仿宋" w:cs="仿宋_GB2312"/>
          <w:sz w:val="32"/>
          <w:szCs w:val="32"/>
        </w:rPr>
        <w:t>2018</w:t>
      </w:r>
      <w:r>
        <w:rPr>
          <w:rFonts w:hint="eastAsia" w:ascii="仿宋" w:hAnsi="仿宋" w:eastAsia="仿宋" w:cs="仿宋_GB2312"/>
          <w:sz w:val="32"/>
          <w:szCs w:val="32"/>
        </w:rPr>
        <w:t>年总支出</w:t>
      </w:r>
      <w:r>
        <w:rPr>
          <w:rFonts w:ascii="仿宋" w:hAnsi="仿宋" w:eastAsia="仿宋" w:cs="仿宋_GB2312"/>
          <w:sz w:val="32"/>
          <w:szCs w:val="32"/>
        </w:rPr>
        <w:t>3897.18</w:t>
      </w:r>
      <w:r>
        <w:rPr>
          <w:rFonts w:hint="eastAsia" w:ascii="仿宋" w:hAnsi="仿宋" w:eastAsia="仿宋" w:cs="仿宋_GB2312"/>
          <w:sz w:val="32"/>
          <w:szCs w:val="32"/>
        </w:rPr>
        <w:t>万元，其中：基本支出</w:t>
      </w:r>
      <w:r>
        <w:rPr>
          <w:rFonts w:ascii="仿宋" w:hAnsi="仿宋" w:eastAsia="仿宋" w:cs="仿宋_GB2312"/>
          <w:sz w:val="32"/>
          <w:szCs w:val="32"/>
        </w:rPr>
        <w:t>1719.96</w:t>
      </w:r>
      <w:r>
        <w:rPr>
          <w:rFonts w:hint="eastAsia" w:ascii="仿宋" w:hAnsi="仿宋" w:eastAsia="仿宋" w:cs="仿宋_GB2312"/>
          <w:sz w:val="32"/>
          <w:szCs w:val="32"/>
        </w:rPr>
        <w:t>万元，项目支出</w:t>
      </w:r>
      <w:r>
        <w:rPr>
          <w:rFonts w:ascii="仿宋" w:hAnsi="仿宋" w:eastAsia="仿宋" w:cs="仿宋_GB2312"/>
          <w:sz w:val="32"/>
          <w:szCs w:val="32"/>
        </w:rPr>
        <w:t>2177.22</w:t>
      </w:r>
      <w:r>
        <w:rPr>
          <w:rFonts w:hint="eastAsia" w:ascii="仿宋" w:hAnsi="仿宋" w:eastAsia="仿宋" w:cs="仿宋_GB2312"/>
          <w:sz w:val="32"/>
          <w:szCs w:val="32"/>
        </w:rPr>
        <w:t>万元，年末结余</w:t>
      </w:r>
      <w:r>
        <w:rPr>
          <w:rFonts w:ascii="仿宋" w:hAnsi="仿宋" w:eastAsia="仿宋" w:cs="仿宋_GB2312"/>
          <w:sz w:val="32"/>
          <w:szCs w:val="32"/>
        </w:rPr>
        <w:t>679.25</w:t>
      </w:r>
      <w:r>
        <w:rPr>
          <w:rFonts w:hint="eastAsia" w:ascii="仿宋" w:hAnsi="仿宋" w:eastAsia="仿宋" w:cs="仿宋_GB2312"/>
          <w:sz w:val="32"/>
          <w:szCs w:val="32"/>
        </w:rPr>
        <w:t>万元。</w:t>
      </w:r>
    </w:p>
    <w:p>
      <w:pPr>
        <w:spacing w:line="580" w:lineRule="exact"/>
        <w:ind w:firstLine="630" w:firstLineChars="196"/>
        <w:rPr>
          <w:rFonts w:ascii="仿宋" w:hAnsi="仿宋" w:eastAsia="仿宋" w:cs="楷体_GB2312"/>
          <w:b/>
          <w:bCs/>
          <w:sz w:val="32"/>
          <w:szCs w:val="32"/>
        </w:rPr>
      </w:pPr>
      <w:r>
        <w:rPr>
          <w:rFonts w:hint="eastAsia" w:ascii="仿宋" w:hAnsi="仿宋" w:eastAsia="仿宋" w:cs="楷体_GB2312"/>
          <w:b/>
          <w:bCs/>
          <w:sz w:val="32"/>
          <w:szCs w:val="32"/>
        </w:rPr>
        <w:t>三、部门整体预算绩效管理情况</w:t>
      </w:r>
    </w:p>
    <w:p>
      <w:pPr>
        <w:spacing w:line="580" w:lineRule="exact"/>
        <w:ind w:firstLine="480" w:firstLineChars="150"/>
        <w:rPr>
          <w:rFonts w:ascii="仿宋" w:hAnsi="仿宋" w:eastAsia="仿宋" w:cs="楷体_GB2312"/>
          <w:bCs/>
          <w:sz w:val="32"/>
          <w:szCs w:val="32"/>
        </w:rPr>
      </w:pPr>
      <w:r>
        <w:rPr>
          <w:rFonts w:hint="eastAsia" w:ascii="仿宋" w:hAnsi="仿宋" w:eastAsia="仿宋" w:cs="楷体_GB2312"/>
          <w:bCs/>
          <w:sz w:val="32"/>
          <w:szCs w:val="32"/>
        </w:rPr>
        <w:t>（一）部门预算管理</w:t>
      </w:r>
      <w:r>
        <w:rPr>
          <w:rFonts w:ascii="仿宋" w:hAnsi="仿宋" w:eastAsia="仿宋" w:cs="楷体_GB2312"/>
          <w:bCs/>
          <w:sz w:val="32"/>
          <w:szCs w:val="32"/>
        </w:rPr>
        <w:t xml:space="preserve"> </w:t>
      </w:r>
    </w:p>
    <w:p>
      <w:pPr>
        <w:widowControl/>
        <w:spacing w:line="620" w:lineRule="atLeast"/>
        <w:ind w:firstLine="640" w:firstLineChars="20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预算编制情况。根据《中华人民共和国预算法》、《中华人民共和国预算法实施条例》，认真贯彻党的十九大精神，紧紧围绕市委、市政府决策部署，按照“保工资、保运转、保必要民生”的财政保障序列，严格控制一般性支出和“三公”经费规模，首先安排用于保工资，其次是保基本运转，再次是保必要民生支出，最后安排单位项目支出的原则进行预算编制。</w:t>
      </w:r>
    </w:p>
    <w:p>
      <w:pPr>
        <w:widowControl/>
        <w:spacing w:line="620" w:lineRule="atLeast"/>
        <w:ind w:firstLine="480" w:firstLineChars="150"/>
        <w:rPr>
          <w:rFonts w:ascii="仿宋_GB2312" w:eastAsia="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执行管理情况：</w:t>
      </w:r>
      <w:r>
        <w:rPr>
          <w:rFonts w:ascii="仿宋" w:hAnsi="仿宋" w:eastAsia="仿宋" w:cs="仿宋_GB2312"/>
          <w:sz w:val="32"/>
          <w:szCs w:val="32"/>
        </w:rPr>
        <w:t>2018</w:t>
      </w:r>
      <w:r>
        <w:rPr>
          <w:rFonts w:hint="eastAsia" w:ascii="仿宋" w:hAnsi="仿宋" w:eastAsia="仿宋" w:cs="仿宋_GB2312"/>
          <w:sz w:val="32"/>
          <w:szCs w:val="32"/>
        </w:rPr>
        <w:t>年部门预算下达</w:t>
      </w:r>
      <w:r>
        <w:rPr>
          <w:rFonts w:ascii="仿宋" w:hAnsi="仿宋" w:eastAsia="仿宋" w:cs="仿宋_GB2312"/>
          <w:sz w:val="32"/>
          <w:szCs w:val="32"/>
        </w:rPr>
        <w:t>3626.29</w:t>
      </w:r>
      <w:r>
        <w:rPr>
          <w:rFonts w:hint="eastAsia" w:ascii="仿宋" w:hAnsi="仿宋" w:eastAsia="仿宋" w:cs="仿宋_GB2312"/>
          <w:sz w:val="32"/>
          <w:szCs w:val="32"/>
        </w:rPr>
        <w:t>万元，</w:t>
      </w:r>
      <w:r>
        <w:rPr>
          <w:rFonts w:ascii="仿宋" w:hAnsi="仿宋" w:eastAsia="仿宋" w:cs="仿宋_GB2312"/>
          <w:sz w:val="32"/>
          <w:szCs w:val="32"/>
        </w:rPr>
        <w:t>2017</w:t>
      </w:r>
      <w:r>
        <w:rPr>
          <w:rFonts w:hint="eastAsia" w:ascii="仿宋" w:hAnsi="仿宋" w:eastAsia="仿宋" w:cs="仿宋_GB2312"/>
          <w:sz w:val="32"/>
          <w:szCs w:val="32"/>
        </w:rPr>
        <w:t>年结转项目资金</w:t>
      </w:r>
      <w:r>
        <w:rPr>
          <w:rFonts w:ascii="仿宋" w:hAnsi="仿宋" w:eastAsia="仿宋" w:cs="仿宋_GB2312"/>
          <w:sz w:val="32"/>
          <w:szCs w:val="32"/>
        </w:rPr>
        <w:t>1132.79</w:t>
      </w:r>
      <w:r>
        <w:rPr>
          <w:rFonts w:hint="eastAsia" w:ascii="仿宋" w:hAnsi="仿宋" w:eastAsia="仿宋" w:cs="仿宋_GB2312"/>
          <w:sz w:val="32"/>
          <w:szCs w:val="32"/>
        </w:rPr>
        <w:t>万元，本年实际支出</w:t>
      </w:r>
      <w:r>
        <w:rPr>
          <w:rFonts w:ascii="仿宋" w:hAnsi="仿宋" w:eastAsia="仿宋" w:cs="仿宋_GB2312"/>
          <w:sz w:val="32"/>
          <w:szCs w:val="32"/>
        </w:rPr>
        <w:t>3943.50</w:t>
      </w:r>
      <w:r>
        <w:rPr>
          <w:rFonts w:hint="eastAsia" w:ascii="仿宋" w:hAnsi="仿宋" w:eastAsia="仿宋" w:cs="仿宋_GB2312"/>
          <w:sz w:val="32"/>
          <w:szCs w:val="32"/>
        </w:rPr>
        <w:t>万元，其中：基本支出</w:t>
      </w:r>
      <w:r>
        <w:rPr>
          <w:rFonts w:ascii="仿宋" w:hAnsi="仿宋" w:eastAsia="仿宋" w:cs="仿宋_GB2312"/>
          <w:sz w:val="32"/>
          <w:szCs w:val="32"/>
        </w:rPr>
        <w:t>1727.03</w:t>
      </w:r>
      <w:r>
        <w:rPr>
          <w:rFonts w:hint="eastAsia" w:ascii="仿宋" w:hAnsi="仿宋" w:eastAsia="仿宋" w:cs="仿宋_GB2312"/>
          <w:sz w:val="32"/>
          <w:szCs w:val="32"/>
        </w:rPr>
        <w:t>万元，包含人员工资及公用经费，职工基本养老保险缴费，职工住房公积金支出；项目支出</w:t>
      </w:r>
      <w:r>
        <w:rPr>
          <w:rFonts w:ascii="仿宋" w:hAnsi="仿宋" w:eastAsia="仿宋" w:cs="仿宋_GB2312"/>
          <w:sz w:val="32"/>
          <w:szCs w:val="32"/>
        </w:rPr>
        <w:t>2216.47</w:t>
      </w:r>
      <w:r>
        <w:rPr>
          <w:rFonts w:hint="eastAsia" w:ascii="仿宋" w:hAnsi="仿宋" w:eastAsia="仿宋" w:cs="仿宋_GB2312"/>
          <w:sz w:val="32"/>
          <w:szCs w:val="32"/>
        </w:rPr>
        <w:t>万元，包含科技计划管理、国家知识产权试点城市建设、</w:t>
      </w:r>
      <w:r>
        <w:rPr>
          <w:rFonts w:hint="eastAsia" w:ascii="仿宋" w:hAnsi="仿宋" w:eastAsia="仿宋"/>
          <w:sz w:val="32"/>
          <w:szCs w:val="32"/>
        </w:rPr>
        <w:t>重大科技创新和成果转化，科技创新创业平台建设、，科技交流合作，攀枝花市校市战略合作，攀枝花市钒钛研究院建设等项目支出</w:t>
      </w:r>
      <w:r>
        <w:rPr>
          <w:rFonts w:ascii="仿宋" w:hAnsi="仿宋" w:eastAsia="仿宋"/>
          <w:sz w:val="32"/>
          <w:szCs w:val="32"/>
        </w:rPr>
        <w:t xml:space="preserve"> </w:t>
      </w:r>
      <w:r>
        <w:rPr>
          <w:rFonts w:hint="eastAsia" w:ascii="仿宋" w:hAnsi="仿宋" w:eastAsia="仿宋"/>
          <w:sz w:val="32"/>
          <w:szCs w:val="32"/>
        </w:rPr>
        <w:t>，</w:t>
      </w:r>
      <w:r>
        <w:rPr>
          <w:rFonts w:hint="eastAsia" w:ascii="仿宋" w:hAnsi="仿宋" w:eastAsia="仿宋" w:cs="仿宋_GB2312"/>
          <w:color w:val="000000"/>
          <w:sz w:val="32"/>
          <w:szCs w:val="32"/>
        </w:rPr>
        <w:t>在支出过程中，能严格遵守各项规章制度</w:t>
      </w:r>
      <w:r>
        <w:rPr>
          <w:rFonts w:hint="eastAsia" w:ascii="仿宋" w:hAnsi="仿宋" w:eastAsia="仿宋" w:cs="仿宋_GB2312"/>
          <w:sz w:val="32"/>
          <w:szCs w:val="32"/>
        </w:rPr>
        <w:t>，全年严格按预算支付，没出现无预算和超预算支出的现象。</w:t>
      </w:r>
      <w:r>
        <w:rPr>
          <w:rFonts w:ascii="仿宋" w:hAnsi="仿宋" w:eastAsia="仿宋" w:cs="仿宋_GB2312"/>
          <w:sz w:val="32"/>
          <w:szCs w:val="32"/>
        </w:rPr>
        <w:t>2018</w:t>
      </w:r>
      <w:r>
        <w:rPr>
          <w:rFonts w:hint="eastAsia" w:ascii="仿宋" w:hAnsi="仿宋" w:eastAsia="仿宋" w:cs="仿宋_GB2312"/>
          <w:sz w:val="32"/>
          <w:szCs w:val="32"/>
        </w:rPr>
        <w:t>年度</w:t>
      </w:r>
      <w:r>
        <w:rPr>
          <w:rFonts w:hint="eastAsia" w:ascii="仿宋" w:hAnsi="仿宋" w:eastAsia="仿宋" w:cs="仿宋_GB2312"/>
          <w:color w:val="000000"/>
          <w:kern w:val="0"/>
          <w:sz w:val="32"/>
          <w:szCs w:val="32"/>
        </w:rPr>
        <w:t>单位严格执行三公经费的控制政策，全年“三公”经费支出</w:t>
      </w:r>
      <w:r>
        <w:rPr>
          <w:rFonts w:ascii="仿宋" w:hAnsi="仿宋" w:eastAsia="仿宋" w:cs="仿宋_GB2312"/>
          <w:color w:val="000000"/>
          <w:kern w:val="0"/>
          <w:sz w:val="32"/>
          <w:szCs w:val="32"/>
        </w:rPr>
        <w:t>1.68</w:t>
      </w:r>
      <w:r>
        <w:rPr>
          <w:rFonts w:hint="eastAsia" w:ascii="仿宋" w:hAnsi="仿宋" w:eastAsia="仿宋" w:cs="仿宋_GB2312"/>
          <w:color w:val="000000"/>
          <w:kern w:val="0"/>
          <w:sz w:val="32"/>
          <w:szCs w:val="32"/>
        </w:rPr>
        <w:t>万元，比上年同期下降</w:t>
      </w:r>
      <w:r>
        <w:rPr>
          <w:rFonts w:ascii="仿宋" w:hAnsi="仿宋" w:eastAsia="仿宋" w:cs="仿宋_GB2312"/>
          <w:color w:val="000000"/>
          <w:kern w:val="0"/>
          <w:sz w:val="32"/>
          <w:szCs w:val="32"/>
        </w:rPr>
        <w:t>4.00%</w:t>
      </w:r>
      <w:r>
        <w:rPr>
          <w:rFonts w:hint="eastAsia" w:ascii="仿宋_GB2312" w:hAnsi="宋体" w:eastAsia="仿宋_GB2312" w:cs="仿宋_GB2312"/>
          <w:color w:val="000000"/>
          <w:kern w:val="0"/>
          <w:sz w:val="32"/>
          <w:szCs w:val="32"/>
        </w:rPr>
        <w:t>。</w:t>
      </w:r>
      <w:r>
        <w:rPr>
          <w:rFonts w:ascii="仿宋_GB2312" w:eastAsia="仿宋_GB2312"/>
          <w:sz w:val="32"/>
          <w:szCs w:val="32"/>
        </w:rPr>
        <w:t xml:space="preserve"> </w:t>
      </w:r>
    </w:p>
    <w:p>
      <w:pPr>
        <w:widowControl/>
        <w:spacing w:line="620" w:lineRule="atLeast"/>
        <w:ind w:firstLine="480" w:firstLineChars="15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专项预算管理</w:t>
      </w:r>
      <w:r>
        <w:rPr>
          <w:rFonts w:ascii="仿宋_GB2312" w:eastAsia="仿宋_GB2312"/>
          <w:sz w:val="32"/>
          <w:szCs w:val="32"/>
        </w:rPr>
        <w:t xml:space="preserve">                 </w:t>
      </w:r>
    </w:p>
    <w:p>
      <w:pPr>
        <w:adjustRightInd w:val="0"/>
        <w:snapToGrid w:val="0"/>
        <w:spacing w:line="62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政策背景</w:t>
      </w:r>
    </w:p>
    <w:p>
      <w:pPr>
        <w:adjustRightInd w:val="0"/>
        <w:snapToGrid w:val="0"/>
        <w:spacing w:line="620" w:lineRule="exact"/>
        <w:ind w:firstLine="640" w:firstLineChars="200"/>
        <w:rPr>
          <w:rFonts w:ascii="仿宋" w:hAnsi="仿宋" w:eastAsia="仿宋"/>
          <w:sz w:val="32"/>
          <w:szCs w:val="32"/>
        </w:rPr>
      </w:pPr>
      <w:r>
        <w:rPr>
          <w:rFonts w:hint="eastAsia" w:ascii="仿宋" w:hAnsi="仿宋" w:eastAsia="仿宋"/>
          <w:sz w:val="32"/>
          <w:szCs w:val="32"/>
        </w:rPr>
        <w:t>科技专项资金是由市级财政预算安排，用于支持我市科技创新能力建设、科技成果转移转化、知识产权战略实施、创新创业等的专项资金。专项资金根据攀枝花市中长期科技规划纲要、科技创新规划、年度科技及知识产权发展规划、</w:t>
      </w:r>
      <w:r>
        <w:rPr>
          <w:rFonts w:ascii="仿宋" w:hAnsi="仿宋" w:eastAsia="仿宋"/>
          <w:sz w:val="32"/>
          <w:szCs w:val="32"/>
        </w:rPr>
        <w:t xml:space="preserve"> </w:t>
      </w:r>
      <w:r>
        <w:rPr>
          <w:rFonts w:hint="eastAsia" w:ascii="仿宋" w:hAnsi="仿宋" w:eastAsia="仿宋"/>
          <w:sz w:val="32"/>
          <w:szCs w:val="32"/>
        </w:rPr>
        <w:t>战略行动计划重点工作部署和上年度绩效评价及监督检查结果安排。</w:t>
      </w:r>
    </w:p>
    <w:p>
      <w:pPr>
        <w:autoSpaceDE w:val="0"/>
        <w:autoSpaceDN w:val="0"/>
        <w:adjustRightInd w:val="0"/>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项目资金分配依据及分配方式</w:t>
      </w:r>
    </w:p>
    <w:p>
      <w:pPr>
        <w:autoSpaceDE w:val="0"/>
        <w:autoSpaceDN w:val="0"/>
        <w:adjustRightInd w:val="0"/>
        <w:spacing w:line="600" w:lineRule="exact"/>
        <w:ind w:firstLine="640"/>
        <w:rPr>
          <w:rFonts w:ascii="仿宋" w:hAnsi="仿宋" w:eastAsia="仿宋"/>
          <w:sz w:val="32"/>
          <w:szCs w:val="32"/>
        </w:rPr>
      </w:pPr>
      <w:r>
        <w:rPr>
          <w:rFonts w:hint="eastAsia" w:ascii="仿宋" w:hAnsi="仿宋" w:eastAsia="仿宋"/>
          <w:sz w:val="32"/>
          <w:szCs w:val="32"/>
        </w:rPr>
        <w:t>科技专项资金根据《攀枝花市“十三五”科技创新规划》，围绕省委、省政府及市委、市政府当年工作中心重点进行分配。</w:t>
      </w:r>
    </w:p>
    <w:p>
      <w:pPr>
        <w:autoSpaceDE w:val="0"/>
        <w:autoSpaceDN w:val="0"/>
        <w:adjustRightInd w:val="0"/>
        <w:spacing w:line="600" w:lineRule="exact"/>
        <w:ind w:firstLine="640"/>
        <w:rPr>
          <w:rFonts w:ascii="仿宋" w:hAnsi="仿宋" w:eastAsia="仿宋"/>
          <w:sz w:val="32"/>
          <w:szCs w:val="32"/>
        </w:rPr>
      </w:pPr>
      <w:r>
        <w:rPr>
          <w:rFonts w:hint="eastAsia" w:ascii="仿宋" w:hAnsi="仿宋" w:eastAsia="仿宋"/>
          <w:sz w:val="32"/>
          <w:szCs w:val="32"/>
        </w:rPr>
        <w:t>分配方式：攀枝花市科技计划项目管理系统申报</w:t>
      </w:r>
      <w:r>
        <w:rPr>
          <w:rFonts w:ascii="仿宋" w:hAnsi="仿宋" w:eastAsia="仿宋"/>
          <w:sz w:val="32"/>
          <w:szCs w:val="32"/>
        </w:rPr>
        <w:t>--</w:t>
      </w:r>
      <w:r>
        <w:rPr>
          <w:rFonts w:hint="eastAsia" w:ascii="仿宋" w:hAnsi="仿宋" w:eastAsia="仿宋"/>
          <w:sz w:val="32"/>
          <w:szCs w:val="32"/>
        </w:rPr>
        <w:t>专家网评</w:t>
      </w:r>
      <w:r>
        <w:rPr>
          <w:rFonts w:ascii="仿宋" w:hAnsi="仿宋" w:eastAsia="仿宋"/>
          <w:sz w:val="32"/>
          <w:szCs w:val="32"/>
        </w:rPr>
        <w:t>--</w:t>
      </w:r>
      <w:r>
        <w:rPr>
          <w:rFonts w:hint="eastAsia" w:ascii="仿宋" w:hAnsi="仿宋" w:eastAsia="仿宋"/>
          <w:sz w:val="32"/>
          <w:szCs w:val="32"/>
        </w:rPr>
        <w:t>根据专家网评结果筛选符合申报条件的项目</w:t>
      </w:r>
      <w:r>
        <w:rPr>
          <w:rFonts w:ascii="仿宋" w:hAnsi="仿宋" w:eastAsia="仿宋"/>
          <w:sz w:val="32"/>
          <w:szCs w:val="32"/>
        </w:rPr>
        <w:t>--</w:t>
      </w:r>
      <w:r>
        <w:rPr>
          <w:rFonts w:hint="eastAsia" w:ascii="仿宋" w:hAnsi="仿宋" w:eastAsia="仿宋"/>
          <w:sz w:val="32"/>
          <w:szCs w:val="32"/>
        </w:rPr>
        <w:t>市科技和知识产权局务会讨论</w:t>
      </w:r>
      <w:r>
        <w:rPr>
          <w:rFonts w:ascii="仿宋" w:hAnsi="仿宋" w:eastAsia="仿宋"/>
          <w:sz w:val="32"/>
          <w:szCs w:val="32"/>
        </w:rPr>
        <w:t>1</w:t>
      </w:r>
      <w:r>
        <w:rPr>
          <w:rFonts w:hint="eastAsia" w:ascii="仿宋" w:hAnsi="仿宋" w:eastAsia="仿宋"/>
          <w:sz w:val="32"/>
          <w:szCs w:val="32"/>
        </w:rPr>
        <w:t>次</w:t>
      </w:r>
      <w:r>
        <w:rPr>
          <w:rFonts w:ascii="仿宋" w:hAnsi="仿宋" w:eastAsia="仿宋"/>
          <w:sz w:val="32"/>
          <w:szCs w:val="32"/>
        </w:rPr>
        <w:t>--</w:t>
      </w:r>
      <w:r>
        <w:rPr>
          <w:rFonts w:hint="eastAsia" w:ascii="仿宋" w:hAnsi="仿宋" w:eastAsia="仿宋"/>
          <w:sz w:val="32"/>
          <w:szCs w:val="32"/>
        </w:rPr>
        <w:t>市科技和知识产权局务会讨论</w:t>
      </w:r>
      <w:r>
        <w:rPr>
          <w:rFonts w:ascii="仿宋" w:hAnsi="仿宋" w:eastAsia="仿宋"/>
          <w:sz w:val="32"/>
          <w:szCs w:val="32"/>
        </w:rPr>
        <w:t>2</w:t>
      </w:r>
      <w:r>
        <w:rPr>
          <w:rFonts w:hint="eastAsia" w:ascii="仿宋" w:hAnsi="仿宋" w:eastAsia="仿宋"/>
          <w:sz w:val="32"/>
          <w:szCs w:val="32"/>
        </w:rPr>
        <w:t>次</w:t>
      </w:r>
      <w:r>
        <w:rPr>
          <w:rFonts w:ascii="仿宋" w:hAnsi="仿宋" w:eastAsia="仿宋"/>
          <w:sz w:val="32"/>
          <w:szCs w:val="32"/>
        </w:rPr>
        <w:t>--</w:t>
      </w:r>
      <w:r>
        <w:rPr>
          <w:rFonts w:hint="eastAsia" w:ascii="仿宋" w:hAnsi="仿宋" w:eastAsia="仿宋"/>
          <w:sz w:val="32"/>
          <w:szCs w:val="32"/>
        </w:rPr>
        <w:t>报分管市领导审批</w:t>
      </w:r>
      <w:r>
        <w:rPr>
          <w:rFonts w:ascii="仿宋" w:hAnsi="仿宋" w:eastAsia="仿宋"/>
          <w:sz w:val="32"/>
          <w:szCs w:val="32"/>
        </w:rPr>
        <w:t>--</w:t>
      </w:r>
      <w:r>
        <w:rPr>
          <w:rFonts w:hint="eastAsia" w:ascii="仿宋" w:hAnsi="仿宋" w:eastAsia="仿宋"/>
          <w:sz w:val="32"/>
          <w:szCs w:val="32"/>
        </w:rPr>
        <w:t>攀枝花市日报公示</w:t>
      </w:r>
    </w:p>
    <w:p>
      <w:pPr>
        <w:tabs>
          <w:tab w:val="left" w:pos="1560"/>
        </w:tabs>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资金申报及批复情况</w:t>
      </w:r>
    </w:p>
    <w:p>
      <w:pPr>
        <w:adjustRightInd w:val="0"/>
        <w:snapToGrid w:val="0"/>
        <w:spacing w:line="620" w:lineRule="exact"/>
        <w:ind w:firstLine="640" w:firstLineChars="200"/>
        <w:rPr>
          <w:rFonts w:ascii="仿宋" w:hAnsi="仿宋" w:eastAsia="仿宋"/>
          <w:sz w:val="32"/>
          <w:szCs w:val="32"/>
        </w:rPr>
      </w:pPr>
      <w:r>
        <w:rPr>
          <w:rFonts w:hint="eastAsia" w:ascii="仿宋" w:hAnsi="仿宋" w:eastAsia="仿宋"/>
          <w:sz w:val="32"/>
          <w:szCs w:val="32"/>
        </w:rPr>
        <w:t>资金项目由市科技和知识产权局和市财政局根据全市</w:t>
      </w:r>
      <w:r>
        <w:rPr>
          <w:rFonts w:ascii="仿宋" w:hAnsi="仿宋" w:eastAsia="仿宋"/>
          <w:sz w:val="32"/>
          <w:szCs w:val="32"/>
        </w:rPr>
        <w:t>2018</w:t>
      </w:r>
      <w:r>
        <w:rPr>
          <w:rFonts w:hint="eastAsia" w:ascii="仿宋" w:hAnsi="仿宋" w:eastAsia="仿宋"/>
          <w:sz w:val="32"/>
          <w:szCs w:val="32"/>
        </w:rPr>
        <w:t>年工作重点提出安排方案，报市政府同意后批复用款单位。资金通过《关于下达</w:t>
      </w:r>
      <w:r>
        <w:rPr>
          <w:rFonts w:ascii="仿宋" w:hAnsi="仿宋" w:eastAsia="仿宋"/>
          <w:sz w:val="32"/>
          <w:szCs w:val="32"/>
        </w:rPr>
        <w:t>2018</w:t>
      </w:r>
      <w:r>
        <w:rPr>
          <w:rFonts w:hint="eastAsia" w:ascii="仿宋" w:hAnsi="仿宋" w:eastAsia="仿宋"/>
          <w:sz w:val="32"/>
          <w:szCs w:val="32"/>
        </w:rPr>
        <w:t>年市级财政科技专项资金项目第一批拨款计划的通知》（攀财资教【</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73</w:t>
      </w:r>
      <w:r>
        <w:rPr>
          <w:rFonts w:hint="eastAsia" w:ascii="仿宋" w:hAnsi="仿宋" w:eastAsia="仿宋"/>
          <w:sz w:val="32"/>
          <w:szCs w:val="32"/>
        </w:rPr>
        <w:t>号）、《关于下达</w:t>
      </w:r>
      <w:r>
        <w:rPr>
          <w:rFonts w:ascii="仿宋" w:hAnsi="仿宋" w:eastAsia="仿宋"/>
          <w:sz w:val="32"/>
          <w:szCs w:val="32"/>
        </w:rPr>
        <w:t>2018</w:t>
      </w:r>
      <w:r>
        <w:rPr>
          <w:rFonts w:hint="eastAsia" w:ascii="仿宋" w:hAnsi="仿宋" w:eastAsia="仿宋"/>
          <w:sz w:val="32"/>
          <w:szCs w:val="32"/>
        </w:rPr>
        <w:t>年市级财政科技专项资金项目第二批拨款计划的通知》（攀财资教〔</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84</w:t>
      </w:r>
      <w:r>
        <w:rPr>
          <w:rFonts w:hint="eastAsia" w:ascii="仿宋" w:hAnsi="仿宋" w:eastAsia="仿宋"/>
          <w:sz w:val="32"/>
          <w:szCs w:val="32"/>
        </w:rPr>
        <w:t>号）和《关于下达</w:t>
      </w:r>
      <w:r>
        <w:rPr>
          <w:rFonts w:ascii="仿宋" w:hAnsi="仿宋" w:eastAsia="仿宋"/>
          <w:sz w:val="32"/>
          <w:szCs w:val="32"/>
        </w:rPr>
        <w:t>2018</w:t>
      </w:r>
      <w:r>
        <w:rPr>
          <w:rFonts w:hint="eastAsia" w:ascii="仿宋" w:hAnsi="仿宋" w:eastAsia="仿宋"/>
          <w:sz w:val="32"/>
          <w:szCs w:val="32"/>
        </w:rPr>
        <w:t>年市级财政科技专项资金项目第三批拨款计划的通知》（攀财资教【</w:t>
      </w:r>
      <w:r>
        <w:rPr>
          <w:rFonts w:ascii="仿宋" w:hAnsi="仿宋" w:eastAsia="仿宋"/>
          <w:sz w:val="32"/>
          <w:szCs w:val="32"/>
        </w:rPr>
        <w:t>2018</w:t>
      </w:r>
      <w:r>
        <w:rPr>
          <w:rFonts w:hint="eastAsia" w:ascii="仿宋" w:hAnsi="仿宋" w:eastAsia="仿宋"/>
          <w:sz w:val="32"/>
          <w:szCs w:val="32"/>
        </w:rPr>
        <w:t>】号）下达。</w:t>
      </w:r>
    </w:p>
    <w:p>
      <w:pPr>
        <w:adjustRightInd w:val="0"/>
        <w:snapToGrid w:val="0"/>
        <w:spacing w:line="6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项目资金计划及使用情况</w:t>
      </w:r>
    </w:p>
    <w:p>
      <w:pPr>
        <w:adjustRightInd w:val="0"/>
        <w:snapToGrid w:val="0"/>
        <w:spacing w:line="620" w:lineRule="exact"/>
        <w:ind w:left="105" w:leftChars="50"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年度市级科技专项资金计划安排</w:t>
      </w:r>
      <w:r>
        <w:rPr>
          <w:rFonts w:ascii="仿宋" w:hAnsi="仿宋" w:eastAsia="仿宋"/>
          <w:sz w:val="32"/>
          <w:szCs w:val="32"/>
        </w:rPr>
        <w:t>1400</w:t>
      </w:r>
      <w:r>
        <w:rPr>
          <w:rFonts w:hint="eastAsia" w:ascii="仿宋" w:hAnsi="仿宋" w:eastAsia="仿宋"/>
          <w:sz w:val="32"/>
          <w:szCs w:val="32"/>
        </w:rPr>
        <w:t>万元，实际安排</w:t>
      </w:r>
      <w:r>
        <w:rPr>
          <w:rFonts w:ascii="仿宋" w:hAnsi="仿宋" w:eastAsia="仿宋"/>
          <w:sz w:val="32"/>
          <w:szCs w:val="32"/>
        </w:rPr>
        <w:t xml:space="preserve">  2300</w:t>
      </w:r>
      <w:r>
        <w:rPr>
          <w:rFonts w:hint="eastAsia" w:ascii="仿宋" w:hAnsi="仿宋" w:eastAsia="仿宋"/>
          <w:sz w:val="32"/>
          <w:szCs w:val="32"/>
        </w:rPr>
        <w:t>万元，结余</w:t>
      </w:r>
      <w:r>
        <w:rPr>
          <w:rFonts w:ascii="仿宋" w:hAnsi="仿宋" w:eastAsia="仿宋"/>
          <w:sz w:val="32"/>
          <w:szCs w:val="32"/>
        </w:rPr>
        <w:t>132</w:t>
      </w:r>
      <w:r>
        <w:rPr>
          <w:rFonts w:hint="eastAsia" w:ascii="仿宋" w:hAnsi="仿宋" w:eastAsia="仿宋"/>
          <w:sz w:val="32"/>
          <w:szCs w:val="32"/>
        </w:rPr>
        <w:t>万元。截至</w:t>
      </w:r>
      <w:r>
        <w:rPr>
          <w:rFonts w:ascii="仿宋" w:hAnsi="仿宋" w:eastAsia="仿宋"/>
          <w:sz w:val="32"/>
          <w:szCs w:val="32"/>
        </w:rPr>
        <w:t>2018</w:t>
      </w:r>
      <w:r>
        <w:rPr>
          <w:rFonts w:hint="eastAsia" w:ascii="仿宋" w:hAnsi="仿宋" w:eastAsia="仿宋"/>
          <w:sz w:val="32"/>
          <w:szCs w:val="32"/>
        </w:rPr>
        <w:t>年底，各单位实际支付</w:t>
      </w:r>
      <w:r>
        <w:rPr>
          <w:rFonts w:ascii="仿宋" w:hAnsi="仿宋" w:eastAsia="仿宋"/>
          <w:sz w:val="32"/>
          <w:szCs w:val="32"/>
        </w:rPr>
        <w:t xml:space="preserve">2168 </w:t>
      </w:r>
      <w:r>
        <w:rPr>
          <w:rFonts w:hint="eastAsia" w:ascii="仿宋" w:hAnsi="仿宋" w:eastAsia="仿宋"/>
          <w:sz w:val="32"/>
          <w:szCs w:val="32"/>
        </w:rPr>
        <w:t>万元，结转结余资金</w:t>
      </w:r>
      <w:r>
        <w:rPr>
          <w:rFonts w:ascii="仿宋" w:hAnsi="仿宋" w:eastAsia="仿宋"/>
          <w:sz w:val="32"/>
          <w:szCs w:val="32"/>
        </w:rPr>
        <w:t>132</w:t>
      </w:r>
      <w:r>
        <w:rPr>
          <w:rFonts w:hint="eastAsia" w:ascii="仿宋" w:hAnsi="仿宋" w:eastAsia="仿宋"/>
          <w:sz w:val="32"/>
          <w:szCs w:val="32"/>
        </w:rPr>
        <w:t>万元。</w:t>
      </w:r>
    </w:p>
    <w:p>
      <w:pPr>
        <w:adjustRightInd w:val="0"/>
        <w:snapToGrid w:val="0"/>
        <w:spacing w:line="620" w:lineRule="exact"/>
        <w:ind w:left="105" w:leftChars="50"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项目财务管理情况</w:t>
      </w:r>
    </w:p>
    <w:p>
      <w:pPr>
        <w:tabs>
          <w:tab w:val="left" w:pos="737"/>
        </w:tabs>
        <w:adjustRightInd w:val="0"/>
        <w:snapToGrid w:val="0"/>
        <w:spacing w:line="600" w:lineRule="exact"/>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市级科技专项资金按照国家、省、市科技经费管理办法进行管理，合理使用资金严格预算编制，资金专款专用、独立核算，严把项目结题验收关，聘请财务专家检查项目资金使用情况，确保项目经费使用符合规定。</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项目实施绩效情况</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全年我市实施专利转化项目</w:t>
      </w:r>
      <w:r>
        <w:rPr>
          <w:rFonts w:ascii="仿宋" w:hAnsi="仿宋" w:eastAsia="仿宋"/>
          <w:sz w:val="32"/>
          <w:szCs w:val="32"/>
        </w:rPr>
        <w:t>384</w:t>
      </w:r>
      <w:r>
        <w:rPr>
          <w:rFonts w:hint="eastAsia" w:ascii="仿宋" w:hAnsi="仿宋" w:eastAsia="仿宋"/>
          <w:sz w:val="32"/>
          <w:szCs w:val="32"/>
        </w:rPr>
        <w:t>项，实现产值</w:t>
      </w:r>
      <w:r>
        <w:rPr>
          <w:rFonts w:ascii="仿宋" w:hAnsi="仿宋" w:eastAsia="仿宋"/>
          <w:sz w:val="32"/>
          <w:szCs w:val="32"/>
        </w:rPr>
        <w:t>85.53</w:t>
      </w:r>
      <w:r>
        <w:rPr>
          <w:rFonts w:hint="eastAsia" w:ascii="仿宋" w:hAnsi="仿宋" w:eastAsia="仿宋"/>
          <w:sz w:val="32"/>
          <w:szCs w:val="32"/>
        </w:rPr>
        <w:t>亿元，利税</w:t>
      </w:r>
      <w:r>
        <w:rPr>
          <w:rFonts w:ascii="仿宋" w:hAnsi="仿宋" w:eastAsia="仿宋"/>
          <w:sz w:val="32"/>
          <w:szCs w:val="32"/>
        </w:rPr>
        <w:t>7.64</w:t>
      </w:r>
      <w:r>
        <w:rPr>
          <w:rFonts w:hint="eastAsia" w:ascii="仿宋" w:hAnsi="仿宋" w:eastAsia="仿宋"/>
          <w:sz w:val="32"/>
          <w:szCs w:val="32"/>
        </w:rPr>
        <w:t>亿元。节约投资</w:t>
      </w:r>
      <w:r>
        <w:rPr>
          <w:rFonts w:ascii="仿宋" w:hAnsi="仿宋" w:eastAsia="仿宋"/>
          <w:sz w:val="32"/>
          <w:szCs w:val="32"/>
        </w:rPr>
        <w:t>1.95</w:t>
      </w:r>
      <w:r>
        <w:rPr>
          <w:rFonts w:hint="eastAsia" w:ascii="仿宋" w:hAnsi="仿宋" w:eastAsia="仿宋"/>
          <w:sz w:val="32"/>
          <w:szCs w:val="32"/>
        </w:rPr>
        <w:t>亿元，创汇</w:t>
      </w:r>
      <w:r>
        <w:rPr>
          <w:rFonts w:ascii="仿宋" w:hAnsi="仿宋" w:eastAsia="仿宋"/>
          <w:sz w:val="32"/>
          <w:szCs w:val="32"/>
        </w:rPr>
        <w:t>9500</w:t>
      </w:r>
      <w:r>
        <w:rPr>
          <w:rFonts w:hint="eastAsia" w:ascii="仿宋" w:hAnsi="仿宋" w:eastAsia="仿宋"/>
          <w:sz w:val="32"/>
          <w:szCs w:val="32"/>
        </w:rPr>
        <w:t>万美元。</w:t>
      </w:r>
      <w:r>
        <w:rPr>
          <w:rFonts w:ascii="仿宋" w:hAnsi="仿宋" w:eastAsia="仿宋"/>
          <w:sz w:val="32"/>
          <w:szCs w:val="32"/>
        </w:rPr>
        <w:t>103</w:t>
      </w:r>
      <w:r>
        <w:rPr>
          <w:rFonts w:hint="eastAsia" w:ascii="仿宋" w:hAnsi="仿宋" w:eastAsia="仿宋"/>
          <w:sz w:val="32"/>
          <w:szCs w:val="32"/>
        </w:rPr>
        <w:t>家企业进入科技型企业清单，新增高新技术企业</w:t>
      </w:r>
      <w:r>
        <w:rPr>
          <w:rFonts w:ascii="仿宋" w:hAnsi="仿宋" w:eastAsia="仿宋"/>
          <w:sz w:val="32"/>
          <w:szCs w:val="32"/>
        </w:rPr>
        <w:t>5</w:t>
      </w:r>
      <w:r>
        <w:rPr>
          <w:rFonts w:hint="eastAsia" w:ascii="仿宋" w:hAnsi="仿宋" w:eastAsia="仿宋"/>
          <w:sz w:val="32"/>
          <w:szCs w:val="32"/>
        </w:rPr>
        <w:t>家，完成高新技术企业主营业务收入</w:t>
      </w:r>
      <w:r>
        <w:rPr>
          <w:rFonts w:ascii="仿宋" w:hAnsi="仿宋" w:eastAsia="仿宋"/>
          <w:sz w:val="32"/>
          <w:szCs w:val="32"/>
        </w:rPr>
        <w:t>535</w:t>
      </w:r>
      <w:r>
        <w:rPr>
          <w:rFonts w:hint="eastAsia" w:ascii="仿宋" w:hAnsi="仿宋" w:eastAsia="仿宋"/>
          <w:sz w:val="32"/>
          <w:szCs w:val="32"/>
        </w:rPr>
        <w:t>亿元。</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）重大科技创新和成果转化实现新提升。工业转型升级发展基础进一步夯实。启动编制《工业强市战略科技支撑行动方案》，明确科技支撑工业发展行动指南。“高钛型高炉渣提钛及综合利用技术”等</w:t>
      </w:r>
      <w:r>
        <w:rPr>
          <w:rFonts w:ascii="仿宋" w:hAnsi="仿宋" w:eastAsia="仿宋"/>
          <w:sz w:val="32"/>
          <w:szCs w:val="32"/>
        </w:rPr>
        <w:t>5 </w:t>
      </w:r>
      <w:r>
        <w:rPr>
          <w:rFonts w:hint="eastAsia" w:ascii="仿宋" w:hAnsi="仿宋" w:eastAsia="仿宋"/>
          <w:sz w:val="32"/>
          <w:szCs w:val="32"/>
        </w:rPr>
        <w:t>个项目通过省科技厅现场结题验收，第三批</w:t>
      </w:r>
      <w:r>
        <w:rPr>
          <w:rFonts w:ascii="仿宋" w:hAnsi="仿宋" w:eastAsia="仿宋"/>
          <w:sz w:val="32"/>
          <w:szCs w:val="32"/>
        </w:rPr>
        <w:t>6</w:t>
      </w:r>
      <w:r>
        <w:rPr>
          <w:rFonts w:hint="eastAsia" w:ascii="仿宋" w:hAnsi="仿宋" w:eastAsia="仿宋"/>
          <w:sz w:val="32"/>
          <w:szCs w:val="32"/>
        </w:rPr>
        <w:t>个项目通过中期评估；今年</w:t>
      </w:r>
      <w:r>
        <w:rPr>
          <w:rFonts w:ascii="仿宋" w:hAnsi="仿宋" w:eastAsia="仿宋"/>
          <w:sz w:val="32"/>
          <w:szCs w:val="32"/>
        </w:rPr>
        <w:t>5</w:t>
      </w:r>
      <w:r>
        <w:rPr>
          <w:rFonts w:hint="eastAsia" w:ascii="仿宋" w:hAnsi="仿宋" w:eastAsia="仿宋"/>
          <w:sz w:val="32"/>
          <w:szCs w:val="32"/>
        </w:rPr>
        <w:t>个项目成功入选，占攀西试验区重大科技攻关项目的</w:t>
      </w:r>
      <w:r>
        <w:rPr>
          <w:rFonts w:ascii="仿宋" w:hAnsi="仿宋" w:eastAsia="仿宋"/>
          <w:sz w:val="32"/>
          <w:szCs w:val="32"/>
        </w:rPr>
        <w:t>50%</w:t>
      </w:r>
      <w:r>
        <w:rPr>
          <w:rFonts w:hint="eastAsia" w:ascii="仿宋" w:hAnsi="仿宋" w:eastAsia="仿宋"/>
          <w:sz w:val="32"/>
          <w:szCs w:val="32"/>
        </w:rPr>
        <w:t>，带动项目总投资</w:t>
      </w:r>
      <w:r>
        <w:rPr>
          <w:rFonts w:ascii="仿宋" w:hAnsi="仿宋" w:eastAsia="仿宋"/>
          <w:sz w:val="32"/>
          <w:szCs w:val="32"/>
        </w:rPr>
        <w:t>3.9</w:t>
      </w:r>
      <w:r>
        <w:rPr>
          <w:rFonts w:hint="eastAsia" w:ascii="仿宋" w:hAnsi="仿宋" w:eastAsia="仿宋"/>
          <w:sz w:val="32"/>
          <w:szCs w:val="32"/>
        </w:rPr>
        <w:t>亿元。战斗机用空中加油钛合金内接管、导弹尾翼用钛合金支架等数十种航空航天领域用精密铸件产品已为军工供货；开发出了钛白工业用卸饼机器人、高性能钛合金焊管、真空连续镀钛膜、钛合金康复医疗器械等</w:t>
      </w:r>
      <w:r>
        <w:rPr>
          <w:rFonts w:ascii="仿宋" w:hAnsi="仿宋" w:eastAsia="仿宋"/>
          <w:sz w:val="32"/>
          <w:szCs w:val="32"/>
        </w:rPr>
        <w:t>10</w:t>
      </w:r>
      <w:r>
        <w:rPr>
          <w:rFonts w:hint="eastAsia" w:ascii="仿宋" w:hAnsi="仿宋" w:eastAsia="仿宋"/>
          <w:sz w:val="32"/>
          <w:szCs w:val="32"/>
        </w:rPr>
        <w:t>余项新产品。</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烟气脱硫产学研协同攻关取得新突破。攀枝花市蓝鼎环保科技有限公司按照“</w:t>
      </w:r>
      <w:r>
        <w:rPr>
          <w:rFonts w:ascii="仿宋" w:hAnsi="仿宋" w:eastAsia="仿宋"/>
          <w:sz w:val="32"/>
          <w:szCs w:val="32"/>
        </w:rPr>
        <w:t>BOO</w:t>
      </w:r>
      <w:r>
        <w:rPr>
          <w:rFonts w:hint="eastAsia" w:ascii="仿宋" w:hAnsi="仿宋" w:eastAsia="仿宋"/>
          <w:sz w:val="32"/>
          <w:szCs w:val="32"/>
        </w:rPr>
        <w:t>模式”与四川省环境保护科学研究院、中科院成都分院、四川理工大学进行了联合攻关，将“石灰石</w:t>
      </w:r>
      <w:r>
        <w:rPr>
          <w:rFonts w:ascii="仿宋" w:hAnsi="仿宋" w:eastAsia="仿宋"/>
          <w:sz w:val="32"/>
          <w:szCs w:val="32"/>
        </w:rPr>
        <w:t>—</w:t>
      </w:r>
      <w:r>
        <w:rPr>
          <w:rFonts w:hint="eastAsia" w:ascii="仿宋" w:hAnsi="仿宋" w:eastAsia="仿宋"/>
          <w:sz w:val="32"/>
          <w:szCs w:val="32"/>
        </w:rPr>
        <w:t>石膏法”新工艺成功应用于攀西地区钒钛磁铁矿铁精矿烧结过程中的高硫烟气脱硫，成功解决了攀西钒钛磁铁矿铁精矿烧结高硫烟气难题，成果已在攀钢集团攀枝花钢钒公司烧结机烟气脱硫中成功应用。</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重点科技成果转化项目加快落地。</w:t>
      </w:r>
      <w:r>
        <w:rPr>
          <w:rFonts w:ascii="仿宋" w:hAnsi="仿宋" w:eastAsia="仿宋"/>
          <w:sz w:val="32"/>
          <w:szCs w:val="32"/>
        </w:rPr>
        <w:t>10</w:t>
      </w:r>
      <w:r>
        <w:rPr>
          <w:rFonts w:hint="eastAsia" w:ascii="仿宋" w:hAnsi="仿宋" w:eastAsia="仿宋"/>
          <w:sz w:val="32"/>
          <w:szCs w:val="32"/>
        </w:rPr>
        <w:t>万吨高温碳化、</w:t>
      </w:r>
      <w:r>
        <w:rPr>
          <w:rFonts w:ascii="仿宋" w:hAnsi="仿宋" w:eastAsia="仿宋"/>
          <w:sz w:val="32"/>
          <w:szCs w:val="32"/>
        </w:rPr>
        <w:t>4</w:t>
      </w:r>
      <w:r>
        <w:rPr>
          <w:rFonts w:hint="eastAsia" w:ascii="仿宋" w:hAnsi="仿宋" w:eastAsia="仿宋"/>
          <w:sz w:val="32"/>
          <w:szCs w:val="32"/>
        </w:rPr>
        <w:t>万吨低温氯化产业化示范线建成试运行；</w:t>
      </w:r>
      <w:r>
        <w:rPr>
          <w:rFonts w:ascii="仿宋" w:hAnsi="仿宋" w:eastAsia="仿宋"/>
          <w:sz w:val="32"/>
          <w:szCs w:val="32"/>
        </w:rPr>
        <w:t>3</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年盐酸法超细二氧化钛产业化、</w:t>
      </w:r>
      <w:r>
        <w:rPr>
          <w:rFonts w:ascii="仿宋" w:hAnsi="仿宋" w:eastAsia="仿宋"/>
          <w:sz w:val="32"/>
          <w:szCs w:val="32"/>
        </w:rPr>
        <w:t>10</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年高端钒钛工磨具钢产业化等项目稳步推进；攀钢</w:t>
      </w:r>
      <w:r>
        <w:rPr>
          <w:rFonts w:ascii="仿宋" w:hAnsi="仿宋" w:eastAsia="仿宋"/>
          <w:sz w:val="32"/>
          <w:szCs w:val="32"/>
        </w:rPr>
        <w:t>600</w:t>
      </w:r>
      <w:r>
        <w:rPr>
          <w:rFonts w:hint="eastAsia" w:ascii="仿宋" w:hAnsi="仿宋" w:eastAsia="仿宋"/>
          <w:sz w:val="32"/>
          <w:szCs w:val="32"/>
        </w:rPr>
        <w:t>吨</w:t>
      </w:r>
      <w:r>
        <w:rPr>
          <w:rFonts w:ascii="仿宋" w:hAnsi="仿宋" w:eastAsia="仿宋"/>
          <w:sz w:val="32"/>
          <w:szCs w:val="32"/>
        </w:rPr>
        <w:t>/</w:t>
      </w:r>
      <w:r>
        <w:rPr>
          <w:rFonts w:hint="eastAsia" w:ascii="仿宋" w:hAnsi="仿宋" w:eastAsia="仿宋"/>
          <w:sz w:val="32"/>
          <w:szCs w:val="32"/>
        </w:rPr>
        <w:t>年宇航级钒铝合金生产线、恒晖科技氢化钛粉生产线建成投产；天民钛业公司、伦奇机器人公司、红宇新材料等企业在低成本高性能钛及钛合金粉末冶金产业化以及推进新材料铸件及智能制造方面取得进展。</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创新引领特色农业发展取得新成效。编制完成《</w:t>
      </w:r>
      <w:r>
        <w:rPr>
          <w:rFonts w:hint="eastAsia" w:ascii="MS Gothic" w:hAnsi="MS Gothic" w:eastAsia="MS Gothic" w:cs="MS Gothic"/>
          <w:sz w:val="32"/>
          <w:szCs w:val="32"/>
        </w:rPr>
        <w:t> </w:t>
      </w:r>
      <w:r>
        <w:rPr>
          <w:rFonts w:hint="eastAsia" w:ascii="仿宋" w:hAnsi="仿宋" w:eastAsia="仿宋"/>
          <w:sz w:val="32"/>
          <w:szCs w:val="32"/>
        </w:rPr>
        <w:t>攀枝花乡村产业振兴科技支撑行动方案》，强化农业科技创新顶层设计；引选油梨、金菠萝等新品种</w:t>
      </w:r>
      <w:r>
        <w:rPr>
          <w:rFonts w:ascii="仿宋" w:hAnsi="仿宋" w:eastAsia="仿宋"/>
          <w:sz w:val="32"/>
          <w:szCs w:val="32"/>
        </w:rPr>
        <w:t>40</w:t>
      </w:r>
      <w:r>
        <w:rPr>
          <w:rFonts w:hint="eastAsia" w:ascii="仿宋" w:hAnsi="仿宋" w:eastAsia="仿宋"/>
          <w:sz w:val="32"/>
          <w:szCs w:val="32"/>
        </w:rPr>
        <w:t>余个，“锐华</w:t>
      </w:r>
      <w:r>
        <w:rPr>
          <w:rFonts w:ascii="仿宋" w:hAnsi="仿宋" w:eastAsia="仿宋"/>
          <w:sz w:val="32"/>
          <w:szCs w:val="32"/>
        </w:rPr>
        <w:t>2</w:t>
      </w:r>
      <w:r>
        <w:rPr>
          <w:rFonts w:hint="eastAsia" w:ascii="仿宋" w:hAnsi="仿宋" w:eastAsia="仿宋"/>
          <w:sz w:val="32"/>
          <w:szCs w:val="32"/>
        </w:rPr>
        <w:t>号”等</w:t>
      </w:r>
      <w:r>
        <w:rPr>
          <w:rFonts w:ascii="仿宋" w:hAnsi="仿宋" w:eastAsia="仿宋"/>
          <w:sz w:val="32"/>
          <w:szCs w:val="32"/>
        </w:rPr>
        <w:t>10</w:t>
      </w:r>
      <w:r>
        <w:rPr>
          <w:rFonts w:hint="eastAsia" w:ascii="仿宋" w:hAnsi="仿宋" w:eastAsia="仿宋"/>
          <w:sz w:val="32"/>
          <w:szCs w:val="32"/>
        </w:rPr>
        <w:t>余个芒果品种获农业部新品种权，凯特芒果通过国家品种审核认定，优质果蔬良种选育有效提升攀枝花农产品市场竞争力；</w:t>
      </w:r>
      <w:r>
        <w:rPr>
          <w:rFonts w:ascii="仿宋" w:hAnsi="仿宋" w:eastAsia="仿宋"/>
          <w:sz w:val="32"/>
          <w:szCs w:val="32"/>
        </w:rPr>
        <w:t>40</w:t>
      </w:r>
      <w:r>
        <w:rPr>
          <w:rFonts w:hint="eastAsia" w:ascii="仿宋" w:hAnsi="仿宋" w:eastAsia="仿宋"/>
          <w:sz w:val="32"/>
          <w:szCs w:val="32"/>
        </w:rPr>
        <w:t>亩芒果科技示范园集成示范现代农业技术；新建芒果深加工生产线</w:t>
      </w:r>
      <w:r>
        <w:rPr>
          <w:rFonts w:ascii="仿宋" w:hAnsi="仿宋" w:eastAsia="仿宋"/>
          <w:sz w:val="32"/>
          <w:szCs w:val="32"/>
        </w:rPr>
        <w:t>3</w:t>
      </w:r>
      <w:r>
        <w:rPr>
          <w:rFonts w:hint="eastAsia" w:ascii="仿宋" w:hAnsi="仿宋" w:eastAsia="仿宋"/>
          <w:sz w:val="32"/>
          <w:szCs w:val="32"/>
        </w:rPr>
        <w:t>条，农产品加工链条进一步延伸；国内首个芒果特色康养庄园正式开建。</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科技与经济，科技与金融结合迈出新步伐。</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科技成果转化政策激励引导力度加大。明确对重大创新产品择优给予最高</w:t>
      </w:r>
      <w:r>
        <w:rPr>
          <w:rFonts w:ascii="仿宋" w:hAnsi="仿宋" w:eastAsia="仿宋"/>
          <w:sz w:val="32"/>
          <w:szCs w:val="32"/>
        </w:rPr>
        <w:t xml:space="preserve">500 </w:t>
      </w:r>
      <w:r>
        <w:rPr>
          <w:rFonts w:hint="eastAsia" w:ascii="仿宋" w:hAnsi="仿宋" w:eastAsia="仿宋"/>
          <w:sz w:val="32"/>
          <w:szCs w:val="32"/>
        </w:rPr>
        <w:t>万元资助；对开展技术交易活动的输出方、吸纳方和中介方按</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和</w:t>
      </w:r>
      <w:r>
        <w:rPr>
          <w:rFonts w:ascii="仿宋" w:hAnsi="仿宋" w:eastAsia="仿宋"/>
          <w:sz w:val="32"/>
          <w:szCs w:val="32"/>
        </w:rPr>
        <w:t>1%</w:t>
      </w:r>
      <w:r>
        <w:rPr>
          <w:rFonts w:hint="eastAsia" w:ascii="仿宋" w:hAnsi="仿宋" w:eastAsia="仿宋"/>
          <w:sz w:val="32"/>
          <w:szCs w:val="32"/>
        </w:rPr>
        <w:t>给予奖补；企业创新主体培育力度加大。初步建立孵化培育型、科技成长型、创新引领型三张企业清单，</w:t>
      </w:r>
      <w:r>
        <w:rPr>
          <w:rFonts w:ascii="仿宋" w:hAnsi="仿宋" w:eastAsia="仿宋"/>
          <w:sz w:val="32"/>
          <w:szCs w:val="32"/>
        </w:rPr>
        <w:t>103</w:t>
      </w:r>
      <w:r>
        <w:rPr>
          <w:rFonts w:hint="eastAsia" w:ascii="仿宋" w:hAnsi="仿宋" w:eastAsia="仿宋"/>
          <w:sz w:val="32"/>
          <w:szCs w:val="32"/>
        </w:rPr>
        <w:t>家企业进入科技型企业清单。新增高新技术企业</w:t>
      </w:r>
      <w:r>
        <w:rPr>
          <w:rFonts w:ascii="仿宋" w:hAnsi="仿宋" w:eastAsia="仿宋"/>
          <w:sz w:val="32"/>
          <w:szCs w:val="32"/>
        </w:rPr>
        <w:t>5</w:t>
      </w:r>
      <w:r>
        <w:rPr>
          <w:rFonts w:hint="eastAsia" w:ascii="仿宋" w:hAnsi="仿宋" w:eastAsia="仿宋"/>
          <w:sz w:val="32"/>
          <w:szCs w:val="32"/>
        </w:rPr>
        <w:t>家，为分类指导企业发展，创建创新型城市奠定了基础。技术转移公共服务平台建设加快。四川大学国家技术转移中心攀枝花分中心挂牌运行。四是职务科技成果权属混合所有制改革进一步深化。公益类科研院所市农林科学院扩大科技人员创新创业专项改革试点，先后实施成果转化项目</w:t>
      </w:r>
      <w:r>
        <w:rPr>
          <w:rFonts w:ascii="仿宋" w:hAnsi="仿宋" w:eastAsia="仿宋"/>
          <w:sz w:val="32"/>
          <w:szCs w:val="32"/>
        </w:rPr>
        <w:t xml:space="preserve"> 50 </w:t>
      </w:r>
      <w:r>
        <w:rPr>
          <w:rFonts w:hint="eastAsia" w:ascii="仿宋" w:hAnsi="仿宋" w:eastAsia="仿宋"/>
          <w:sz w:val="32"/>
          <w:szCs w:val="32"/>
        </w:rPr>
        <w:t>余个；转制类科研院所（攀钢集团攀枝花钢铁研究院有限公司）探索按科技成果处置收益增量利润的一定比例进行分红。科技与金融进一步融合。西区天脉科技获得科技支行专利质押融资贷款</w:t>
      </w:r>
      <w:r>
        <w:rPr>
          <w:rFonts w:ascii="仿宋" w:hAnsi="仿宋" w:eastAsia="仿宋"/>
          <w:sz w:val="32"/>
          <w:szCs w:val="32"/>
        </w:rPr>
        <w:t>800</w:t>
      </w:r>
      <w:r>
        <w:rPr>
          <w:rFonts w:hint="eastAsia" w:ascii="仿宋" w:hAnsi="仿宋" w:eastAsia="仿宋"/>
          <w:sz w:val="32"/>
          <w:szCs w:val="32"/>
        </w:rPr>
        <w:t>万元，邮储银行为秉扬科技公司、鸿海科技公司增信</w:t>
      </w:r>
      <w:r>
        <w:rPr>
          <w:rFonts w:ascii="仿宋" w:hAnsi="仿宋" w:eastAsia="仿宋"/>
          <w:sz w:val="32"/>
          <w:szCs w:val="32"/>
        </w:rPr>
        <w:t>1400</w:t>
      </w:r>
      <w:r>
        <w:rPr>
          <w:rFonts w:hint="eastAsia" w:ascii="仿宋" w:hAnsi="仿宋" w:eastAsia="仿宋"/>
          <w:sz w:val="32"/>
          <w:szCs w:val="32"/>
        </w:rPr>
        <w:t>万元。预计全年实现专利质押融资贷款</w:t>
      </w:r>
      <w:r>
        <w:rPr>
          <w:rFonts w:ascii="仿宋" w:hAnsi="仿宋" w:eastAsia="仿宋"/>
          <w:sz w:val="32"/>
          <w:szCs w:val="32"/>
        </w:rPr>
        <w:t>1500</w:t>
      </w:r>
      <w:r>
        <w:rPr>
          <w:rFonts w:hint="eastAsia" w:ascii="仿宋" w:hAnsi="仿宋" w:eastAsia="仿宋"/>
          <w:sz w:val="32"/>
          <w:szCs w:val="32"/>
        </w:rPr>
        <w:t>万元。</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科研平台建设取得新进展。</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钒钛新材料产业创新中心建设取得进展，完成组建方案编制，正式上报国家和省发改委；攀钢钒钛资源综合利用国家重点实验室获得国家、省科技计划项目立项支持</w:t>
      </w:r>
      <w:r>
        <w:rPr>
          <w:rFonts w:ascii="仿宋" w:hAnsi="仿宋" w:eastAsia="仿宋"/>
          <w:sz w:val="32"/>
          <w:szCs w:val="32"/>
        </w:rPr>
        <w:t>400</w:t>
      </w:r>
      <w:r>
        <w:rPr>
          <w:rFonts w:hint="eastAsia" w:ascii="仿宋" w:hAnsi="仿宋" w:eastAsia="仿宋"/>
          <w:sz w:val="32"/>
          <w:szCs w:val="32"/>
        </w:rPr>
        <w:t>万元；攀枝花学院挂牌成立攀枝花国际钒钛研究院，</w:t>
      </w:r>
      <w:r>
        <w:rPr>
          <w:rFonts w:ascii="仿宋" w:hAnsi="仿宋" w:eastAsia="仿宋"/>
          <w:sz w:val="32"/>
          <w:szCs w:val="32"/>
        </w:rPr>
        <w:t>2018</w:t>
      </w:r>
      <w:r>
        <w:rPr>
          <w:rFonts w:hint="eastAsia" w:ascii="仿宋" w:hAnsi="仿宋" w:eastAsia="仿宋"/>
          <w:sz w:val="32"/>
          <w:szCs w:val="32"/>
        </w:rPr>
        <w:t>年国际钒钛研究院引进博士</w:t>
      </w:r>
      <w:r>
        <w:rPr>
          <w:rFonts w:ascii="仿宋" w:hAnsi="仿宋" w:eastAsia="仿宋"/>
          <w:sz w:val="32"/>
          <w:szCs w:val="32"/>
        </w:rPr>
        <w:t>24</w:t>
      </w:r>
      <w:r>
        <w:rPr>
          <w:rFonts w:hint="eastAsia" w:ascii="仿宋" w:hAnsi="仿宋" w:eastAsia="仿宋"/>
          <w:sz w:val="32"/>
          <w:szCs w:val="32"/>
        </w:rPr>
        <w:t>名，正在充分利用攀枝花市“人才新政七条”大力组建钒钛合金、绿色冶金等</w:t>
      </w:r>
      <w:r>
        <w:rPr>
          <w:rFonts w:ascii="仿宋" w:hAnsi="仿宋" w:eastAsia="仿宋"/>
          <w:sz w:val="32"/>
          <w:szCs w:val="32"/>
        </w:rPr>
        <w:t>7</w:t>
      </w:r>
      <w:r>
        <w:rPr>
          <w:rFonts w:hint="eastAsia" w:ascii="仿宋" w:hAnsi="仿宋" w:eastAsia="仿宋"/>
          <w:sz w:val="32"/>
          <w:szCs w:val="32"/>
        </w:rPr>
        <w:t>个领域钒钛创新团队，柔性引进市外知名专家</w:t>
      </w:r>
      <w:r>
        <w:rPr>
          <w:rFonts w:ascii="仿宋" w:hAnsi="仿宋" w:eastAsia="仿宋"/>
          <w:sz w:val="32"/>
          <w:szCs w:val="32"/>
        </w:rPr>
        <w:t>4</w:t>
      </w:r>
      <w:r>
        <w:rPr>
          <w:rFonts w:hint="eastAsia" w:ascii="仿宋" w:hAnsi="仿宋" w:eastAsia="仿宋"/>
          <w:sz w:val="32"/>
          <w:szCs w:val="32"/>
        </w:rPr>
        <w:t>名，攀枝花学院国家钒钛检测重点实验室获得</w:t>
      </w:r>
      <w:r>
        <w:rPr>
          <w:rFonts w:ascii="仿宋" w:hAnsi="仿宋" w:eastAsia="仿宋"/>
          <w:sz w:val="32"/>
          <w:szCs w:val="32"/>
        </w:rPr>
        <w:t>200</w:t>
      </w:r>
      <w:r>
        <w:rPr>
          <w:rFonts w:hint="eastAsia" w:ascii="仿宋" w:hAnsi="仿宋" w:eastAsia="仿宋"/>
          <w:sz w:val="32"/>
          <w:szCs w:val="32"/>
        </w:rPr>
        <w:t>万元支持；首次获得中央引导资金</w:t>
      </w:r>
      <w:r>
        <w:rPr>
          <w:rFonts w:ascii="仿宋" w:hAnsi="仿宋" w:eastAsia="仿宋"/>
          <w:sz w:val="32"/>
          <w:szCs w:val="32"/>
        </w:rPr>
        <w:t>200</w:t>
      </w:r>
      <w:r>
        <w:rPr>
          <w:rFonts w:hint="eastAsia" w:ascii="仿宋" w:hAnsi="仿宋" w:eastAsia="仿宋"/>
          <w:sz w:val="32"/>
          <w:szCs w:val="32"/>
        </w:rPr>
        <w:t>万元支持地方农业科研机构基础条件能力建设；推进中国热科院攀枝花试验基地建设；建成芒果创新工程中心和农业部芒果种质资源保护四川创新基地；组建阳光康养产业技术研究院；与江西中医药大学合作搭建中医药资源与民族药研究中心攀西分中心市校科技合作平台，推动中医药大健康产业发展。</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创新创业氛围更加浓厚。</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专业型双创载体培育取得进展。全市新增载体</w:t>
      </w:r>
      <w:r>
        <w:rPr>
          <w:rFonts w:ascii="仿宋" w:hAnsi="仿宋" w:eastAsia="仿宋"/>
          <w:sz w:val="32"/>
          <w:szCs w:val="32"/>
        </w:rPr>
        <w:t>9</w:t>
      </w:r>
      <w:r>
        <w:rPr>
          <w:rFonts w:hint="eastAsia" w:ascii="仿宋" w:hAnsi="仿宋" w:eastAsia="仿宋"/>
          <w:sz w:val="32"/>
          <w:szCs w:val="32"/>
        </w:rPr>
        <w:t>个，双创载体达</w:t>
      </w:r>
      <w:r>
        <w:rPr>
          <w:rFonts w:ascii="仿宋" w:hAnsi="仿宋" w:eastAsia="仿宋"/>
          <w:sz w:val="32"/>
          <w:szCs w:val="32"/>
        </w:rPr>
        <w:t>34</w:t>
      </w:r>
      <w:r>
        <w:rPr>
          <w:rFonts w:hint="eastAsia" w:ascii="仿宋" w:hAnsi="仿宋" w:eastAsia="仿宋"/>
          <w:sz w:val="32"/>
          <w:szCs w:val="32"/>
        </w:rPr>
        <w:t>个，清华启迪之星在孵企业</w:t>
      </w:r>
      <w:r>
        <w:rPr>
          <w:rFonts w:ascii="仿宋" w:hAnsi="仿宋" w:eastAsia="仿宋"/>
          <w:sz w:val="32"/>
          <w:szCs w:val="32"/>
        </w:rPr>
        <w:t>22</w:t>
      </w:r>
      <w:r>
        <w:rPr>
          <w:rFonts w:hint="eastAsia" w:ascii="仿宋" w:hAnsi="仿宋" w:eastAsia="仿宋"/>
          <w:sz w:val="32"/>
          <w:szCs w:val="32"/>
        </w:rPr>
        <w:t>家，毕业企业</w:t>
      </w:r>
      <w:r>
        <w:rPr>
          <w:rFonts w:ascii="仿宋" w:hAnsi="仿宋" w:eastAsia="仿宋"/>
          <w:sz w:val="32"/>
          <w:szCs w:val="32"/>
        </w:rPr>
        <w:t>5</w:t>
      </w:r>
      <w:r>
        <w:rPr>
          <w:rFonts w:hint="eastAsia" w:ascii="仿宋" w:hAnsi="仿宋" w:eastAsia="仿宋"/>
          <w:sz w:val="32"/>
          <w:szCs w:val="32"/>
        </w:rPr>
        <w:t>家，省委彭清华书记来攀视察给予了高度肯定，成为四川双创的一张亮丽明片。组织</w:t>
      </w:r>
      <w:r>
        <w:rPr>
          <w:rFonts w:ascii="仿宋" w:hAnsi="仿宋" w:eastAsia="仿宋"/>
          <w:sz w:val="32"/>
          <w:szCs w:val="32"/>
        </w:rPr>
        <w:t>65</w:t>
      </w:r>
      <w:r>
        <w:rPr>
          <w:rFonts w:hint="eastAsia" w:ascii="仿宋" w:hAnsi="仿宋" w:eastAsia="仿宋"/>
          <w:sz w:val="32"/>
          <w:szCs w:val="32"/>
        </w:rPr>
        <w:t>家团队参加全国创新创业大赛，</w:t>
      </w:r>
      <w:r>
        <w:rPr>
          <w:rFonts w:ascii="仿宋" w:hAnsi="仿宋" w:eastAsia="仿宋"/>
          <w:sz w:val="32"/>
          <w:szCs w:val="32"/>
        </w:rPr>
        <w:t>18</w:t>
      </w:r>
      <w:r>
        <w:rPr>
          <w:rFonts w:hint="eastAsia" w:ascii="仿宋" w:hAnsi="仿宋" w:eastAsia="仿宋"/>
          <w:sz w:val="32"/>
          <w:szCs w:val="32"/>
        </w:rPr>
        <w:t>个团队进入四川省决赛，参赛团队与入围团队均创新高；全国同步举办“双创活动周”，共举办活动</w:t>
      </w:r>
      <w:r>
        <w:rPr>
          <w:rFonts w:ascii="仿宋" w:hAnsi="仿宋" w:eastAsia="仿宋"/>
          <w:sz w:val="32"/>
          <w:szCs w:val="32"/>
        </w:rPr>
        <w:t>22</w:t>
      </w:r>
      <w:r>
        <w:rPr>
          <w:rFonts w:hint="eastAsia" w:ascii="仿宋" w:hAnsi="仿宋" w:eastAsia="仿宋"/>
          <w:sz w:val="32"/>
          <w:szCs w:val="32"/>
        </w:rPr>
        <w:t>场，参与人次</w:t>
      </w:r>
      <w:r>
        <w:rPr>
          <w:rFonts w:ascii="仿宋" w:hAnsi="仿宋" w:eastAsia="仿宋"/>
          <w:sz w:val="32"/>
          <w:szCs w:val="32"/>
        </w:rPr>
        <w:t>20000</w:t>
      </w:r>
      <w:r>
        <w:rPr>
          <w:rFonts w:hint="eastAsia" w:ascii="仿宋" w:hAnsi="仿宋" w:eastAsia="仿宋"/>
          <w:sz w:val="32"/>
          <w:szCs w:val="32"/>
        </w:rPr>
        <w:t>余人次。攀枝花市创新创业座谈会召开，为打造</w:t>
      </w:r>
      <w:r>
        <w:rPr>
          <w:rFonts w:ascii="仿宋" w:hAnsi="仿宋" w:eastAsia="仿宋"/>
          <w:sz w:val="32"/>
          <w:szCs w:val="32"/>
        </w:rPr>
        <w:t>2019</w:t>
      </w:r>
      <w:r>
        <w:rPr>
          <w:rFonts w:hint="eastAsia" w:ascii="仿宋" w:hAnsi="仿宋" w:eastAsia="仿宋"/>
          <w:sz w:val="32"/>
          <w:szCs w:val="32"/>
        </w:rPr>
        <w:t>“双创”工作升级版指明了方向。</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科技交流合作成效明显。柔性引进乌克兰伊万院士等专家与部分企业开展钒钛技术项目合作；促成清华大学韩敏芳教授与安宁铁钛的固体氢燃料电池、王毅教授与九荣工贸的红石膏综合利用等</w:t>
      </w:r>
      <w:r>
        <w:rPr>
          <w:rFonts w:ascii="仿宋" w:hAnsi="仿宋" w:eastAsia="仿宋"/>
          <w:sz w:val="32"/>
          <w:szCs w:val="32"/>
        </w:rPr>
        <w:t>6</w:t>
      </w:r>
      <w:r>
        <w:rPr>
          <w:rFonts w:hint="eastAsia" w:ascii="仿宋" w:hAnsi="仿宋" w:eastAsia="仿宋"/>
          <w:sz w:val="32"/>
          <w:szCs w:val="32"/>
        </w:rPr>
        <w:t>个重点科技合作项目在攀落地；梳理技术需求</w:t>
      </w:r>
      <w:r>
        <w:rPr>
          <w:rFonts w:ascii="仿宋" w:hAnsi="仿宋" w:eastAsia="仿宋"/>
          <w:sz w:val="32"/>
          <w:szCs w:val="32"/>
        </w:rPr>
        <w:t>18</w:t>
      </w:r>
      <w:r>
        <w:rPr>
          <w:rFonts w:hint="eastAsia" w:ascii="仿宋" w:hAnsi="仿宋" w:eastAsia="仿宋"/>
          <w:sz w:val="32"/>
          <w:szCs w:val="32"/>
        </w:rPr>
        <w:t>项，积极对接中国科学院；与四川大学签订战略合作协议，设立校市战略合作专项资金</w:t>
      </w:r>
      <w:r>
        <w:rPr>
          <w:rFonts w:ascii="仿宋" w:hAnsi="仿宋" w:eastAsia="仿宋"/>
          <w:sz w:val="32"/>
          <w:szCs w:val="32"/>
        </w:rPr>
        <w:t>1000</w:t>
      </w:r>
      <w:r>
        <w:rPr>
          <w:rFonts w:hint="eastAsia" w:ascii="仿宋" w:hAnsi="仿宋" w:eastAsia="仿宋"/>
          <w:sz w:val="32"/>
          <w:szCs w:val="32"/>
        </w:rPr>
        <w:t>万元，“钛白废酸富集高钛型高炉渣中钛”“高品质</w:t>
      </w:r>
      <w:r>
        <w:rPr>
          <w:rFonts w:ascii="仿宋" w:hAnsi="仿宋" w:eastAsia="仿宋"/>
          <w:sz w:val="32"/>
          <w:szCs w:val="32"/>
        </w:rPr>
        <w:t>Ti(C,N)</w:t>
      </w:r>
      <w:r>
        <w:rPr>
          <w:rFonts w:hint="eastAsia" w:ascii="仿宋" w:hAnsi="仿宋" w:eastAsia="仿宋"/>
          <w:sz w:val="32"/>
          <w:szCs w:val="32"/>
        </w:rPr>
        <w:t>及其多元复合固溶体粉的产业化关键技术开发”等前瞻性、中试及成果转化类项目</w:t>
      </w:r>
      <w:r>
        <w:rPr>
          <w:rFonts w:ascii="仿宋" w:hAnsi="仿宋" w:eastAsia="仿宋"/>
          <w:sz w:val="32"/>
          <w:szCs w:val="32"/>
        </w:rPr>
        <w:t>30</w:t>
      </w:r>
      <w:r>
        <w:rPr>
          <w:rFonts w:hint="eastAsia" w:ascii="仿宋" w:hAnsi="仿宋" w:eastAsia="仿宋"/>
          <w:sz w:val="32"/>
          <w:szCs w:val="32"/>
        </w:rPr>
        <w:t>个落实推进；组织参展企业</w:t>
      </w:r>
      <w:r>
        <w:rPr>
          <w:rFonts w:ascii="仿宋" w:hAnsi="仿宋" w:eastAsia="仿宋"/>
          <w:sz w:val="32"/>
          <w:szCs w:val="32"/>
        </w:rPr>
        <w:t>27</w:t>
      </w:r>
      <w:r>
        <w:rPr>
          <w:rFonts w:hint="eastAsia" w:ascii="仿宋" w:hAnsi="仿宋" w:eastAsia="仿宋"/>
          <w:sz w:val="32"/>
          <w:szCs w:val="32"/>
        </w:rPr>
        <w:t>家，参展产品</w:t>
      </w:r>
      <w:r>
        <w:rPr>
          <w:rFonts w:ascii="仿宋" w:hAnsi="仿宋" w:eastAsia="仿宋"/>
          <w:sz w:val="32"/>
          <w:szCs w:val="32"/>
        </w:rPr>
        <w:t>50</w:t>
      </w:r>
      <w:r>
        <w:rPr>
          <w:rFonts w:hint="eastAsia" w:ascii="仿宋" w:hAnsi="仿宋" w:eastAsia="仿宋"/>
          <w:sz w:val="32"/>
          <w:szCs w:val="32"/>
        </w:rPr>
        <w:t>余种参加绵阳科技博览会，签约项目</w:t>
      </w:r>
      <w:r>
        <w:rPr>
          <w:rFonts w:ascii="仿宋" w:hAnsi="仿宋" w:eastAsia="仿宋"/>
          <w:sz w:val="32"/>
          <w:szCs w:val="32"/>
        </w:rPr>
        <w:t>7</w:t>
      </w:r>
      <w:r>
        <w:rPr>
          <w:rFonts w:hint="eastAsia" w:ascii="仿宋" w:hAnsi="仿宋" w:eastAsia="仿宋"/>
          <w:sz w:val="32"/>
          <w:szCs w:val="32"/>
        </w:rPr>
        <w:t>个，金额</w:t>
      </w:r>
      <w:r>
        <w:rPr>
          <w:rFonts w:ascii="仿宋" w:hAnsi="仿宋" w:eastAsia="仿宋"/>
          <w:sz w:val="32"/>
          <w:szCs w:val="32"/>
        </w:rPr>
        <w:t>13.36</w:t>
      </w:r>
      <w:r>
        <w:rPr>
          <w:rFonts w:hint="eastAsia" w:ascii="仿宋" w:hAnsi="仿宋" w:eastAsia="仿宋"/>
          <w:sz w:val="32"/>
          <w:szCs w:val="32"/>
        </w:rPr>
        <w:t>亿元；市科技和知识产权局获评为第五届中国（绵阳）科技城国际科技博览会先进集体。</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科普宣传阵地建设加强。三线建设博物馆成功申报成为省级科普示范基地，新立项支持市级科普示范基地</w:t>
      </w:r>
      <w:r>
        <w:rPr>
          <w:rFonts w:ascii="仿宋" w:hAnsi="仿宋" w:eastAsia="仿宋"/>
          <w:sz w:val="32"/>
          <w:szCs w:val="32"/>
        </w:rPr>
        <w:t>4</w:t>
      </w:r>
      <w:r>
        <w:rPr>
          <w:rFonts w:hint="eastAsia" w:ascii="仿宋" w:hAnsi="仿宋" w:eastAsia="仿宋"/>
          <w:sz w:val="32"/>
          <w:szCs w:val="32"/>
        </w:rPr>
        <w:t>家、科普示范学校</w:t>
      </w:r>
      <w:r>
        <w:rPr>
          <w:rFonts w:ascii="仿宋" w:hAnsi="仿宋" w:eastAsia="仿宋"/>
          <w:sz w:val="32"/>
          <w:szCs w:val="32"/>
        </w:rPr>
        <w:t>1</w:t>
      </w:r>
      <w:r>
        <w:rPr>
          <w:rFonts w:hint="eastAsia" w:ascii="仿宋" w:hAnsi="仿宋" w:eastAsia="仿宋"/>
          <w:sz w:val="32"/>
          <w:szCs w:val="32"/>
        </w:rPr>
        <w:t>家、科普示范社区</w:t>
      </w:r>
      <w:r>
        <w:rPr>
          <w:rFonts w:ascii="仿宋" w:hAnsi="仿宋" w:eastAsia="仿宋"/>
          <w:sz w:val="32"/>
          <w:szCs w:val="32"/>
        </w:rPr>
        <w:t>2</w:t>
      </w:r>
      <w:r>
        <w:rPr>
          <w:rFonts w:hint="eastAsia" w:ascii="仿宋" w:hAnsi="仿宋" w:eastAsia="仿宋"/>
          <w:sz w:val="32"/>
          <w:szCs w:val="32"/>
        </w:rPr>
        <w:t>家。编印了《钒钛产业知识读本》和《人工智能知识读本》。</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知识产权创新联动发展效应更加突出。</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统筹推进知识产权示范城市复核验收工作落实，完成工作总结和相关资料准备并向国家知识产权局正式报送，预计今年底将发布复核结果。米易县通过国家知识产权强县工程试点县验收，仁和区强县工程试点正式启动，东区强县工程试点完成申报，</w:t>
      </w:r>
      <w:r>
        <w:rPr>
          <w:rFonts w:ascii="仿宋" w:hAnsi="仿宋" w:eastAsia="仿宋"/>
          <w:sz w:val="32"/>
          <w:szCs w:val="32"/>
        </w:rPr>
        <w:t>6</w:t>
      </w:r>
      <w:r>
        <w:rPr>
          <w:rFonts w:hint="eastAsia" w:ascii="仿宋" w:hAnsi="仿宋" w:eastAsia="仿宋"/>
          <w:sz w:val="32"/>
          <w:szCs w:val="32"/>
        </w:rPr>
        <w:t>家企业通过了国家知识产权示范、优势培育企业年度考核和复核；四川省知识产权远程教育平台攀枝花分站被评为</w:t>
      </w:r>
      <w:r>
        <w:rPr>
          <w:rFonts w:ascii="仿宋" w:hAnsi="仿宋" w:eastAsia="仿宋"/>
          <w:sz w:val="32"/>
          <w:szCs w:val="32"/>
        </w:rPr>
        <w:t>2017</w:t>
      </w:r>
      <w:r>
        <w:rPr>
          <w:rFonts w:hint="eastAsia" w:ascii="仿宋" w:hAnsi="仿宋" w:eastAsia="仿宋"/>
          <w:sz w:val="32"/>
          <w:szCs w:val="32"/>
        </w:rPr>
        <w:t>年度全国优秀分站，全年开设</w:t>
      </w:r>
      <w:r>
        <w:rPr>
          <w:rFonts w:ascii="仿宋" w:hAnsi="仿宋" w:eastAsia="仿宋"/>
          <w:sz w:val="32"/>
          <w:szCs w:val="32"/>
        </w:rPr>
        <w:t>8</w:t>
      </w:r>
      <w:r>
        <w:rPr>
          <w:rFonts w:hint="eastAsia" w:ascii="仿宋" w:hAnsi="仿宋" w:eastAsia="仿宋"/>
          <w:sz w:val="32"/>
          <w:szCs w:val="32"/>
        </w:rPr>
        <w:t>个班，新注册培训</w:t>
      </w:r>
      <w:r>
        <w:rPr>
          <w:rFonts w:ascii="仿宋" w:hAnsi="仿宋" w:eastAsia="仿宋"/>
          <w:sz w:val="32"/>
          <w:szCs w:val="32"/>
        </w:rPr>
        <w:t>2500</w:t>
      </w:r>
      <w:r>
        <w:rPr>
          <w:rFonts w:hint="eastAsia" w:ascii="仿宋" w:hAnsi="仿宋" w:eastAsia="仿宋"/>
          <w:sz w:val="32"/>
          <w:szCs w:val="32"/>
        </w:rPr>
        <w:t>人次；修订专利资助资金管理办法，突出专利质量提升导向作用，有力支持了企业技术创新；全年全市实施专利转化项目</w:t>
      </w:r>
      <w:r>
        <w:rPr>
          <w:rFonts w:ascii="仿宋" w:hAnsi="仿宋" w:eastAsia="仿宋"/>
          <w:sz w:val="32"/>
          <w:szCs w:val="32"/>
        </w:rPr>
        <w:t>384</w:t>
      </w:r>
      <w:r>
        <w:rPr>
          <w:rFonts w:hint="eastAsia" w:ascii="仿宋" w:hAnsi="仿宋" w:eastAsia="仿宋"/>
          <w:sz w:val="32"/>
          <w:szCs w:val="32"/>
        </w:rPr>
        <w:t>项，实现产值</w:t>
      </w:r>
      <w:r>
        <w:rPr>
          <w:rFonts w:ascii="仿宋" w:hAnsi="仿宋" w:eastAsia="仿宋"/>
          <w:sz w:val="32"/>
          <w:szCs w:val="32"/>
        </w:rPr>
        <w:t>85.53</w:t>
      </w:r>
      <w:r>
        <w:rPr>
          <w:rFonts w:hint="eastAsia" w:ascii="仿宋" w:hAnsi="仿宋" w:eastAsia="仿宋"/>
          <w:sz w:val="32"/>
          <w:szCs w:val="32"/>
        </w:rPr>
        <w:t>亿元，利税</w:t>
      </w:r>
      <w:r>
        <w:rPr>
          <w:rFonts w:ascii="仿宋" w:hAnsi="仿宋" w:eastAsia="仿宋"/>
          <w:sz w:val="32"/>
          <w:szCs w:val="32"/>
        </w:rPr>
        <w:t>7.64</w:t>
      </w:r>
      <w:r>
        <w:rPr>
          <w:rFonts w:hint="eastAsia" w:ascii="仿宋" w:hAnsi="仿宋" w:eastAsia="仿宋"/>
          <w:sz w:val="32"/>
          <w:szCs w:val="32"/>
        </w:rPr>
        <w:t>亿元。节约投资</w:t>
      </w:r>
      <w:r>
        <w:rPr>
          <w:rFonts w:ascii="仿宋" w:hAnsi="仿宋" w:eastAsia="仿宋"/>
          <w:sz w:val="32"/>
          <w:szCs w:val="32"/>
        </w:rPr>
        <w:t>1.95</w:t>
      </w:r>
      <w:r>
        <w:rPr>
          <w:rFonts w:hint="eastAsia" w:ascii="仿宋" w:hAnsi="仿宋" w:eastAsia="仿宋"/>
          <w:sz w:val="32"/>
          <w:szCs w:val="32"/>
        </w:rPr>
        <w:t>亿元，创汇</w:t>
      </w:r>
      <w:r>
        <w:rPr>
          <w:rFonts w:ascii="仿宋" w:hAnsi="仿宋" w:eastAsia="仿宋"/>
          <w:sz w:val="32"/>
          <w:szCs w:val="32"/>
        </w:rPr>
        <w:t>9500</w:t>
      </w:r>
      <w:r>
        <w:rPr>
          <w:rFonts w:hint="eastAsia" w:ascii="仿宋" w:hAnsi="仿宋" w:eastAsia="仿宋"/>
          <w:sz w:val="32"/>
          <w:szCs w:val="32"/>
        </w:rPr>
        <w:t>万美元。</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评论及存在的问题</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评价</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总体来看，</w:t>
      </w:r>
      <w:r>
        <w:rPr>
          <w:rFonts w:ascii="仿宋" w:hAnsi="仿宋" w:eastAsia="仿宋"/>
          <w:sz w:val="32"/>
          <w:szCs w:val="32"/>
        </w:rPr>
        <w:t>2018</w:t>
      </w:r>
      <w:r>
        <w:rPr>
          <w:rFonts w:hint="eastAsia" w:ascii="仿宋" w:hAnsi="仿宋" w:eastAsia="仿宋"/>
          <w:sz w:val="32"/>
          <w:szCs w:val="32"/>
        </w:rPr>
        <w:t>年市级科技专项资金安排和使用，紧紧围绕市委、市政府确定的战略目标，按照加快科技发展的工作部署，主攻方向正确，方式方法可行，成果显著。在项目实施过程中，得到各级党委、政府，科研院所和高校的高度重视，密切配合，科研任务顺利完成。资金安排使用情况基本达到预期绩效目标，取得了良好的经济、社会和生态效益，有力助推了攀枝花市科技创新工作的持续高效开展。通过综合评价，</w:t>
      </w:r>
      <w:r>
        <w:rPr>
          <w:rFonts w:ascii="仿宋" w:hAnsi="仿宋" w:eastAsia="仿宋"/>
          <w:sz w:val="32"/>
          <w:szCs w:val="32"/>
        </w:rPr>
        <w:t xml:space="preserve"> 2018</w:t>
      </w:r>
      <w:r>
        <w:rPr>
          <w:rFonts w:hint="eastAsia" w:ascii="仿宋" w:hAnsi="仿宋" w:eastAsia="仿宋"/>
          <w:sz w:val="32"/>
          <w:szCs w:val="32"/>
        </w:rPr>
        <w:t>年市级财政科技专项资金绩效评价考核得分为</w:t>
      </w:r>
      <w:r>
        <w:rPr>
          <w:rFonts w:ascii="仿宋" w:hAnsi="仿宋" w:eastAsia="仿宋"/>
          <w:sz w:val="32"/>
          <w:szCs w:val="32"/>
        </w:rPr>
        <w:t>91</w:t>
      </w:r>
      <w:r>
        <w:rPr>
          <w:rFonts w:hint="eastAsia" w:ascii="仿宋" w:hAnsi="仿宋" w:eastAsia="仿宋"/>
          <w:sz w:val="32"/>
          <w:szCs w:val="32"/>
        </w:rPr>
        <w:t>分，考评结果为良好。</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（二）存在问题</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市级科技专项资金安排涵盖钒钛资源开发及科研院所能力提升、阳光康养及适应卫生技术、节能减排及资源综合利用技术研究等方面，资金安排使用涵盖范围广，基本上市里各项重点工作都有科技专项资金的引导、促进作用。在科技专项资金总量控制的情况下，由于安排项目较多，最少的一个项目经费仅有</w:t>
      </w:r>
      <w:r>
        <w:rPr>
          <w:rFonts w:ascii="仿宋" w:hAnsi="仿宋" w:eastAsia="仿宋"/>
          <w:sz w:val="32"/>
          <w:szCs w:val="32"/>
        </w:rPr>
        <w:t>1</w:t>
      </w:r>
      <w:r>
        <w:rPr>
          <w:rFonts w:hint="eastAsia" w:ascii="仿宋" w:hAnsi="仿宋" w:eastAsia="仿宋"/>
          <w:sz w:val="32"/>
          <w:szCs w:val="32"/>
        </w:rPr>
        <w:t>万元，绩效有限，对项目承担单位只有鼓励作用，不利于重点工作推进。项目资金执行进度较慢。受工作程序影响，由于项目审核、审批时间较长，造成资金下达最晚时间为</w:t>
      </w:r>
      <w:r>
        <w:rPr>
          <w:rFonts w:ascii="仿宋" w:hAnsi="仿宋" w:eastAsia="仿宋"/>
          <w:sz w:val="32"/>
          <w:szCs w:val="32"/>
        </w:rPr>
        <w:t>12</w:t>
      </w:r>
      <w:r>
        <w:rPr>
          <w:rFonts w:hint="eastAsia" w:ascii="仿宋" w:hAnsi="仿宋" w:eastAsia="仿宋"/>
          <w:sz w:val="32"/>
          <w:szCs w:val="32"/>
        </w:rPr>
        <w:t>月，影响到项目的执行。同时，由于科技项目实施周期长，部分项目资金存在跨年度支出，造成当年财政资金安排使用效率不高。</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（三）相关建议</w:t>
      </w:r>
    </w:p>
    <w:p>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建议在下一步科技资金安排上严格按《攀枝花市科技专项资金管理暂行办法》执行；在项目下达上，可根据项目审批时间分批次进行，对已成熟、审核通过的项目及早审批，以便及时下达资金，保障科技项目的执行；对跨年度科技项目资金安排上，可根据项目实施年度的情况，分年度安排资金，提高财政资金使用效率；在科技专项资金项目结构上，要结合市委、市政府对科技发展要求和财力状况进一步优化，集中财力办大事，切实提高资金使用效益；进一步深化科技资金后补助方式的推行。</w:t>
      </w:r>
    </w:p>
    <w:p/>
    <w:p/>
    <w:p>
      <w:pPr>
        <w:spacing w:line="600" w:lineRule="exact"/>
        <w:outlineLvl w:val="0"/>
      </w:pPr>
      <w:bookmarkStart w:id="48" w:name="_Toc15396616"/>
    </w:p>
    <w:bookmarkEnd w:id="48"/>
    <w:p>
      <w:pPr>
        <w:widowControl/>
        <w:jc w:val="left"/>
        <w:rPr>
          <w:rStyle w:val="15"/>
          <w:rFonts w:ascii="仿宋_GB2312" w:hAnsi="仿宋_GB2312" w:eastAsia="仿宋_GB2312" w:cs="仿宋_GB2312"/>
          <w:b w:val="0"/>
          <w:bCs w:val="0"/>
          <w:kern w:val="2"/>
          <w:sz w:val="32"/>
          <w:szCs w:val="32"/>
        </w:rPr>
      </w:pPr>
      <w:bookmarkStart w:id="49" w:name="_Toc15396617"/>
      <w:r>
        <w:rPr>
          <w:rStyle w:val="15"/>
          <w:rFonts w:hint="eastAsia" w:ascii="仿宋" w:hAnsi="仿宋" w:eastAsia="仿宋"/>
        </w:rPr>
        <w:t>附件</w:t>
      </w:r>
      <w:r>
        <w:rPr>
          <w:rStyle w:val="15"/>
          <w:rFonts w:ascii="仿宋" w:hAnsi="仿宋" w:eastAsia="仿宋"/>
        </w:rPr>
        <w:t>2</w:t>
      </w:r>
      <w:bookmarkEnd w:id="49"/>
    </w:p>
    <w:p>
      <w:pPr>
        <w:widowControl/>
        <w:jc w:val="left"/>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年“钛白副产品绿矾制备电池级磷酸铁新工艺研究”</w:t>
      </w:r>
      <w:r>
        <w:rPr>
          <w:rFonts w:ascii="黑体" w:hAnsi="黑体" w:eastAsia="黑体" w:cs="方正小标宋简体"/>
          <w:sz w:val="44"/>
          <w:szCs w:val="44"/>
        </w:rPr>
        <w:t xml:space="preserve"> </w:t>
      </w:r>
      <w:r>
        <w:rPr>
          <w:rFonts w:hint="eastAsia" w:ascii="黑体" w:hAnsi="黑体" w:eastAsia="黑体" w:cs="方正小标宋简体"/>
          <w:sz w:val="44"/>
          <w:szCs w:val="44"/>
        </w:rPr>
        <w:t>支出绩效评价报告</w:t>
      </w:r>
    </w:p>
    <w:p>
      <w:pPr>
        <w:spacing w:line="580" w:lineRule="exact"/>
        <w:jc w:val="center"/>
        <w:rPr>
          <w:rFonts w:ascii="黑体" w:hAnsi="黑体" w:eastAsia="黑体" w:cs="方正小标宋简体"/>
          <w:sz w:val="44"/>
          <w:szCs w:val="44"/>
        </w:rPr>
      </w:pPr>
    </w:p>
    <w:p>
      <w:pPr>
        <w:pStyle w:val="25"/>
        <w:widowControl/>
        <w:spacing w:line="360" w:lineRule="auto"/>
        <w:ind w:left="481" w:leftChars="229" w:firstLine="160" w:firstLineChars="50"/>
        <w:jc w:val="left"/>
        <w:rPr>
          <w:rFonts w:ascii="仿宋" w:hAnsi="仿宋" w:eastAsia="仿宋"/>
          <w:sz w:val="32"/>
          <w:szCs w:val="32"/>
        </w:rPr>
      </w:pPr>
      <w:r>
        <w:rPr>
          <w:rFonts w:hint="eastAsia" w:ascii="仿宋" w:hAnsi="仿宋" w:eastAsia="仿宋"/>
          <w:sz w:val="32"/>
          <w:szCs w:val="32"/>
        </w:rPr>
        <w:t>一、评价工作开展及项目情况</w:t>
      </w:r>
    </w:p>
    <w:p>
      <w:pPr>
        <w:pStyle w:val="25"/>
        <w:widowControl/>
        <w:spacing w:line="360" w:lineRule="auto"/>
        <w:ind w:left="780" w:firstLine="0" w:firstLineChars="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、项目基本情况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该项目于</w:t>
      </w:r>
      <w:r>
        <w:rPr>
          <w:rFonts w:ascii="仿宋" w:hAnsi="仿宋" w:eastAsia="仿宋"/>
          <w:sz w:val="32"/>
          <w:szCs w:val="32"/>
        </w:rPr>
        <w:t>2018</w:t>
      </w:r>
      <w:r>
        <w:rPr>
          <w:rFonts w:hint="eastAsia" w:ascii="仿宋" w:hAnsi="仿宋" w:eastAsia="仿宋"/>
          <w:sz w:val="32"/>
          <w:szCs w:val="32"/>
        </w:rPr>
        <w:t>年由市科技局立项支持，项目名称为“钛白副产品绿矾制备电池级磷酸铁新工艺研究”，项目编号为“</w:t>
      </w:r>
      <w:r>
        <w:rPr>
          <w:rFonts w:ascii="仿宋" w:hAnsi="仿宋" w:eastAsia="仿宋"/>
          <w:sz w:val="32"/>
          <w:szCs w:val="32"/>
        </w:rPr>
        <w:t>2018CY-S-2</w:t>
      </w:r>
      <w:r>
        <w:rPr>
          <w:rFonts w:hint="eastAsia" w:ascii="仿宋" w:hAnsi="仿宋" w:eastAsia="仿宋"/>
          <w:sz w:val="32"/>
          <w:szCs w:val="32"/>
        </w:rPr>
        <w:t>”，立项经费</w:t>
      </w:r>
      <w:r>
        <w:rPr>
          <w:rFonts w:ascii="仿宋" w:hAnsi="仿宋" w:eastAsia="仿宋"/>
          <w:sz w:val="32"/>
          <w:szCs w:val="32"/>
        </w:rPr>
        <w:t>7</w:t>
      </w:r>
      <w:r>
        <w:rPr>
          <w:rFonts w:hint="eastAsia" w:ascii="仿宋" w:hAnsi="仿宋" w:eastAsia="仿宋"/>
          <w:sz w:val="32"/>
          <w:szCs w:val="32"/>
        </w:rPr>
        <w:t>万元，承担单位攀枝花学院，项目负责人马光强，目前已经完成主体研究任务，得到由攀枝花钛白副产物绿矾制备电池级磷酸铁的工艺包，正在于攀枝花东立科技有限公司联合开展产学研合作，进行成果转化工作。</w:t>
      </w:r>
    </w:p>
    <w:p>
      <w:pPr>
        <w:pStyle w:val="25"/>
        <w:widowControl/>
        <w:spacing w:line="360" w:lineRule="auto"/>
        <w:ind w:left="780" w:firstLine="0" w:firstLineChars="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、评价实施方案</w:t>
      </w:r>
    </w:p>
    <w:p>
      <w:pPr>
        <w:spacing w:line="360" w:lineRule="auto"/>
        <w:jc w:val="center"/>
        <w:rPr>
          <w:sz w:val="24"/>
        </w:rPr>
      </w:pPr>
      <w:r>
        <w:rPr>
          <w:sz w:val="24"/>
        </w:rPr>
        <w:drawing>
          <wp:inline distT="0" distB="0" distL="114300" distR="114300">
            <wp:extent cx="5276850" cy="240030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0"/>
                    <a:stretch>
                      <a:fillRect/>
                    </a:stretch>
                  </pic:blipFill>
                  <pic:spPr>
                    <a:xfrm>
                      <a:off x="0" y="0"/>
                      <a:ext cx="5276850" cy="2400300"/>
                    </a:xfrm>
                    <a:prstGeom prst="rect">
                      <a:avLst/>
                    </a:prstGeom>
                    <a:noFill/>
                    <a:ln>
                      <a:noFill/>
                    </a:ln>
                  </pic:spPr>
                </pic:pic>
              </a:graphicData>
            </a:graphic>
          </wp:inline>
        </w:drawing>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绩效评价的全过程分为投入</w:t>
      </w:r>
      <w:r>
        <w:rPr>
          <w:rFonts w:ascii="仿宋" w:hAnsi="仿宋" w:eastAsia="仿宋"/>
          <w:sz w:val="32"/>
          <w:szCs w:val="32"/>
        </w:rPr>
        <w:t>(</w:t>
      </w:r>
      <w:r>
        <w:rPr>
          <w:rFonts w:hint="eastAsia" w:ascii="仿宋" w:hAnsi="仿宋" w:eastAsia="仿宋"/>
          <w:sz w:val="32"/>
          <w:szCs w:val="32"/>
        </w:rPr>
        <w:t>包括目标确定</w:t>
      </w:r>
      <w:r>
        <w:rPr>
          <w:rFonts w:ascii="仿宋" w:hAnsi="仿宋" w:eastAsia="仿宋"/>
          <w:sz w:val="32"/>
          <w:szCs w:val="32"/>
        </w:rPr>
        <w:t>)</w:t>
      </w:r>
      <w:r>
        <w:rPr>
          <w:rFonts w:hint="eastAsia" w:ascii="仿宋" w:hAnsi="仿宋" w:eastAsia="仿宋"/>
          <w:sz w:val="32"/>
          <w:szCs w:val="32"/>
        </w:rPr>
        <w:t>、过程运作、产出、结果四个阶段</w:t>
      </w:r>
      <w:r>
        <w:rPr>
          <w:rFonts w:ascii="仿宋" w:hAnsi="仿宋" w:eastAsia="仿宋"/>
          <w:sz w:val="32"/>
          <w:szCs w:val="32"/>
        </w:rPr>
        <w:t xml:space="preserve"> </w:t>
      </w:r>
      <w:r>
        <w:rPr>
          <w:rFonts w:hint="eastAsia" w:ascii="仿宋" w:hAnsi="仿宋" w:eastAsia="仿宋"/>
          <w:sz w:val="32"/>
          <w:szCs w:val="32"/>
        </w:rPr>
        <w:t>。作为外在表现又分为四种构成形式：目标内容、全程管理、任务完成、综合效益。所以构建科学合理的科技支出绩效评价指标体系就显得至关重要。而绩效评价规程和机制又是绩效评价得以运用实施的重要组织保障，它的作用也直接关系到绩效评价活动的可行和有效。</w:t>
      </w:r>
    </w:p>
    <w:p>
      <w:pPr>
        <w:pStyle w:val="25"/>
        <w:widowControl/>
        <w:adjustRightInd w:val="0"/>
        <w:snapToGrid w:val="0"/>
        <w:spacing w:line="360" w:lineRule="auto"/>
        <w:ind w:left="481" w:leftChars="229" w:firstLine="320" w:firstLineChars="100"/>
        <w:jc w:val="left"/>
        <w:rPr>
          <w:rFonts w:ascii="仿宋" w:hAnsi="仿宋" w:eastAsia="仿宋"/>
          <w:sz w:val="32"/>
          <w:szCs w:val="32"/>
        </w:rPr>
      </w:pPr>
      <w:r>
        <w:rPr>
          <w:rFonts w:hint="eastAsia" w:ascii="仿宋" w:hAnsi="仿宋" w:eastAsia="仿宋"/>
          <w:sz w:val="32"/>
          <w:szCs w:val="32"/>
        </w:rPr>
        <w:t>二、评价结论及绩效分析</w:t>
      </w:r>
    </w:p>
    <w:p>
      <w:pPr>
        <w:pStyle w:val="25"/>
        <w:widowControl/>
        <w:numPr>
          <w:ilvl w:val="0"/>
          <w:numId w:val="7"/>
        </w:numPr>
        <w:adjustRightInd w:val="0"/>
        <w:snapToGrid w:val="0"/>
        <w:spacing w:line="360" w:lineRule="auto"/>
        <w:ind w:firstLineChars="0"/>
        <w:jc w:val="left"/>
        <w:rPr>
          <w:rFonts w:ascii="仿宋" w:hAnsi="仿宋" w:eastAsia="仿宋"/>
          <w:sz w:val="32"/>
          <w:szCs w:val="32"/>
        </w:rPr>
      </w:pPr>
      <w:r>
        <w:rPr>
          <w:rFonts w:hint="eastAsia" w:ascii="仿宋" w:hAnsi="仿宋" w:eastAsia="仿宋"/>
          <w:sz w:val="32"/>
          <w:szCs w:val="32"/>
        </w:rPr>
        <w:t>评价总体结论</w:t>
      </w:r>
    </w:p>
    <w:p>
      <w:pPr>
        <w:adjustRightInd w:val="0"/>
        <w:snapToGrid w:val="0"/>
        <w:spacing w:line="360" w:lineRule="auto"/>
        <w:ind w:left="480"/>
        <w:rPr>
          <w:rFonts w:ascii="仿宋" w:hAnsi="仿宋" w:eastAsia="仿宋"/>
          <w:bCs/>
          <w:sz w:val="32"/>
          <w:szCs w:val="32"/>
        </w:rPr>
      </w:pPr>
      <w:r>
        <w:rPr>
          <w:rFonts w:hint="eastAsia" w:ascii="仿宋" w:hAnsi="仿宋" w:eastAsia="仿宋"/>
          <w:bCs/>
          <w:sz w:val="32"/>
          <w:szCs w:val="32"/>
        </w:rPr>
        <w:t>绩效评价指标体系、评分标准与得分情况见下表：</w:t>
      </w:r>
    </w:p>
    <w:p>
      <w:pPr>
        <w:adjustRightInd w:val="0"/>
        <w:snapToGrid w:val="0"/>
        <w:spacing w:line="360" w:lineRule="auto"/>
        <w:rPr>
          <w:rFonts w:ascii="仿宋" w:hAnsi="仿宋" w:eastAsia="仿宋"/>
          <w:bCs/>
          <w:sz w:val="32"/>
          <w:szCs w:val="32"/>
        </w:rPr>
      </w:pPr>
    </w:p>
    <w:tbl>
      <w:tblPr>
        <w:tblStyle w:val="11"/>
        <w:tblpPr w:leftFromText="180" w:rightFromText="180" w:vertAnchor="text" w:tblpXSpec="center" w:tblpY="-1439"/>
        <w:tblW w:w="852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34"/>
        <w:gridCol w:w="1714"/>
        <w:gridCol w:w="1657"/>
        <w:gridCol w:w="2268"/>
        <w:gridCol w:w="709"/>
        <w:gridCol w:w="6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24" w:hRule="atLeast"/>
          <w:jc w:val="center"/>
        </w:trPr>
        <w:tc>
          <w:tcPr>
            <w:tcW w:w="1534" w:type="dxa"/>
            <w:tcBorders>
              <w:top w:val="single" w:color="auto" w:sz="8" w:space="0"/>
            </w:tcBorders>
            <w:vAlign w:val="center"/>
          </w:tcPr>
          <w:p>
            <w:pPr>
              <w:adjustRightInd w:val="0"/>
              <w:snapToGrid w:val="0"/>
              <w:rPr>
                <w:rFonts w:ascii="宋体"/>
                <w:bCs/>
                <w:sz w:val="18"/>
                <w:szCs w:val="18"/>
              </w:rPr>
            </w:pPr>
            <w:r>
              <w:rPr>
                <w:rFonts w:hint="eastAsia" w:ascii="宋体" w:hAnsi="宋体"/>
                <w:bCs/>
                <w:sz w:val="18"/>
                <w:szCs w:val="18"/>
              </w:rPr>
              <w:t>一级指标</w:t>
            </w:r>
          </w:p>
        </w:tc>
        <w:tc>
          <w:tcPr>
            <w:tcW w:w="1714" w:type="dxa"/>
            <w:tcBorders>
              <w:top w:val="single" w:color="auto" w:sz="8" w:space="0"/>
            </w:tcBorders>
            <w:noWrap/>
            <w:vAlign w:val="center"/>
          </w:tcPr>
          <w:p>
            <w:pPr>
              <w:adjustRightInd w:val="0"/>
              <w:snapToGrid w:val="0"/>
              <w:rPr>
                <w:rFonts w:ascii="宋体"/>
                <w:bCs/>
                <w:sz w:val="18"/>
                <w:szCs w:val="18"/>
              </w:rPr>
            </w:pPr>
            <w:r>
              <w:rPr>
                <w:rFonts w:hint="eastAsia" w:ascii="宋体" w:hAnsi="宋体"/>
                <w:bCs/>
                <w:sz w:val="18"/>
                <w:szCs w:val="18"/>
              </w:rPr>
              <w:t>二级指标</w:t>
            </w:r>
          </w:p>
        </w:tc>
        <w:tc>
          <w:tcPr>
            <w:tcW w:w="1657" w:type="dxa"/>
            <w:tcBorders>
              <w:top w:val="single" w:color="auto" w:sz="8" w:space="0"/>
            </w:tcBorders>
            <w:noWrap/>
            <w:vAlign w:val="center"/>
          </w:tcPr>
          <w:p>
            <w:pPr>
              <w:adjustRightInd w:val="0"/>
              <w:snapToGrid w:val="0"/>
              <w:rPr>
                <w:rFonts w:ascii="宋体"/>
                <w:bCs/>
                <w:sz w:val="18"/>
                <w:szCs w:val="18"/>
              </w:rPr>
            </w:pPr>
            <w:r>
              <w:rPr>
                <w:rFonts w:hint="eastAsia" w:ascii="宋体" w:hAnsi="宋体"/>
                <w:bCs/>
                <w:sz w:val="18"/>
                <w:szCs w:val="18"/>
              </w:rPr>
              <w:t>指标涵义</w:t>
            </w:r>
          </w:p>
        </w:tc>
        <w:tc>
          <w:tcPr>
            <w:tcW w:w="2268" w:type="dxa"/>
            <w:tcBorders>
              <w:top w:val="single" w:color="auto" w:sz="8" w:space="0"/>
            </w:tcBorders>
            <w:noWrap/>
            <w:vAlign w:val="center"/>
          </w:tcPr>
          <w:p>
            <w:pPr>
              <w:adjustRightInd w:val="0"/>
              <w:snapToGrid w:val="0"/>
              <w:rPr>
                <w:rFonts w:ascii="宋体"/>
                <w:bCs/>
                <w:sz w:val="18"/>
                <w:szCs w:val="18"/>
              </w:rPr>
            </w:pPr>
            <w:r>
              <w:rPr>
                <w:rFonts w:hint="eastAsia" w:ascii="宋体" w:hAnsi="宋体"/>
                <w:bCs/>
                <w:sz w:val="18"/>
                <w:szCs w:val="18"/>
              </w:rPr>
              <w:t>评分标准</w:t>
            </w:r>
          </w:p>
        </w:tc>
        <w:tc>
          <w:tcPr>
            <w:tcW w:w="709" w:type="dxa"/>
            <w:tcBorders>
              <w:top w:val="single" w:color="auto" w:sz="8" w:space="0"/>
            </w:tcBorders>
            <w:noWrap/>
            <w:vAlign w:val="center"/>
          </w:tcPr>
          <w:p>
            <w:pPr>
              <w:adjustRightInd w:val="0"/>
              <w:snapToGrid w:val="0"/>
              <w:rPr>
                <w:rFonts w:ascii="宋体"/>
                <w:bCs/>
                <w:sz w:val="18"/>
                <w:szCs w:val="18"/>
              </w:rPr>
            </w:pPr>
            <w:r>
              <w:rPr>
                <w:rFonts w:hint="eastAsia" w:ascii="宋体" w:hAnsi="宋体"/>
                <w:bCs/>
                <w:sz w:val="18"/>
                <w:szCs w:val="18"/>
              </w:rPr>
              <w:t>分值</w:t>
            </w:r>
          </w:p>
        </w:tc>
        <w:tc>
          <w:tcPr>
            <w:tcW w:w="640" w:type="dxa"/>
            <w:tcBorders>
              <w:top w:val="single" w:color="auto" w:sz="8" w:space="0"/>
            </w:tcBorders>
            <w:vAlign w:val="center"/>
          </w:tcPr>
          <w:p>
            <w:pPr>
              <w:adjustRightInd w:val="0"/>
              <w:snapToGrid w:val="0"/>
              <w:jc w:val="center"/>
              <w:rPr>
                <w:rFonts w:ascii="宋体"/>
                <w:bCs/>
                <w:sz w:val="18"/>
                <w:szCs w:val="18"/>
              </w:rPr>
            </w:pPr>
            <w:r>
              <w:rPr>
                <w:rFonts w:hint="eastAsia" w:ascii="宋体" w:hAnsi="宋体"/>
                <w:bCs/>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restart"/>
            <w:vAlign w:val="center"/>
          </w:tcPr>
          <w:p>
            <w:pPr>
              <w:adjustRightInd w:val="0"/>
              <w:snapToGrid w:val="0"/>
              <w:rPr>
                <w:rFonts w:ascii="宋体"/>
                <w:bCs/>
                <w:sz w:val="18"/>
                <w:szCs w:val="18"/>
              </w:rPr>
            </w:pPr>
            <w:r>
              <w:rPr>
                <w:rFonts w:hint="eastAsia" w:ascii="宋体" w:hAnsi="宋体"/>
                <w:bCs/>
                <w:sz w:val="18"/>
                <w:szCs w:val="18"/>
              </w:rPr>
              <w:t>项目的执行和完成情况（</w:t>
            </w:r>
            <w:r>
              <w:rPr>
                <w:rFonts w:ascii="宋体" w:hAnsi="宋体"/>
                <w:bCs/>
                <w:sz w:val="18"/>
                <w:szCs w:val="18"/>
              </w:rPr>
              <w:t>40</w:t>
            </w:r>
            <w:r>
              <w:rPr>
                <w:rFonts w:hint="eastAsia" w:ascii="宋体" w:hAnsi="宋体"/>
                <w:bCs/>
                <w:sz w:val="18"/>
                <w:szCs w:val="18"/>
              </w:rPr>
              <w:t>）</w:t>
            </w:r>
          </w:p>
        </w:tc>
        <w:tc>
          <w:tcPr>
            <w:tcW w:w="1714" w:type="dxa"/>
            <w:vMerge w:val="restart"/>
            <w:vAlign w:val="center"/>
          </w:tcPr>
          <w:p>
            <w:pPr>
              <w:adjustRightInd w:val="0"/>
              <w:snapToGrid w:val="0"/>
              <w:rPr>
                <w:rFonts w:ascii="宋体"/>
                <w:bCs/>
                <w:sz w:val="18"/>
                <w:szCs w:val="18"/>
              </w:rPr>
            </w:pPr>
            <w:r>
              <w:rPr>
                <w:rFonts w:ascii="宋体" w:hAnsi="宋体"/>
                <w:bCs/>
                <w:sz w:val="18"/>
                <w:szCs w:val="18"/>
              </w:rPr>
              <w:t>1</w:t>
            </w:r>
            <w:r>
              <w:rPr>
                <w:rFonts w:hint="eastAsia" w:ascii="宋体" w:hAnsi="宋体"/>
                <w:bCs/>
                <w:sz w:val="18"/>
                <w:szCs w:val="18"/>
              </w:rPr>
              <w:t>、项目研究目标完成情况（</w:t>
            </w:r>
            <w:r>
              <w:rPr>
                <w:rFonts w:ascii="宋体" w:hAnsi="宋体"/>
                <w:bCs/>
                <w:sz w:val="18"/>
                <w:szCs w:val="18"/>
              </w:rPr>
              <w:t>20</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研究内容及考核目标的完成情况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全部完成规定的研究内容</w:t>
            </w:r>
          </w:p>
        </w:tc>
        <w:tc>
          <w:tcPr>
            <w:tcW w:w="709" w:type="dxa"/>
            <w:noWrap/>
            <w:vAlign w:val="center"/>
          </w:tcPr>
          <w:p>
            <w:pPr>
              <w:adjustRightInd w:val="0"/>
              <w:snapToGrid w:val="0"/>
              <w:rPr>
                <w:rFonts w:ascii="宋体"/>
                <w:bCs/>
                <w:sz w:val="18"/>
                <w:szCs w:val="18"/>
              </w:rPr>
            </w:pPr>
            <w:r>
              <w:rPr>
                <w:rFonts w:ascii="宋体" w:hAnsi="宋体"/>
                <w:bCs/>
                <w:sz w:val="18"/>
                <w:szCs w:val="18"/>
              </w:rPr>
              <w:t>20</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完成规定任务</w:t>
            </w:r>
            <w:r>
              <w:rPr>
                <w:rFonts w:ascii="宋体" w:hAnsi="宋体"/>
                <w:bCs/>
                <w:sz w:val="18"/>
                <w:szCs w:val="18"/>
              </w:rPr>
              <w:t>50%</w:t>
            </w:r>
            <w:r>
              <w:rPr>
                <w:rFonts w:hint="eastAsia" w:ascii="宋体" w:hAnsi="宋体"/>
                <w:bCs/>
                <w:sz w:val="18"/>
                <w:szCs w:val="18"/>
              </w:rPr>
              <w:t>以上</w:t>
            </w:r>
          </w:p>
        </w:tc>
        <w:tc>
          <w:tcPr>
            <w:tcW w:w="709" w:type="dxa"/>
            <w:noWrap/>
            <w:vAlign w:val="center"/>
          </w:tcPr>
          <w:p>
            <w:pPr>
              <w:adjustRightInd w:val="0"/>
              <w:snapToGrid w:val="0"/>
              <w:rPr>
                <w:rFonts w:ascii="宋体"/>
                <w:bCs/>
                <w:sz w:val="18"/>
                <w:szCs w:val="18"/>
              </w:rPr>
            </w:pPr>
            <w:r>
              <w:rPr>
                <w:rFonts w:ascii="宋体" w:hAnsi="宋体"/>
                <w:bCs/>
                <w:sz w:val="18"/>
                <w:szCs w:val="18"/>
              </w:rPr>
              <w:t>10-19</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完成规定任务</w:t>
            </w:r>
            <w:r>
              <w:rPr>
                <w:rFonts w:ascii="宋体" w:hAnsi="宋体"/>
                <w:bCs/>
                <w:sz w:val="18"/>
                <w:szCs w:val="18"/>
              </w:rPr>
              <w:t>50%</w:t>
            </w:r>
            <w:r>
              <w:rPr>
                <w:rFonts w:hint="eastAsia" w:ascii="宋体" w:hAnsi="宋体"/>
                <w:bCs/>
                <w:sz w:val="18"/>
                <w:szCs w:val="18"/>
              </w:rPr>
              <w:t>以下</w:t>
            </w:r>
          </w:p>
        </w:tc>
        <w:tc>
          <w:tcPr>
            <w:tcW w:w="709" w:type="dxa"/>
            <w:noWrap/>
            <w:vAlign w:val="center"/>
          </w:tcPr>
          <w:p>
            <w:pPr>
              <w:adjustRightInd w:val="0"/>
              <w:snapToGrid w:val="0"/>
              <w:rPr>
                <w:rFonts w:ascii="宋体"/>
                <w:bCs/>
                <w:sz w:val="18"/>
                <w:szCs w:val="18"/>
              </w:rPr>
            </w:pPr>
            <w:r>
              <w:rPr>
                <w:rFonts w:ascii="宋体" w:hAnsi="宋体"/>
                <w:bCs/>
                <w:sz w:val="18"/>
                <w:szCs w:val="18"/>
              </w:rPr>
              <w:t>0-9</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2</w:t>
            </w:r>
            <w:r>
              <w:rPr>
                <w:rFonts w:hint="eastAsia" w:ascii="宋体" w:hAnsi="宋体"/>
                <w:bCs/>
                <w:sz w:val="18"/>
                <w:szCs w:val="18"/>
              </w:rPr>
              <w:t>、项目技术指标完成情况（</w:t>
            </w:r>
            <w:r>
              <w:rPr>
                <w:rFonts w:ascii="宋体" w:hAnsi="宋体"/>
                <w:bCs/>
                <w:sz w:val="18"/>
                <w:szCs w:val="18"/>
              </w:rPr>
              <w:t>10</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项目技术指标的完成情况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完全达到或超过规定的技术指标</w:t>
            </w:r>
          </w:p>
        </w:tc>
        <w:tc>
          <w:tcPr>
            <w:tcW w:w="709" w:type="dxa"/>
            <w:noWrap/>
            <w:vAlign w:val="center"/>
          </w:tcPr>
          <w:p>
            <w:pPr>
              <w:adjustRightInd w:val="0"/>
              <w:snapToGrid w:val="0"/>
              <w:rPr>
                <w:rFonts w:ascii="宋体"/>
                <w:bCs/>
                <w:sz w:val="18"/>
                <w:szCs w:val="18"/>
              </w:rPr>
            </w:pPr>
            <w:r>
              <w:rPr>
                <w:rFonts w:ascii="宋体" w:hAnsi="宋体"/>
                <w:bCs/>
                <w:sz w:val="18"/>
                <w:szCs w:val="18"/>
              </w:rPr>
              <w:t>10</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主要技术指标基本达到</w:t>
            </w:r>
          </w:p>
        </w:tc>
        <w:tc>
          <w:tcPr>
            <w:tcW w:w="709" w:type="dxa"/>
            <w:noWrap/>
            <w:vAlign w:val="center"/>
          </w:tcPr>
          <w:p>
            <w:pPr>
              <w:adjustRightInd w:val="0"/>
              <w:snapToGrid w:val="0"/>
              <w:rPr>
                <w:rFonts w:ascii="宋体"/>
                <w:bCs/>
                <w:sz w:val="18"/>
                <w:szCs w:val="18"/>
              </w:rPr>
            </w:pPr>
            <w:r>
              <w:rPr>
                <w:rFonts w:ascii="宋体" w:hAnsi="宋体"/>
                <w:bCs/>
                <w:sz w:val="18"/>
                <w:szCs w:val="18"/>
              </w:rPr>
              <w:t>5-9</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主要技术指标没有达到</w:t>
            </w:r>
          </w:p>
        </w:tc>
        <w:tc>
          <w:tcPr>
            <w:tcW w:w="709" w:type="dxa"/>
            <w:noWrap/>
            <w:vAlign w:val="center"/>
          </w:tcPr>
          <w:p>
            <w:pPr>
              <w:adjustRightInd w:val="0"/>
              <w:snapToGrid w:val="0"/>
              <w:rPr>
                <w:rFonts w:ascii="宋体"/>
                <w:bCs/>
                <w:sz w:val="18"/>
                <w:szCs w:val="18"/>
              </w:rPr>
            </w:pPr>
            <w:r>
              <w:rPr>
                <w:rFonts w:ascii="宋体" w:hAnsi="宋体"/>
                <w:bCs/>
                <w:sz w:val="18"/>
                <w:szCs w:val="18"/>
              </w:rPr>
              <w:t>0-4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3</w:t>
            </w:r>
            <w:r>
              <w:rPr>
                <w:rFonts w:hint="eastAsia" w:ascii="宋体" w:hAnsi="宋体"/>
                <w:bCs/>
                <w:sz w:val="18"/>
                <w:szCs w:val="18"/>
              </w:rPr>
              <w:t>、项目计划进度情况（</w:t>
            </w:r>
            <w:r>
              <w:rPr>
                <w:rFonts w:ascii="宋体" w:hAnsi="宋体"/>
                <w:bCs/>
                <w:sz w:val="18"/>
                <w:szCs w:val="18"/>
              </w:rPr>
              <w:t>10</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项目计划进度的完成情况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按时完成或按计划进行</w:t>
            </w:r>
          </w:p>
        </w:tc>
        <w:tc>
          <w:tcPr>
            <w:tcW w:w="709" w:type="dxa"/>
            <w:noWrap/>
            <w:vAlign w:val="center"/>
          </w:tcPr>
          <w:p>
            <w:pPr>
              <w:adjustRightInd w:val="0"/>
              <w:snapToGrid w:val="0"/>
              <w:rPr>
                <w:rFonts w:ascii="宋体"/>
                <w:bCs/>
                <w:sz w:val="18"/>
                <w:szCs w:val="18"/>
              </w:rPr>
            </w:pPr>
            <w:r>
              <w:rPr>
                <w:rFonts w:ascii="宋体" w:hAnsi="宋体"/>
                <w:bCs/>
                <w:sz w:val="18"/>
                <w:szCs w:val="18"/>
              </w:rPr>
              <w:t>10-8</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延期半年以上一年以内</w:t>
            </w:r>
          </w:p>
        </w:tc>
        <w:tc>
          <w:tcPr>
            <w:tcW w:w="709" w:type="dxa"/>
            <w:noWrap/>
            <w:vAlign w:val="center"/>
          </w:tcPr>
          <w:p>
            <w:pPr>
              <w:adjustRightInd w:val="0"/>
              <w:snapToGrid w:val="0"/>
              <w:rPr>
                <w:rFonts w:ascii="宋体"/>
                <w:bCs/>
                <w:sz w:val="18"/>
                <w:szCs w:val="18"/>
              </w:rPr>
            </w:pPr>
            <w:r>
              <w:rPr>
                <w:rFonts w:ascii="宋体" w:hAnsi="宋体"/>
                <w:bCs/>
                <w:sz w:val="18"/>
                <w:szCs w:val="18"/>
              </w:rPr>
              <w:t>5-7</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延期一年以上</w:t>
            </w:r>
          </w:p>
        </w:tc>
        <w:tc>
          <w:tcPr>
            <w:tcW w:w="709" w:type="dxa"/>
            <w:noWrap/>
            <w:vAlign w:val="center"/>
          </w:tcPr>
          <w:p>
            <w:pPr>
              <w:adjustRightInd w:val="0"/>
              <w:snapToGrid w:val="0"/>
              <w:rPr>
                <w:rFonts w:ascii="宋体"/>
                <w:bCs/>
                <w:sz w:val="18"/>
                <w:szCs w:val="18"/>
              </w:rPr>
            </w:pPr>
            <w:r>
              <w:rPr>
                <w:rFonts w:ascii="宋体" w:hAnsi="宋体"/>
                <w:bCs/>
                <w:sz w:val="18"/>
                <w:szCs w:val="18"/>
              </w:rPr>
              <w:t>0-4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restart"/>
            <w:vAlign w:val="center"/>
          </w:tcPr>
          <w:p>
            <w:pPr>
              <w:adjustRightInd w:val="0"/>
              <w:snapToGrid w:val="0"/>
              <w:rPr>
                <w:rFonts w:ascii="宋体"/>
                <w:bCs/>
                <w:sz w:val="18"/>
                <w:szCs w:val="18"/>
              </w:rPr>
            </w:pPr>
            <w:r>
              <w:rPr>
                <w:rFonts w:hint="eastAsia" w:ascii="宋体" w:hAnsi="宋体"/>
                <w:bCs/>
                <w:sz w:val="18"/>
                <w:szCs w:val="18"/>
              </w:rPr>
              <w:t>项目技术水平及所产生的成果（</w:t>
            </w:r>
            <w:r>
              <w:rPr>
                <w:rFonts w:ascii="宋体" w:hAnsi="宋体"/>
                <w:bCs/>
                <w:sz w:val="18"/>
                <w:szCs w:val="18"/>
              </w:rPr>
              <w:t>25</w:t>
            </w:r>
            <w:r>
              <w:rPr>
                <w:rFonts w:hint="eastAsia" w:ascii="宋体" w:hAnsi="宋体"/>
                <w:bCs/>
                <w:sz w:val="18"/>
                <w:szCs w:val="18"/>
              </w:rPr>
              <w:t>＋</w:t>
            </w:r>
            <w:r>
              <w:rPr>
                <w:rFonts w:ascii="宋体" w:hAnsi="宋体"/>
                <w:bCs/>
                <w:sz w:val="18"/>
                <w:szCs w:val="18"/>
              </w:rPr>
              <w:t>5</w:t>
            </w:r>
            <w:r>
              <w:rPr>
                <w:rFonts w:hint="eastAsia" w:ascii="宋体" w:hAnsi="宋体"/>
                <w:bCs/>
                <w:sz w:val="18"/>
                <w:szCs w:val="18"/>
              </w:rPr>
              <w:t>）</w:t>
            </w:r>
          </w:p>
        </w:tc>
        <w:tc>
          <w:tcPr>
            <w:tcW w:w="1714" w:type="dxa"/>
            <w:vMerge w:val="restart"/>
            <w:vAlign w:val="center"/>
          </w:tcPr>
          <w:p>
            <w:pPr>
              <w:adjustRightInd w:val="0"/>
              <w:snapToGrid w:val="0"/>
              <w:rPr>
                <w:rFonts w:ascii="宋体"/>
                <w:bCs/>
                <w:sz w:val="18"/>
                <w:szCs w:val="18"/>
              </w:rPr>
            </w:pPr>
            <w:r>
              <w:rPr>
                <w:rFonts w:ascii="宋体" w:hAnsi="宋体"/>
                <w:bCs/>
                <w:sz w:val="18"/>
                <w:szCs w:val="18"/>
              </w:rPr>
              <w:t>4</w:t>
            </w:r>
            <w:r>
              <w:rPr>
                <w:rFonts w:hint="eastAsia" w:ascii="宋体" w:hAnsi="宋体"/>
                <w:bCs/>
                <w:sz w:val="18"/>
                <w:szCs w:val="18"/>
              </w:rPr>
              <w:t>、水平先进性（</w:t>
            </w:r>
            <w:r>
              <w:rPr>
                <w:rFonts w:ascii="宋体" w:hAnsi="宋体"/>
                <w:bCs/>
                <w:sz w:val="18"/>
                <w:szCs w:val="18"/>
              </w:rPr>
              <w:t>10</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项目的技术水平在国内领先的情况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国内先进以上</w:t>
            </w:r>
          </w:p>
        </w:tc>
        <w:tc>
          <w:tcPr>
            <w:tcW w:w="709" w:type="dxa"/>
            <w:noWrap/>
            <w:vAlign w:val="center"/>
          </w:tcPr>
          <w:p>
            <w:pPr>
              <w:adjustRightInd w:val="0"/>
              <w:snapToGrid w:val="0"/>
              <w:rPr>
                <w:rFonts w:ascii="宋体"/>
                <w:bCs/>
                <w:sz w:val="18"/>
                <w:szCs w:val="18"/>
              </w:rPr>
            </w:pPr>
            <w:r>
              <w:rPr>
                <w:rFonts w:ascii="宋体" w:hAnsi="宋体"/>
                <w:bCs/>
                <w:sz w:val="18"/>
                <w:szCs w:val="18"/>
              </w:rPr>
              <w:t>10</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省内领先</w:t>
            </w:r>
          </w:p>
        </w:tc>
        <w:tc>
          <w:tcPr>
            <w:tcW w:w="709" w:type="dxa"/>
            <w:noWrap/>
            <w:vAlign w:val="center"/>
          </w:tcPr>
          <w:p>
            <w:pPr>
              <w:adjustRightInd w:val="0"/>
              <w:snapToGrid w:val="0"/>
              <w:rPr>
                <w:rFonts w:ascii="宋体"/>
                <w:bCs/>
                <w:sz w:val="18"/>
                <w:szCs w:val="18"/>
              </w:rPr>
            </w:pPr>
            <w:r>
              <w:rPr>
                <w:rFonts w:ascii="宋体" w:hAnsi="宋体"/>
                <w:bCs/>
                <w:sz w:val="18"/>
                <w:szCs w:val="18"/>
              </w:rPr>
              <w:t>5-9</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省内先进</w:t>
            </w:r>
          </w:p>
        </w:tc>
        <w:tc>
          <w:tcPr>
            <w:tcW w:w="709" w:type="dxa"/>
            <w:noWrap/>
            <w:vAlign w:val="center"/>
          </w:tcPr>
          <w:p>
            <w:pPr>
              <w:adjustRightInd w:val="0"/>
              <w:snapToGrid w:val="0"/>
              <w:rPr>
                <w:rFonts w:ascii="宋体"/>
                <w:bCs/>
                <w:sz w:val="18"/>
                <w:szCs w:val="18"/>
              </w:rPr>
            </w:pPr>
            <w:r>
              <w:rPr>
                <w:rFonts w:ascii="宋体" w:hAnsi="宋体"/>
                <w:bCs/>
                <w:sz w:val="18"/>
                <w:szCs w:val="18"/>
              </w:rPr>
              <w:t>0-4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5</w:t>
            </w:r>
            <w:r>
              <w:rPr>
                <w:rFonts w:hint="eastAsia" w:ascii="宋体" w:hAnsi="宋体"/>
                <w:bCs/>
                <w:sz w:val="18"/>
                <w:szCs w:val="18"/>
              </w:rPr>
              <w:t>、项目研发团队及人才培养情况（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技术团队的研发能力及通过项目实施培养人才情况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培养中高级人才</w:t>
            </w:r>
            <w:r>
              <w:rPr>
                <w:rFonts w:ascii="宋体" w:hAnsi="宋体"/>
                <w:bCs/>
                <w:sz w:val="18"/>
                <w:szCs w:val="18"/>
              </w:rPr>
              <w:t>3</w:t>
            </w:r>
            <w:r>
              <w:rPr>
                <w:rFonts w:hint="eastAsia" w:ascii="宋体" w:hAnsi="宋体"/>
                <w:bCs/>
                <w:sz w:val="18"/>
                <w:szCs w:val="18"/>
              </w:rPr>
              <w:t>人以上</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培养中高级人才</w:t>
            </w:r>
            <w:r>
              <w:rPr>
                <w:rFonts w:ascii="宋体" w:hAnsi="宋体"/>
                <w:bCs/>
                <w:sz w:val="18"/>
                <w:szCs w:val="18"/>
              </w:rPr>
              <w:t>1</w:t>
            </w:r>
            <w:r>
              <w:rPr>
                <w:rFonts w:hint="eastAsia" w:ascii="宋体" w:hAnsi="宋体"/>
                <w:bCs/>
                <w:sz w:val="18"/>
                <w:szCs w:val="18"/>
              </w:rPr>
              <w:t>人以上</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研发团队基本稳定</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6</w:t>
            </w:r>
            <w:r>
              <w:rPr>
                <w:rFonts w:hint="eastAsia" w:ascii="宋体" w:hAnsi="宋体"/>
                <w:bCs/>
                <w:sz w:val="18"/>
                <w:szCs w:val="18"/>
              </w:rPr>
              <w:t>、知识产权情况（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项目取得专利（发明专利、实用新型和外观设计专利）、软件著作权登记证书等情况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获得专利</w:t>
            </w:r>
            <w:r>
              <w:rPr>
                <w:rFonts w:ascii="宋体" w:hAnsi="宋体"/>
                <w:bCs/>
                <w:sz w:val="18"/>
                <w:szCs w:val="18"/>
              </w:rPr>
              <w:t>/</w:t>
            </w:r>
            <w:r>
              <w:rPr>
                <w:rFonts w:hint="eastAsia" w:ascii="宋体" w:hAnsi="宋体"/>
                <w:bCs/>
                <w:sz w:val="18"/>
                <w:szCs w:val="18"/>
              </w:rPr>
              <w:t>新品种审定（认定）</w:t>
            </w:r>
            <w:r>
              <w:rPr>
                <w:rFonts w:ascii="宋体" w:hAnsi="宋体"/>
                <w:bCs/>
                <w:sz w:val="18"/>
                <w:szCs w:val="18"/>
              </w:rPr>
              <w:t>/</w:t>
            </w:r>
            <w:r>
              <w:rPr>
                <w:rFonts w:hint="eastAsia" w:ascii="宋体" w:hAnsi="宋体"/>
                <w:bCs/>
                <w:sz w:val="18"/>
                <w:szCs w:val="18"/>
              </w:rPr>
              <w:t>新药证书</w:t>
            </w:r>
            <w:r>
              <w:rPr>
                <w:rFonts w:ascii="宋体" w:hAnsi="宋体"/>
                <w:bCs/>
                <w:sz w:val="18"/>
                <w:szCs w:val="18"/>
              </w:rPr>
              <w:t>/</w:t>
            </w:r>
            <w:r>
              <w:rPr>
                <w:rFonts w:hint="eastAsia" w:ascii="宋体" w:hAnsi="宋体"/>
                <w:bCs/>
                <w:sz w:val="18"/>
                <w:szCs w:val="18"/>
              </w:rPr>
              <w:t>软著</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进行了专利申请或技术成果登记</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无专利申请或技术成果登记</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7</w:t>
            </w:r>
            <w:r>
              <w:rPr>
                <w:rFonts w:hint="eastAsia" w:ascii="宋体" w:hAnsi="宋体"/>
                <w:bCs/>
                <w:sz w:val="18"/>
                <w:szCs w:val="18"/>
              </w:rPr>
              <w:t>、项目发表论文和标准制定情况（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项目执行过程中发表的论文情况（非企业类）</w:t>
            </w:r>
          </w:p>
        </w:tc>
        <w:tc>
          <w:tcPr>
            <w:tcW w:w="2268" w:type="dxa"/>
            <w:vAlign w:val="center"/>
          </w:tcPr>
          <w:p>
            <w:pPr>
              <w:adjustRightInd w:val="0"/>
              <w:snapToGrid w:val="0"/>
              <w:rPr>
                <w:rFonts w:ascii="宋体"/>
                <w:bCs/>
                <w:sz w:val="18"/>
                <w:szCs w:val="18"/>
              </w:rPr>
            </w:pPr>
            <w:r>
              <w:rPr>
                <w:rFonts w:hint="eastAsia" w:ascii="宋体" w:hAnsi="宋体"/>
                <w:bCs/>
                <w:sz w:val="18"/>
                <w:szCs w:val="18"/>
              </w:rPr>
              <w:t>在省级以上科技刊物发表论文</w:t>
            </w:r>
            <w:r>
              <w:rPr>
                <w:rFonts w:ascii="宋体" w:hAnsi="宋体"/>
                <w:bCs/>
                <w:sz w:val="18"/>
                <w:szCs w:val="18"/>
              </w:rPr>
              <w:t>3</w:t>
            </w:r>
            <w:r>
              <w:rPr>
                <w:rFonts w:hint="eastAsia" w:ascii="宋体" w:hAnsi="宋体"/>
                <w:bCs/>
                <w:sz w:val="18"/>
                <w:szCs w:val="18"/>
              </w:rPr>
              <w:t>篇以上</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在省级以上科技刊物发表论文</w:t>
            </w:r>
            <w:r>
              <w:rPr>
                <w:rFonts w:ascii="宋体" w:hAnsi="宋体"/>
                <w:bCs/>
                <w:sz w:val="18"/>
                <w:szCs w:val="18"/>
              </w:rPr>
              <w:t>1</w:t>
            </w:r>
            <w:r>
              <w:rPr>
                <w:rFonts w:hint="eastAsia" w:ascii="宋体" w:hAnsi="宋体"/>
                <w:bCs/>
                <w:sz w:val="18"/>
                <w:szCs w:val="18"/>
              </w:rPr>
              <w:t>篇以上</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发表有其他论文</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项目执行过程中制定技术标准情况（企业类）</w:t>
            </w:r>
          </w:p>
        </w:tc>
        <w:tc>
          <w:tcPr>
            <w:tcW w:w="2268" w:type="dxa"/>
            <w:vAlign w:val="center"/>
          </w:tcPr>
          <w:p>
            <w:pPr>
              <w:adjustRightInd w:val="0"/>
              <w:snapToGrid w:val="0"/>
              <w:rPr>
                <w:rFonts w:ascii="宋体"/>
                <w:bCs/>
                <w:sz w:val="18"/>
                <w:szCs w:val="18"/>
              </w:rPr>
            </w:pPr>
            <w:r>
              <w:rPr>
                <w:rFonts w:hint="eastAsia" w:ascii="宋体" w:hAnsi="宋体"/>
                <w:bCs/>
                <w:sz w:val="18"/>
                <w:szCs w:val="18"/>
              </w:rPr>
              <w:t>参与制定国家标准</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参与制定行业标准</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制定了企业标准</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8</w:t>
            </w:r>
            <w:r>
              <w:rPr>
                <w:rFonts w:hint="eastAsia" w:ascii="宋体" w:hAnsi="宋体"/>
                <w:bCs/>
                <w:sz w:val="18"/>
                <w:szCs w:val="18"/>
              </w:rPr>
              <w:t>、项目获奖情况（</w:t>
            </w:r>
            <w:r>
              <w:rPr>
                <w:rFonts w:ascii="宋体" w:hAnsi="宋体"/>
                <w:bCs/>
                <w:sz w:val="18"/>
                <w:szCs w:val="18"/>
              </w:rPr>
              <w:t>5</w:t>
            </w:r>
            <w:r>
              <w:rPr>
                <w:rFonts w:hint="eastAsia" w:ascii="宋体" w:hAnsi="宋体"/>
                <w:bCs/>
                <w:sz w:val="18"/>
                <w:szCs w:val="18"/>
              </w:rPr>
              <w:t>）（附加分）</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项目获得各级奖励的情况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获省、部级科技奖项及以上</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bCs/>
                <w:sz w:val="18"/>
                <w:szCs w:val="18"/>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获市级科技奖项</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其他获奖</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restart"/>
            <w:vAlign w:val="center"/>
          </w:tcPr>
          <w:p>
            <w:pPr>
              <w:adjustRightInd w:val="0"/>
              <w:snapToGrid w:val="0"/>
              <w:rPr>
                <w:rFonts w:ascii="宋体"/>
                <w:bCs/>
                <w:sz w:val="18"/>
                <w:szCs w:val="18"/>
              </w:rPr>
            </w:pPr>
          </w:p>
          <w:p>
            <w:pPr>
              <w:adjustRightInd w:val="0"/>
              <w:snapToGrid w:val="0"/>
              <w:rPr>
                <w:rFonts w:ascii="宋体"/>
                <w:bCs/>
                <w:sz w:val="18"/>
                <w:szCs w:val="18"/>
              </w:rPr>
            </w:pPr>
          </w:p>
          <w:p>
            <w:pPr>
              <w:adjustRightInd w:val="0"/>
              <w:snapToGrid w:val="0"/>
              <w:rPr>
                <w:rFonts w:ascii="宋体"/>
                <w:bCs/>
                <w:sz w:val="18"/>
                <w:szCs w:val="18"/>
              </w:rPr>
            </w:pPr>
          </w:p>
          <w:p>
            <w:pPr>
              <w:adjustRightInd w:val="0"/>
              <w:snapToGrid w:val="0"/>
              <w:rPr>
                <w:rFonts w:ascii="宋体"/>
                <w:bCs/>
                <w:sz w:val="18"/>
                <w:szCs w:val="18"/>
              </w:rPr>
            </w:pPr>
          </w:p>
          <w:p>
            <w:pPr>
              <w:adjustRightInd w:val="0"/>
              <w:snapToGrid w:val="0"/>
              <w:rPr>
                <w:rFonts w:ascii="宋体"/>
                <w:bCs/>
                <w:sz w:val="18"/>
                <w:szCs w:val="18"/>
              </w:rPr>
            </w:pPr>
            <w:r>
              <w:rPr>
                <w:rFonts w:hint="eastAsia" w:ascii="宋体" w:hAnsi="宋体"/>
                <w:bCs/>
                <w:sz w:val="18"/>
                <w:szCs w:val="18"/>
              </w:rPr>
              <w:t>项目经济、社会、环境效益（</w:t>
            </w:r>
            <w:r>
              <w:rPr>
                <w:rFonts w:ascii="宋体" w:hAnsi="宋体"/>
                <w:bCs/>
                <w:sz w:val="18"/>
                <w:szCs w:val="18"/>
              </w:rPr>
              <w:t>20</w:t>
            </w:r>
            <w:r>
              <w:rPr>
                <w:rFonts w:hint="eastAsia" w:ascii="宋体" w:hAnsi="宋体"/>
                <w:bCs/>
                <w:sz w:val="18"/>
                <w:szCs w:val="18"/>
              </w:rPr>
              <w:t>）</w:t>
            </w:r>
          </w:p>
        </w:tc>
        <w:tc>
          <w:tcPr>
            <w:tcW w:w="1714" w:type="dxa"/>
            <w:vMerge w:val="restart"/>
            <w:vAlign w:val="center"/>
          </w:tcPr>
          <w:p>
            <w:pPr>
              <w:adjustRightInd w:val="0"/>
              <w:snapToGrid w:val="0"/>
              <w:rPr>
                <w:rFonts w:ascii="宋体"/>
                <w:bCs/>
                <w:sz w:val="18"/>
                <w:szCs w:val="18"/>
              </w:rPr>
            </w:pPr>
            <w:r>
              <w:rPr>
                <w:rFonts w:ascii="宋体" w:hAnsi="宋体"/>
                <w:bCs/>
                <w:sz w:val="18"/>
                <w:szCs w:val="18"/>
              </w:rPr>
              <w:t>9</w:t>
            </w:r>
            <w:r>
              <w:rPr>
                <w:rFonts w:hint="eastAsia" w:ascii="宋体" w:hAnsi="宋体"/>
                <w:bCs/>
                <w:sz w:val="18"/>
                <w:szCs w:val="18"/>
              </w:rPr>
              <w:t>、项目经济效益（</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项目完成后新增的产值、利税等经济效益情况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经济效益好</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经济效益较好</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1"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经济效益一般</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10</w:t>
            </w:r>
            <w:r>
              <w:rPr>
                <w:rFonts w:hint="eastAsia" w:ascii="宋体" w:hAnsi="宋体"/>
                <w:bCs/>
                <w:sz w:val="18"/>
                <w:szCs w:val="18"/>
              </w:rPr>
              <w:t>、对支柱产业发展的作用和影响（</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项目的关键、共性技术对促进行业或区域产业技术升级、整体经济发展所起的示范作用</w:t>
            </w:r>
          </w:p>
        </w:tc>
        <w:tc>
          <w:tcPr>
            <w:tcW w:w="2268" w:type="dxa"/>
            <w:vAlign w:val="center"/>
          </w:tcPr>
          <w:p>
            <w:pPr>
              <w:adjustRightInd w:val="0"/>
              <w:snapToGrid w:val="0"/>
              <w:rPr>
                <w:rFonts w:ascii="宋体"/>
                <w:bCs/>
                <w:sz w:val="18"/>
                <w:szCs w:val="18"/>
              </w:rPr>
            </w:pPr>
            <w:r>
              <w:rPr>
                <w:rFonts w:hint="eastAsia" w:ascii="宋体" w:hAnsi="宋体"/>
                <w:bCs/>
                <w:sz w:val="18"/>
                <w:szCs w:val="18"/>
              </w:rPr>
              <w:t>作用很大</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1"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作用较大</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作用一般</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11</w:t>
            </w:r>
            <w:r>
              <w:rPr>
                <w:rFonts w:hint="eastAsia" w:ascii="宋体" w:hAnsi="宋体"/>
                <w:bCs/>
                <w:sz w:val="18"/>
                <w:szCs w:val="18"/>
              </w:rPr>
              <w:t>、重大关键技术的突破和应用情况（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重大关键技术的突破及应用情况或项目技术成果的产业化应用情况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应用情况很好</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应用情况较好</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应用情况一般</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12</w:t>
            </w:r>
            <w:r>
              <w:rPr>
                <w:rFonts w:hint="eastAsia" w:ascii="宋体" w:hAnsi="宋体"/>
                <w:bCs/>
                <w:sz w:val="18"/>
                <w:szCs w:val="18"/>
              </w:rPr>
              <w:t>、生态环境效益（</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对资源综合开发利用和节能减排降耗、保护环境和生态建设所起的作用</w:t>
            </w:r>
          </w:p>
        </w:tc>
        <w:tc>
          <w:tcPr>
            <w:tcW w:w="2268" w:type="dxa"/>
            <w:vAlign w:val="center"/>
          </w:tcPr>
          <w:p>
            <w:pPr>
              <w:adjustRightInd w:val="0"/>
              <w:snapToGrid w:val="0"/>
              <w:rPr>
                <w:rFonts w:ascii="宋体"/>
                <w:bCs/>
                <w:sz w:val="18"/>
                <w:szCs w:val="18"/>
              </w:rPr>
            </w:pPr>
            <w:r>
              <w:rPr>
                <w:rFonts w:hint="eastAsia" w:ascii="宋体" w:hAnsi="宋体"/>
                <w:bCs/>
                <w:sz w:val="18"/>
                <w:szCs w:val="18"/>
              </w:rPr>
              <w:t>作用很大</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作用较大</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作用一般</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1534" w:type="dxa"/>
            <w:vMerge w:val="restart"/>
            <w:vAlign w:val="center"/>
          </w:tcPr>
          <w:p>
            <w:pPr>
              <w:adjustRightInd w:val="0"/>
              <w:snapToGrid w:val="0"/>
              <w:rPr>
                <w:rFonts w:ascii="宋体"/>
                <w:bCs/>
                <w:sz w:val="18"/>
                <w:szCs w:val="18"/>
              </w:rPr>
            </w:pPr>
            <w:r>
              <w:rPr>
                <w:rFonts w:hint="eastAsia" w:ascii="宋体" w:hAnsi="宋体"/>
                <w:bCs/>
                <w:sz w:val="18"/>
                <w:szCs w:val="18"/>
              </w:rPr>
              <w:t>项目经费的使用与管理（</w:t>
            </w:r>
            <w:r>
              <w:rPr>
                <w:rFonts w:ascii="宋体" w:hAnsi="宋体"/>
                <w:bCs/>
                <w:sz w:val="18"/>
                <w:szCs w:val="18"/>
              </w:rPr>
              <w:t>15</w:t>
            </w:r>
            <w:r>
              <w:rPr>
                <w:rFonts w:hint="eastAsia" w:ascii="宋体" w:hAnsi="宋体"/>
                <w:bCs/>
                <w:sz w:val="18"/>
                <w:szCs w:val="18"/>
              </w:rPr>
              <w:t>）</w:t>
            </w:r>
          </w:p>
        </w:tc>
        <w:tc>
          <w:tcPr>
            <w:tcW w:w="1714" w:type="dxa"/>
            <w:vMerge w:val="restart"/>
            <w:vAlign w:val="center"/>
          </w:tcPr>
          <w:p>
            <w:pPr>
              <w:adjustRightInd w:val="0"/>
              <w:snapToGrid w:val="0"/>
              <w:rPr>
                <w:rFonts w:ascii="宋体"/>
                <w:bCs/>
                <w:sz w:val="18"/>
                <w:szCs w:val="18"/>
              </w:rPr>
            </w:pPr>
            <w:r>
              <w:rPr>
                <w:rFonts w:ascii="宋体" w:hAnsi="宋体"/>
                <w:bCs/>
                <w:sz w:val="18"/>
                <w:szCs w:val="18"/>
              </w:rPr>
              <w:t>13</w:t>
            </w:r>
            <w:r>
              <w:rPr>
                <w:rFonts w:hint="eastAsia" w:ascii="宋体" w:hAnsi="宋体"/>
                <w:bCs/>
                <w:sz w:val="18"/>
                <w:szCs w:val="18"/>
              </w:rPr>
              <w:t>、项目经费预算执行情况（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项目承担单位经费预算执行情况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预算执行情况好</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预算执行情况较好</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预算执行情况一般</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14</w:t>
            </w:r>
            <w:r>
              <w:rPr>
                <w:rFonts w:hint="eastAsia" w:ascii="宋体" w:hAnsi="宋体"/>
                <w:bCs/>
                <w:sz w:val="18"/>
                <w:szCs w:val="18"/>
              </w:rPr>
              <w:t>、自筹资金到位率（</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项目确定的自筹及其他资金的到位情况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w:t>
            </w:r>
            <w:r>
              <w:rPr>
                <w:rFonts w:ascii="宋体" w:hAnsi="宋体"/>
                <w:bCs/>
                <w:sz w:val="18"/>
                <w:szCs w:val="18"/>
              </w:rPr>
              <w:t>100%</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ascii="宋体" w:hAnsi="宋体"/>
                <w:bCs/>
                <w:sz w:val="18"/>
                <w:szCs w:val="18"/>
              </w:rPr>
              <w:t>50%</w:t>
            </w:r>
            <w:r>
              <w:rPr>
                <w:rFonts w:hint="eastAsia" w:ascii="宋体" w:hAnsi="宋体"/>
                <w:bCs/>
                <w:sz w:val="18"/>
                <w:szCs w:val="18"/>
              </w:rPr>
              <w:t>≤</w:t>
            </w:r>
            <w:r>
              <w:rPr>
                <w:rFonts w:ascii="宋体" w:hAnsi="宋体"/>
                <w:bCs/>
                <w:sz w:val="18"/>
                <w:szCs w:val="18"/>
              </w:rPr>
              <w:t>X&lt;100%</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ascii="宋体" w:hAnsi="宋体"/>
                <w:bCs/>
                <w:sz w:val="18"/>
                <w:szCs w:val="18"/>
              </w:rPr>
              <w:t>&lt;50%</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restart"/>
            <w:vAlign w:val="center"/>
          </w:tcPr>
          <w:p>
            <w:pPr>
              <w:adjustRightInd w:val="0"/>
              <w:snapToGrid w:val="0"/>
              <w:rPr>
                <w:rFonts w:ascii="宋体"/>
                <w:bCs/>
                <w:sz w:val="18"/>
                <w:szCs w:val="18"/>
              </w:rPr>
            </w:pPr>
            <w:r>
              <w:rPr>
                <w:rFonts w:ascii="宋体" w:hAnsi="宋体"/>
                <w:bCs/>
                <w:sz w:val="18"/>
                <w:szCs w:val="18"/>
              </w:rPr>
              <w:t>15</w:t>
            </w:r>
            <w:r>
              <w:rPr>
                <w:rFonts w:hint="eastAsia" w:ascii="宋体" w:hAnsi="宋体"/>
                <w:bCs/>
                <w:sz w:val="18"/>
                <w:szCs w:val="18"/>
              </w:rPr>
              <w:t>、项目经费管理情况（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pPr>
              <w:adjustRightInd w:val="0"/>
              <w:snapToGrid w:val="0"/>
              <w:rPr>
                <w:rFonts w:ascii="宋体"/>
                <w:bCs/>
                <w:sz w:val="18"/>
                <w:szCs w:val="18"/>
              </w:rPr>
            </w:pPr>
            <w:r>
              <w:rPr>
                <w:rFonts w:hint="eastAsia" w:ascii="宋体" w:hAnsi="宋体"/>
                <w:bCs/>
                <w:sz w:val="18"/>
                <w:szCs w:val="18"/>
              </w:rPr>
              <w:t>项目承担单位的科研经费管理情况</w:t>
            </w:r>
          </w:p>
        </w:tc>
        <w:tc>
          <w:tcPr>
            <w:tcW w:w="2268" w:type="dxa"/>
            <w:vAlign w:val="center"/>
          </w:tcPr>
          <w:p>
            <w:pPr>
              <w:adjustRightInd w:val="0"/>
              <w:snapToGrid w:val="0"/>
              <w:rPr>
                <w:rFonts w:ascii="宋体"/>
                <w:bCs/>
                <w:sz w:val="18"/>
                <w:szCs w:val="18"/>
              </w:rPr>
            </w:pPr>
            <w:r>
              <w:rPr>
                <w:rFonts w:hint="eastAsia" w:ascii="宋体" w:hAnsi="宋体"/>
                <w:bCs/>
                <w:sz w:val="18"/>
                <w:szCs w:val="18"/>
              </w:rPr>
              <w:t>经费管理情况好</w:t>
            </w:r>
          </w:p>
        </w:tc>
        <w:tc>
          <w:tcPr>
            <w:tcW w:w="709" w:type="dxa"/>
            <w:noWrap/>
            <w:vAlign w:val="center"/>
          </w:tcPr>
          <w:p>
            <w:pPr>
              <w:adjustRightInd w:val="0"/>
              <w:snapToGrid w:val="0"/>
              <w:rPr>
                <w:rFonts w:ascii="宋体"/>
                <w:bCs/>
                <w:sz w:val="18"/>
                <w:szCs w:val="18"/>
              </w:rPr>
            </w:pPr>
            <w:r>
              <w:rPr>
                <w:rFonts w:ascii="宋体" w:hAnsi="宋体"/>
                <w:bCs/>
                <w:sz w:val="18"/>
                <w:szCs w:val="18"/>
              </w:rPr>
              <w:t>5</w:t>
            </w:r>
          </w:p>
        </w:tc>
        <w:tc>
          <w:tcPr>
            <w:tcW w:w="640" w:type="dxa"/>
            <w:vMerge w:val="restart"/>
            <w:vAlign w:val="center"/>
          </w:tcPr>
          <w:p>
            <w:pPr>
              <w:adjustRightInd w:val="0"/>
              <w:snapToGrid w:val="0"/>
              <w:jc w:val="center"/>
              <w:rPr>
                <w:rFonts w:ascii="宋体"/>
                <w:bCs/>
                <w:sz w:val="18"/>
                <w:szCs w:val="18"/>
              </w:rPr>
            </w:pPr>
            <w:r>
              <w:rPr>
                <w:rFonts w:ascii="宋体" w:hAnsi="宋体"/>
                <w:bCs/>
                <w:sz w:val="18"/>
                <w:szCs w:val="18"/>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jc w:val="center"/>
              <w:rPr>
                <w:rFonts w:ascii="宋体"/>
                <w:bCs/>
                <w:sz w:val="18"/>
                <w:szCs w:val="18"/>
              </w:rPr>
            </w:pPr>
            <w:r>
              <w:rPr>
                <w:rFonts w:hint="eastAsia" w:ascii="宋体" w:hAnsi="宋体"/>
                <w:bCs/>
                <w:sz w:val="18"/>
                <w:szCs w:val="18"/>
              </w:rPr>
              <w:t>经费管理情况较好</w:t>
            </w:r>
          </w:p>
        </w:tc>
        <w:tc>
          <w:tcPr>
            <w:tcW w:w="709" w:type="dxa"/>
            <w:noWrap/>
            <w:vAlign w:val="center"/>
          </w:tcPr>
          <w:p>
            <w:pPr>
              <w:adjustRightInd w:val="0"/>
              <w:snapToGrid w:val="0"/>
              <w:rPr>
                <w:rFonts w:ascii="宋体"/>
                <w:bCs/>
                <w:sz w:val="18"/>
                <w:szCs w:val="18"/>
              </w:rPr>
            </w:pPr>
            <w:r>
              <w:rPr>
                <w:rFonts w:ascii="宋体" w:hAnsi="宋体"/>
                <w:bCs/>
                <w:sz w:val="18"/>
                <w:szCs w:val="18"/>
              </w:rPr>
              <w:t>4</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534" w:type="dxa"/>
            <w:vMerge w:val="continue"/>
            <w:vAlign w:val="center"/>
          </w:tcPr>
          <w:p>
            <w:pPr>
              <w:adjustRightInd w:val="0"/>
              <w:snapToGrid w:val="0"/>
              <w:rPr>
                <w:rFonts w:ascii="宋体"/>
                <w:bCs/>
                <w:sz w:val="18"/>
                <w:szCs w:val="18"/>
              </w:rPr>
            </w:pPr>
          </w:p>
        </w:tc>
        <w:tc>
          <w:tcPr>
            <w:tcW w:w="1714" w:type="dxa"/>
            <w:vMerge w:val="continue"/>
            <w:vAlign w:val="center"/>
          </w:tcPr>
          <w:p>
            <w:pPr>
              <w:adjustRightInd w:val="0"/>
              <w:snapToGrid w:val="0"/>
              <w:rPr>
                <w:rFonts w:ascii="宋体"/>
                <w:bCs/>
                <w:sz w:val="18"/>
                <w:szCs w:val="18"/>
              </w:rPr>
            </w:pPr>
          </w:p>
        </w:tc>
        <w:tc>
          <w:tcPr>
            <w:tcW w:w="1657" w:type="dxa"/>
            <w:vMerge w:val="continue"/>
            <w:vAlign w:val="center"/>
          </w:tcPr>
          <w:p>
            <w:pPr>
              <w:adjustRightInd w:val="0"/>
              <w:snapToGrid w:val="0"/>
              <w:rPr>
                <w:rFonts w:ascii="宋体"/>
                <w:bCs/>
                <w:sz w:val="18"/>
                <w:szCs w:val="18"/>
              </w:rPr>
            </w:pPr>
          </w:p>
        </w:tc>
        <w:tc>
          <w:tcPr>
            <w:tcW w:w="2268" w:type="dxa"/>
            <w:vAlign w:val="center"/>
          </w:tcPr>
          <w:p>
            <w:pPr>
              <w:adjustRightInd w:val="0"/>
              <w:snapToGrid w:val="0"/>
              <w:rPr>
                <w:rFonts w:ascii="宋体"/>
                <w:bCs/>
                <w:sz w:val="18"/>
                <w:szCs w:val="18"/>
              </w:rPr>
            </w:pPr>
            <w:r>
              <w:rPr>
                <w:rFonts w:hint="eastAsia" w:ascii="宋体" w:hAnsi="宋体"/>
                <w:bCs/>
                <w:sz w:val="18"/>
                <w:szCs w:val="18"/>
              </w:rPr>
              <w:t>经费管理情况一般</w:t>
            </w:r>
          </w:p>
        </w:tc>
        <w:tc>
          <w:tcPr>
            <w:tcW w:w="709" w:type="dxa"/>
            <w:noWrap/>
            <w:vAlign w:val="center"/>
          </w:tcPr>
          <w:p>
            <w:pPr>
              <w:adjustRightInd w:val="0"/>
              <w:snapToGrid w:val="0"/>
              <w:rPr>
                <w:rFonts w:ascii="宋体"/>
                <w:bCs/>
                <w:sz w:val="18"/>
                <w:szCs w:val="18"/>
              </w:rPr>
            </w:pPr>
            <w:r>
              <w:rPr>
                <w:rFonts w:ascii="宋体" w:hAnsi="宋体"/>
                <w:bCs/>
                <w:sz w:val="18"/>
                <w:szCs w:val="18"/>
              </w:rPr>
              <w:t>0-3</w:t>
            </w:r>
          </w:p>
        </w:tc>
        <w:tc>
          <w:tcPr>
            <w:tcW w:w="640" w:type="dxa"/>
            <w:vMerge w:val="continue"/>
            <w:vAlign w:val="center"/>
          </w:tcPr>
          <w:p>
            <w:pPr>
              <w:adjustRightInd w:val="0"/>
              <w:snapToGrid w:val="0"/>
              <w:jc w:val="center"/>
              <w:rPr>
                <w:rFonts w:ascii="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882" w:type="dxa"/>
            <w:gridSpan w:val="5"/>
            <w:tcBorders>
              <w:bottom w:val="single" w:color="auto" w:sz="8" w:space="0"/>
            </w:tcBorders>
            <w:vAlign w:val="center"/>
          </w:tcPr>
          <w:p>
            <w:pPr>
              <w:adjustRightInd w:val="0"/>
              <w:snapToGrid w:val="0"/>
              <w:jc w:val="center"/>
              <w:rPr>
                <w:rFonts w:ascii="宋体"/>
                <w:bCs/>
                <w:sz w:val="18"/>
                <w:szCs w:val="18"/>
              </w:rPr>
            </w:pPr>
            <w:r>
              <w:rPr>
                <w:rFonts w:hint="eastAsia" w:ascii="宋体" w:hAnsi="宋体"/>
                <w:bCs/>
                <w:sz w:val="18"/>
                <w:szCs w:val="18"/>
              </w:rPr>
              <w:t>总得分</w:t>
            </w:r>
          </w:p>
        </w:tc>
        <w:tc>
          <w:tcPr>
            <w:tcW w:w="640" w:type="dxa"/>
            <w:tcBorders>
              <w:bottom w:val="single" w:color="auto" w:sz="8" w:space="0"/>
            </w:tcBorders>
            <w:vAlign w:val="center"/>
          </w:tcPr>
          <w:p>
            <w:pPr>
              <w:adjustRightInd w:val="0"/>
              <w:snapToGrid w:val="0"/>
              <w:jc w:val="center"/>
              <w:rPr>
                <w:rFonts w:ascii="宋体"/>
                <w:bCs/>
                <w:sz w:val="18"/>
                <w:szCs w:val="18"/>
              </w:rPr>
            </w:pPr>
            <w:r>
              <w:rPr>
                <w:rFonts w:ascii="宋体" w:hAnsi="宋体"/>
                <w:bCs/>
                <w:sz w:val="18"/>
                <w:szCs w:val="18"/>
              </w:rPr>
              <w:t>87</w:t>
            </w:r>
          </w:p>
        </w:tc>
      </w:tr>
    </w:tbl>
    <w:p>
      <w:pPr>
        <w:adjustRightInd w:val="0"/>
        <w:snapToGrid w:val="0"/>
      </w:pPr>
    </w:p>
    <w:p>
      <w:pPr>
        <w:pStyle w:val="25"/>
        <w:spacing w:line="360" w:lineRule="auto"/>
        <w:ind w:firstLine="480" w:firstLineChars="150"/>
        <w:rPr>
          <w:rFonts w:ascii="仿宋" w:hAnsi="仿宋" w:eastAsia="仿宋"/>
          <w:sz w:val="32"/>
          <w:szCs w:val="32"/>
        </w:rPr>
      </w:pPr>
      <w:r>
        <w:rPr>
          <w:rFonts w:hint="eastAsia" w:ascii="仿宋" w:hAnsi="仿宋" w:eastAsia="仿宋"/>
          <w:sz w:val="32"/>
          <w:szCs w:val="32"/>
        </w:rPr>
        <w:t>（二）绩效分析</w:t>
      </w:r>
    </w:p>
    <w:p>
      <w:pPr>
        <w:pStyle w:val="25"/>
        <w:spacing w:line="360" w:lineRule="auto"/>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、项目决策</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我市钛资源储量丰富，占比世界第一，作为全国区域产能最大的钛原料、钛白粉生产基地，已基本形成了全流程的钛产业链，</w:t>
      </w:r>
      <w:r>
        <w:rPr>
          <w:rFonts w:ascii="仿宋" w:hAnsi="仿宋" w:eastAsia="仿宋"/>
          <w:sz w:val="32"/>
          <w:szCs w:val="32"/>
        </w:rPr>
        <w:t>2018</w:t>
      </w:r>
      <w:r>
        <w:rPr>
          <w:rFonts w:hint="eastAsia" w:ascii="仿宋" w:hAnsi="仿宋" w:eastAsia="仿宋"/>
          <w:sz w:val="32"/>
          <w:szCs w:val="32"/>
        </w:rPr>
        <w:t>年钛白粉产量</w:t>
      </w:r>
      <w:r>
        <w:rPr>
          <w:rFonts w:ascii="仿宋" w:hAnsi="仿宋" w:eastAsia="仿宋"/>
          <w:sz w:val="32"/>
          <w:szCs w:val="32"/>
        </w:rPr>
        <w:t>50.3</w:t>
      </w:r>
      <w:r>
        <w:rPr>
          <w:rFonts w:hint="eastAsia" w:ascii="仿宋" w:hAnsi="仿宋" w:eastAsia="仿宋"/>
          <w:sz w:val="32"/>
          <w:szCs w:val="32"/>
        </w:rPr>
        <w:t>万吨（占全国产量的</w:t>
      </w:r>
      <w:r>
        <w:rPr>
          <w:rFonts w:ascii="仿宋" w:hAnsi="仿宋" w:eastAsia="仿宋"/>
          <w:sz w:val="32"/>
          <w:szCs w:val="32"/>
        </w:rPr>
        <w:t>17.03%</w:t>
      </w:r>
      <w:r>
        <w:rPr>
          <w:rFonts w:hint="eastAsia" w:ascii="仿宋" w:hAnsi="仿宋" w:eastAsia="仿宋"/>
          <w:sz w:val="32"/>
          <w:szCs w:val="32"/>
        </w:rPr>
        <w:t>），产值达</w:t>
      </w:r>
      <w:r>
        <w:rPr>
          <w:rFonts w:ascii="仿宋" w:hAnsi="仿宋" w:eastAsia="仿宋"/>
          <w:sz w:val="32"/>
          <w:szCs w:val="32"/>
        </w:rPr>
        <w:t>70</w:t>
      </w:r>
      <w:r>
        <w:rPr>
          <w:rFonts w:hint="eastAsia" w:ascii="仿宋" w:hAnsi="仿宋" w:eastAsia="仿宋"/>
          <w:sz w:val="32"/>
          <w:szCs w:val="32"/>
        </w:rPr>
        <w:t>亿元，占本地区钒钛工业产值（</w:t>
      </w:r>
      <w:r>
        <w:rPr>
          <w:rFonts w:ascii="仿宋" w:hAnsi="仿宋" w:eastAsia="仿宋"/>
          <w:sz w:val="32"/>
          <w:szCs w:val="32"/>
        </w:rPr>
        <w:t>375.3</w:t>
      </w:r>
      <w:r>
        <w:rPr>
          <w:rFonts w:hint="eastAsia" w:ascii="仿宋" w:hAnsi="仿宋" w:eastAsia="仿宋"/>
          <w:sz w:val="32"/>
          <w:szCs w:val="32"/>
        </w:rPr>
        <w:t>亿元）的</w:t>
      </w:r>
      <w:r>
        <w:rPr>
          <w:rFonts w:ascii="仿宋" w:hAnsi="仿宋" w:eastAsia="仿宋"/>
          <w:sz w:val="32"/>
          <w:szCs w:val="32"/>
        </w:rPr>
        <w:t>18.65%</w:t>
      </w:r>
      <w:r>
        <w:rPr>
          <w:rFonts w:hint="eastAsia" w:ascii="仿宋" w:hAnsi="仿宋" w:eastAsia="仿宋"/>
          <w:sz w:val="32"/>
          <w:szCs w:val="32"/>
        </w:rPr>
        <w:t>，目前全部采用硫酸法工艺生产钛白粉，广泛用于涂料、塑料、油漆、造纸等领域，已成为我市的支柱产业之一，在产生显著经济效益的同时，有两个问题始终困扰着钛白产业的进一步发展，一是难以处理的污染问题，其中以钛白废酸和副产品绿矾为主要代表，一般每生产</w:t>
      </w:r>
      <w:r>
        <w:rPr>
          <w:rFonts w:ascii="仿宋" w:hAnsi="仿宋" w:eastAsia="仿宋"/>
          <w:sz w:val="32"/>
          <w:szCs w:val="32"/>
        </w:rPr>
        <w:t>1</w:t>
      </w:r>
      <w:r>
        <w:rPr>
          <w:rFonts w:hint="eastAsia" w:ascii="仿宋" w:hAnsi="仿宋" w:eastAsia="仿宋"/>
          <w:sz w:val="32"/>
          <w:szCs w:val="32"/>
        </w:rPr>
        <w:t>吨钛白粉，将产生约</w:t>
      </w:r>
      <w:r>
        <w:rPr>
          <w:rFonts w:ascii="仿宋" w:hAnsi="仿宋" w:eastAsia="仿宋"/>
          <w:sz w:val="32"/>
          <w:szCs w:val="32"/>
        </w:rPr>
        <w:t>3</w:t>
      </w:r>
      <w:r>
        <w:rPr>
          <w:rFonts w:hint="eastAsia" w:ascii="仿宋" w:hAnsi="仿宋" w:eastAsia="仿宋"/>
          <w:sz w:val="32"/>
          <w:szCs w:val="32"/>
        </w:rPr>
        <w:t>吨副产物绿矾和</w:t>
      </w:r>
      <w:r>
        <w:rPr>
          <w:rFonts w:ascii="仿宋" w:hAnsi="仿宋" w:eastAsia="仿宋"/>
          <w:sz w:val="32"/>
          <w:szCs w:val="32"/>
        </w:rPr>
        <w:t>8</w:t>
      </w:r>
      <w:r>
        <w:rPr>
          <w:rFonts w:hint="eastAsia" w:ascii="仿宋" w:hAnsi="仿宋" w:eastAsia="仿宋"/>
          <w:sz w:val="32"/>
          <w:szCs w:val="32"/>
        </w:rPr>
        <w:t>吨硫酸废酸。钛白生产过程中所产生的副产物绿矾，因为其中杂质含量高，组份复杂，除了极少部分用作土壤改良剂、自来水的净化剂、制造氧化铁颜料外，绝大部分采用堆积和掩埋的方式处理，这既带来了严重的环境污染问题，又浪费的大量的资源。</w:t>
      </w:r>
      <w:r>
        <w:rPr>
          <w:rFonts w:ascii="仿宋" w:eastAsia="仿宋"/>
          <w:sz w:val="32"/>
          <w:szCs w:val="32"/>
        </w:rPr>
        <w:t> </w:t>
      </w:r>
      <w:r>
        <w:rPr>
          <w:rFonts w:hint="eastAsia" w:ascii="仿宋" w:hAnsi="仿宋" w:eastAsia="仿宋"/>
          <w:sz w:val="32"/>
          <w:szCs w:val="32"/>
        </w:rPr>
        <w:t>二是钛白产品的产业链延伸问题，受市场和技术开发能力的限制，我市钛白产品绝大部分为初级的金红石或锐钛型涂料钛白，仅有极少部分为纳米特种钛白或特种催化钛白，产业结构单一，抗风险能力差，急需发展钛白功能材料为代表的钛白深加工产业，提升我市钛白行业整体技术水平与规模。</w:t>
      </w:r>
    </w:p>
    <w:p>
      <w:pPr>
        <w:pStyle w:val="10"/>
        <w:shd w:val="clear" w:color="auto" w:fill="FFFFFF"/>
        <w:spacing w:line="360" w:lineRule="auto"/>
        <w:ind w:firstLine="540"/>
        <w:rPr>
          <w:rFonts w:ascii="仿宋" w:hAnsi="仿宋" w:eastAsia="仿宋"/>
          <w:sz w:val="32"/>
          <w:szCs w:val="32"/>
        </w:rPr>
      </w:pPr>
      <w:r>
        <w:rPr>
          <w:rFonts w:hint="eastAsia" w:ascii="仿宋" w:hAnsi="仿宋" w:eastAsia="仿宋"/>
          <w:sz w:val="32"/>
          <w:szCs w:val="32"/>
        </w:rPr>
        <w:t>磷酸铁锂</w:t>
      </w:r>
      <w:r>
        <w:rPr>
          <w:rFonts w:ascii="仿宋" w:hAnsi="仿宋" w:eastAsia="仿宋"/>
          <w:sz w:val="32"/>
          <w:szCs w:val="32"/>
        </w:rPr>
        <w:t>(LFP)</w:t>
      </w:r>
      <w:r>
        <w:rPr>
          <w:rFonts w:hint="eastAsia" w:ascii="仿宋" w:hAnsi="仿宋" w:eastAsia="仿宋"/>
          <w:sz w:val="32"/>
          <w:szCs w:val="32"/>
        </w:rPr>
        <w:t>正极材料实际比容量可超过</w:t>
      </w:r>
      <w:r>
        <w:rPr>
          <w:rFonts w:ascii="仿宋" w:hAnsi="仿宋" w:eastAsia="仿宋"/>
          <w:sz w:val="32"/>
          <w:szCs w:val="32"/>
        </w:rPr>
        <w:t>140 mAh/g</w:t>
      </w:r>
      <w:r>
        <w:rPr>
          <w:rFonts w:hint="eastAsia" w:ascii="仿宋" w:hAnsi="仿宋" w:eastAsia="仿宋"/>
          <w:sz w:val="32"/>
          <w:szCs w:val="32"/>
        </w:rPr>
        <w:t>，成本较三元电池便宜</w:t>
      </w:r>
      <w:r>
        <w:rPr>
          <w:rFonts w:ascii="仿宋" w:hAnsi="仿宋" w:eastAsia="仿宋"/>
          <w:sz w:val="32"/>
          <w:szCs w:val="32"/>
        </w:rPr>
        <w:t>10%</w:t>
      </w:r>
      <w:r>
        <w:rPr>
          <w:rFonts w:hint="eastAsia" w:ascii="仿宋" w:hAnsi="仿宋" w:eastAsia="仿宋"/>
          <w:sz w:val="32"/>
          <w:szCs w:val="32"/>
        </w:rPr>
        <w:t>到</w:t>
      </w:r>
      <w:r>
        <w:rPr>
          <w:rFonts w:ascii="仿宋" w:hAnsi="仿宋" w:eastAsia="仿宋"/>
          <w:sz w:val="32"/>
          <w:szCs w:val="32"/>
        </w:rPr>
        <w:t>15%</w:t>
      </w:r>
      <w:r>
        <w:rPr>
          <w:rFonts w:hint="eastAsia" w:ascii="仿宋" w:hAnsi="仿宋" w:eastAsia="仿宋"/>
          <w:sz w:val="32"/>
          <w:szCs w:val="32"/>
        </w:rPr>
        <w:t>，同时也是目前最安全的锂离子电池正极材料，不含任何对人体有害的重金属元素，循环寿命超过</w:t>
      </w:r>
      <w:r>
        <w:rPr>
          <w:rFonts w:ascii="仿宋" w:hAnsi="仿宋" w:eastAsia="仿宋"/>
          <w:sz w:val="32"/>
          <w:szCs w:val="32"/>
        </w:rPr>
        <w:t>20000</w:t>
      </w:r>
      <w:r>
        <w:rPr>
          <w:rFonts w:hint="eastAsia" w:ascii="仿宋" w:hAnsi="仿宋" w:eastAsia="仿宋"/>
          <w:sz w:val="32"/>
          <w:szCs w:val="32"/>
        </w:rPr>
        <w:t>次以上，普通车型通过更换铁锂电池可获得</w:t>
      </w:r>
      <w:r>
        <w:rPr>
          <w:rFonts w:ascii="仿宋" w:hAnsi="仿宋" w:eastAsia="仿宋"/>
          <w:sz w:val="32"/>
          <w:szCs w:val="32"/>
        </w:rPr>
        <w:t>0.5</w:t>
      </w:r>
      <w:r>
        <w:rPr>
          <w:rFonts w:hint="eastAsia" w:ascii="仿宋" w:hAnsi="仿宋" w:eastAsia="仿宋"/>
          <w:sz w:val="32"/>
          <w:szCs w:val="32"/>
        </w:rPr>
        <w:t>到</w:t>
      </w:r>
      <w:r>
        <w:rPr>
          <w:rFonts w:ascii="仿宋" w:hAnsi="仿宋" w:eastAsia="仿宋"/>
          <w:sz w:val="32"/>
          <w:szCs w:val="32"/>
        </w:rPr>
        <w:t>0.8</w:t>
      </w:r>
      <w:r>
        <w:rPr>
          <w:rFonts w:hint="eastAsia" w:ascii="仿宋" w:hAnsi="仿宋" w:eastAsia="仿宋"/>
          <w:sz w:val="32"/>
          <w:szCs w:val="32"/>
        </w:rPr>
        <w:t>万元的成本节约。所以无论在性能、安全，还是在价格上，铁锂电池都具有一定的吸引力，其容量与安全性能对比</w:t>
      </w:r>
      <w:r>
        <w:rPr>
          <w:rFonts w:ascii="仿宋" w:hAnsi="仿宋" w:eastAsia="仿宋"/>
          <w:sz w:val="32"/>
          <w:szCs w:val="32"/>
        </w:rPr>
        <w:t>NCM</w:t>
      </w:r>
      <w:r>
        <w:rPr>
          <w:rFonts w:hint="eastAsia" w:ascii="仿宋" w:hAnsi="仿宋" w:eastAsia="仿宋"/>
          <w:sz w:val="32"/>
          <w:szCs w:val="32"/>
        </w:rPr>
        <w:t>三元材料如表</w:t>
      </w:r>
      <w:r>
        <w:rPr>
          <w:rFonts w:ascii="仿宋" w:hAnsi="仿宋" w:eastAsia="仿宋"/>
          <w:sz w:val="32"/>
          <w:szCs w:val="32"/>
        </w:rPr>
        <w:t>1</w:t>
      </w:r>
      <w:r>
        <w:rPr>
          <w:rFonts w:hint="eastAsia" w:ascii="仿宋" w:hAnsi="仿宋" w:eastAsia="仿宋"/>
          <w:sz w:val="32"/>
          <w:szCs w:val="32"/>
        </w:rPr>
        <w:t>所示。</w:t>
      </w:r>
    </w:p>
    <w:p>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p>
    <w:p>
      <w:pPr>
        <w:shd w:val="clear" w:color="auto" w:fill="FFFFFF"/>
        <w:wordWrap w:val="0"/>
        <w:spacing w:line="360" w:lineRule="auto"/>
        <w:rPr>
          <w:rFonts w:ascii="仿宋" w:hAnsi="仿宋" w:eastAsia="仿宋"/>
          <w:sz w:val="32"/>
          <w:szCs w:val="32"/>
        </w:rPr>
      </w:pPr>
    </w:p>
    <w:p>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表</w:t>
      </w:r>
      <w:r>
        <w:rPr>
          <w:rFonts w:ascii="仿宋" w:hAnsi="仿宋" w:eastAsia="仿宋"/>
          <w:sz w:val="32"/>
          <w:szCs w:val="32"/>
        </w:rPr>
        <w:t>1.</w:t>
      </w:r>
      <w:r>
        <w:rPr>
          <w:rFonts w:hint="eastAsia" w:ascii="仿宋" w:hAnsi="仿宋" w:eastAsia="仿宋"/>
          <w:sz w:val="32"/>
          <w:szCs w:val="32"/>
        </w:rPr>
        <w:t>锂电主流正极材料性能对比表</w:t>
      </w:r>
    </w:p>
    <w:p>
      <w:pPr>
        <w:shd w:val="clear" w:color="auto" w:fill="FFFFFF"/>
        <w:wordWrap w:val="0"/>
        <w:spacing w:line="360" w:lineRule="auto"/>
        <w:ind w:firstLine="420" w:firstLineChars="200"/>
        <w:rPr>
          <w:rFonts w:ascii="仿宋" w:hAnsi="仿宋" w:eastAsia="仿宋"/>
          <w:sz w:val="24"/>
        </w:rPr>
      </w:pPr>
      <w:r>
        <w:rPr>
          <w:color w:val="404040"/>
        </w:rPr>
        <w:drawing>
          <wp:inline distT="0" distB="0" distL="114300" distR="114300">
            <wp:extent cx="5248275" cy="2581275"/>
            <wp:effectExtent l="0" t="0" r="9525" b="9525"/>
            <wp:docPr id="16" name="图片 8" descr="http://5b0988e595225.cdn.sohucs.com/images/20190528/dacc88a91767476b910892461e908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http://5b0988e595225.cdn.sohucs.com/images/20190528/dacc88a91767476b910892461e908774.JPG"/>
                    <pic:cNvPicPr>
                      <a:picLocks noChangeAspect="1"/>
                    </pic:cNvPicPr>
                  </pic:nvPicPr>
                  <pic:blipFill>
                    <a:blip r:embed="rId21"/>
                    <a:stretch>
                      <a:fillRect/>
                    </a:stretch>
                  </pic:blipFill>
                  <pic:spPr>
                    <a:xfrm>
                      <a:off x="0" y="0"/>
                      <a:ext cx="5248275" cy="2581275"/>
                    </a:xfrm>
                    <a:prstGeom prst="rect">
                      <a:avLst/>
                    </a:prstGeom>
                    <a:noFill/>
                    <a:ln>
                      <a:noFill/>
                    </a:ln>
                  </pic:spPr>
                </pic:pic>
              </a:graphicData>
            </a:graphic>
          </wp:inline>
        </w:drawing>
      </w:r>
    </w:p>
    <w:p>
      <w:pPr>
        <w:pStyle w:val="10"/>
        <w:shd w:val="clear" w:color="auto" w:fill="FFFFFF"/>
        <w:spacing w:line="360" w:lineRule="auto"/>
        <w:ind w:firstLine="540"/>
        <w:rPr>
          <w:rFonts w:ascii="仿宋" w:hAnsi="仿宋" w:eastAsia="仿宋"/>
          <w:sz w:val="32"/>
          <w:szCs w:val="32"/>
        </w:rPr>
      </w:pPr>
      <w:r>
        <w:rPr>
          <w:rFonts w:hint="eastAsia" w:ascii="仿宋" w:hAnsi="仿宋" w:eastAsia="仿宋"/>
          <w:sz w:val="32"/>
          <w:szCs w:val="32"/>
        </w:rPr>
        <w:t>从工信部发布的</w:t>
      </w:r>
      <w:r>
        <w:rPr>
          <w:rFonts w:ascii="仿宋" w:hAnsi="仿宋" w:eastAsia="仿宋"/>
          <w:sz w:val="32"/>
          <w:szCs w:val="32"/>
        </w:rPr>
        <w:t>2019</w:t>
      </w:r>
      <w:r>
        <w:rPr>
          <w:rFonts w:hint="eastAsia" w:ascii="仿宋" w:hAnsi="仿宋" w:eastAsia="仿宋"/>
          <w:sz w:val="32"/>
          <w:szCs w:val="32"/>
        </w:rPr>
        <w:t>年前几批新能源汽车推广应用推荐车型目录来看，新车搭载磷酸铁锂电池的乘用车比例明显提升。其中，</w:t>
      </w:r>
      <w:r>
        <w:rPr>
          <w:rFonts w:ascii="仿宋" w:hAnsi="仿宋" w:eastAsia="仿宋"/>
          <w:sz w:val="32"/>
          <w:szCs w:val="32"/>
        </w:rPr>
        <w:t>2019</w:t>
      </w:r>
      <w:r>
        <w:rPr>
          <w:rFonts w:hint="eastAsia" w:ascii="仿宋" w:hAnsi="仿宋" w:eastAsia="仿宋"/>
          <w:sz w:val="32"/>
          <w:szCs w:val="32"/>
        </w:rPr>
        <w:t>年第</w:t>
      </w:r>
      <w:r>
        <w:rPr>
          <w:rFonts w:ascii="仿宋" w:hAnsi="仿宋" w:eastAsia="仿宋"/>
          <w:sz w:val="32"/>
          <w:szCs w:val="32"/>
        </w:rPr>
        <w:t>2</w:t>
      </w:r>
      <w:r>
        <w:rPr>
          <w:rFonts w:hint="eastAsia" w:ascii="仿宋" w:hAnsi="仿宋" w:eastAsia="仿宋"/>
          <w:sz w:val="32"/>
          <w:szCs w:val="32"/>
        </w:rPr>
        <w:t>批</w:t>
      </w:r>
      <w:r>
        <w:rPr>
          <w:rFonts w:ascii="仿宋" w:hAnsi="仿宋" w:eastAsia="仿宋"/>
          <w:sz w:val="32"/>
          <w:szCs w:val="32"/>
        </w:rPr>
        <w:t>28</w:t>
      </w:r>
      <w:r>
        <w:rPr>
          <w:rFonts w:hint="eastAsia" w:ascii="仿宋" w:hAnsi="仿宋" w:eastAsia="仿宋"/>
          <w:sz w:val="32"/>
          <w:szCs w:val="32"/>
        </w:rPr>
        <w:t>款乘用车中，有</w:t>
      </w:r>
      <w:r>
        <w:rPr>
          <w:rFonts w:ascii="仿宋" w:hAnsi="仿宋" w:eastAsia="仿宋"/>
          <w:sz w:val="32"/>
          <w:szCs w:val="32"/>
        </w:rPr>
        <w:t>8</w:t>
      </w:r>
      <w:r>
        <w:rPr>
          <w:rFonts w:hint="eastAsia" w:ascii="仿宋" w:hAnsi="仿宋" w:eastAsia="仿宋"/>
          <w:sz w:val="32"/>
          <w:szCs w:val="32"/>
        </w:rPr>
        <w:t>款搭载了磷酸铁锂，占比</w:t>
      </w:r>
      <w:r>
        <w:rPr>
          <w:rFonts w:ascii="仿宋" w:hAnsi="仿宋" w:eastAsia="仿宋"/>
          <w:sz w:val="32"/>
          <w:szCs w:val="32"/>
        </w:rPr>
        <w:t>28.6%;</w:t>
      </w:r>
      <w:r>
        <w:rPr>
          <w:rFonts w:hint="eastAsia" w:ascii="仿宋" w:hAnsi="仿宋" w:eastAsia="仿宋"/>
          <w:sz w:val="32"/>
          <w:szCs w:val="32"/>
        </w:rPr>
        <w:t>而</w:t>
      </w:r>
      <w:r>
        <w:rPr>
          <w:rFonts w:ascii="仿宋" w:hAnsi="仿宋" w:eastAsia="仿宋"/>
          <w:sz w:val="32"/>
          <w:szCs w:val="32"/>
        </w:rPr>
        <w:t>2017</w:t>
      </w:r>
      <w:r>
        <w:rPr>
          <w:rFonts w:hint="eastAsia" w:ascii="仿宋" w:hAnsi="仿宋" w:eastAsia="仿宋"/>
          <w:sz w:val="32"/>
          <w:szCs w:val="32"/>
        </w:rPr>
        <w:t>和</w:t>
      </w:r>
      <w:r>
        <w:rPr>
          <w:rFonts w:ascii="仿宋" w:hAnsi="仿宋" w:eastAsia="仿宋"/>
          <w:sz w:val="32"/>
          <w:szCs w:val="32"/>
        </w:rPr>
        <w:t>2018</w:t>
      </w:r>
      <w:r>
        <w:rPr>
          <w:rFonts w:hint="eastAsia" w:ascii="仿宋" w:hAnsi="仿宋" w:eastAsia="仿宋"/>
          <w:sz w:val="32"/>
          <w:szCs w:val="32"/>
        </w:rPr>
        <w:t>年，这一比例仅为</w:t>
      </w:r>
      <w:r>
        <w:rPr>
          <w:rFonts w:ascii="仿宋" w:hAnsi="仿宋" w:eastAsia="仿宋"/>
          <w:sz w:val="32"/>
          <w:szCs w:val="32"/>
        </w:rPr>
        <w:t>6.2%</w:t>
      </w:r>
      <w:r>
        <w:rPr>
          <w:rFonts w:hint="eastAsia" w:ascii="仿宋" w:hAnsi="仿宋" w:eastAsia="仿宋"/>
          <w:sz w:val="32"/>
          <w:szCs w:val="32"/>
        </w:rPr>
        <w:t>和</w:t>
      </w:r>
      <w:r>
        <w:rPr>
          <w:rFonts w:ascii="仿宋" w:hAnsi="仿宋" w:eastAsia="仿宋"/>
          <w:sz w:val="32"/>
          <w:szCs w:val="32"/>
        </w:rPr>
        <w:t>12.3%</w:t>
      </w:r>
      <w:r>
        <w:rPr>
          <w:rFonts w:hint="eastAsia" w:ascii="仿宋" w:hAnsi="仿宋" w:eastAsia="仿宋"/>
          <w:sz w:val="32"/>
          <w:szCs w:val="32"/>
        </w:rPr>
        <w:t>。</w:t>
      </w:r>
      <w:r>
        <w:rPr>
          <w:rFonts w:ascii="仿宋" w:hAnsi="仿宋" w:eastAsia="仿宋"/>
          <w:sz w:val="32"/>
          <w:szCs w:val="32"/>
        </w:rPr>
        <w:t>2018</w:t>
      </w:r>
      <w:r>
        <w:rPr>
          <w:rFonts w:hint="eastAsia" w:ascii="仿宋" w:hAnsi="仿宋" w:eastAsia="仿宋"/>
          <w:sz w:val="32"/>
          <w:szCs w:val="32"/>
        </w:rPr>
        <w:t>年国内磷酸铁锂材料产量</w:t>
      </w:r>
      <w:r>
        <w:rPr>
          <w:rFonts w:ascii="仿宋" w:hAnsi="仿宋" w:eastAsia="仿宋"/>
          <w:sz w:val="32"/>
          <w:szCs w:val="32"/>
        </w:rPr>
        <w:t>6.91</w:t>
      </w:r>
      <w:r>
        <w:rPr>
          <w:rFonts w:hint="eastAsia" w:ascii="仿宋" w:hAnsi="仿宋" w:eastAsia="仿宋"/>
          <w:sz w:val="32"/>
          <w:szCs w:val="32"/>
        </w:rPr>
        <w:t>万吨，消耗量</w:t>
      </w:r>
      <w:r>
        <w:rPr>
          <w:rFonts w:ascii="仿宋" w:hAnsi="仿宋" w:eastAsia="仿宋"/>
          <w:sz w:val="32"/>
          <w:szCs w:val="32"/>
        </w:rPr>
        <w:t>7.12</w:t>
      </w:r>
      <w:r>
        <w:rPr>
          <w:rFonts w:hint="eastAsia" w:ascii="仿宋" w:hAnsi="仿宋" w:eastAsia="仿宋"/>
          <w:sz w:val="32"/>
          <w:szCs w:val="32"/>
        </w:rPr>
        <w:t>万吨。考虑新新能源汽车的大规模增长，</w:t>
      </w:r>
      <w:r>
        <w:rPr>
          <w:rFonts w:ascii="仿宋" w:hAnsi="仿宋" w:eastAsia="仿宋"/>
          <w:sz w:val="32"/>
          <w:szCs w:val="32"/>
        </w:rPr>
        <w:t>2019</w:t>
      </w:r>
      <w:r>
        <w:rPr>
          <w:rFonts w:hint="eastAsia" w:ascii="仿宋" w:hAnsi="仿宋" w:eastAsia="仿宋"/>
          <w:sz w:val="32"/>
          <w:szCs w:val="32"/>
        </w:rPr>
        <w:t>预期增长</w:t>
      </w:r>
      <w:r>
        <w:rPr>
          <w:rFonts w:ascii="仿宋" w:hAnsi="仿宋" w:eastAsia="仿宋"/>
          <w:sz w:val="32"/>
          <w:szCs w:val="32"/>
        </w:rPr>
        <w:t>1.2</w:t>
      </w:r>
      <w:r>
        <w:rPr>
          <w:rFonts w:hint="eastAsia" w:ascii="仿宋" w:hAnsi="仿宋" w:eastAsia="仿宋"/>
          <w:sz w:val="32"/>
          <w:szCs w:val="32"/>
        </w:rPr>
        <w:t>万吨，发展潜力巨大。目前</w:t>
      </w:r>
      <w:r>
        <w:rPr>
          <w:rFonts w:ascii="仿宋" w:hAnsi="仿宋" w:eastAsia="仿宋"/>
          <w:sz w:val="32"/>
          <w:szCs w:val="32"/>
        </w:rPr>
        <w:t>LiFePO</w:t>
      </w:r>
      <w:r>
        <w:rPr>
          <w:rFonts w:ascii="仿宋" w:hAnsi="仿宋" w:eastAsia="仿宋"/>
          <w:sz w:val="32"/>
          <w:szCs w:val="32"/>
          <w:vertAlign w:val="subscript"/>
        </w:rPr>
        <w:t>4</w:t>
      </w:r>
      <w:r>
        <w:rPr>
          <w:rFonts w:hint="eastAsia" w:ascii="仿宋" w:hAnsi="仿宋" w:eastAsia="仿宋"/>
          <w:sz w:val="32"/>
          <w:szCs w:val="32"/>
        </w:rPr>
        <w:t>材料成熟的合成路线图</w:t>
      </w:r>
      <w:r>
        <w:rPr>
          <w:rFonts w:ascii="仿宋" w:hAnsi="仿宋" w:eastAsia="仿宋"/>
          <w:sz w:val="32"/>
          <w:szCs w:val="32"/>
        </w:rPr>
        <w:t>1</w:t>
      </w:r>
      <w:r>
        <w:rPr>
          <w:rFonts w:hint="eastAsia" w:ascii="仿宋" w:hAnsi="仿宋" w:eastAsia="仿宋"/>
          <w:sz w:val="32"/>
          <w:szCs w:val="32"/>
        </w:rPr>
        <w:t>所示。</w:t>
      </w:r>
    </w:p>
    <w:p>
      <w:pPr>
        <w:shd w:val="clear" w:color="auto" w:fill="FFFFFF"/>
        <w:wordWrap w:val="0"/>
        <w:spacing w:line="360" w:lineRule="auto"/>
        <w:ind w:firstLine="420" w:firstLineChars="200"/>
        <w:rPr>
          <w:rFonts w:ascii="仿宋" w:hAnsi="仿宋" w:eastAsia="仿宋"/>
          <w:sz w:val="24"/>
        </w:rPr>
      </w:pPr>
      <w: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3942715</wp:posOffset>
                </wp:positionV>
                <wp:extent cx="3539490" cy="370205"/>
                <wp:effectExtent l="0" t="0" r="0" b="0"/>
                <wp:wrapNone/>
                <wp:docPr id="28" name="矩形 28"/>
                <wp:cNvGraphicFramePr/>
                <a:graphic xmlns:a="http://schemas.openxmlformats.org/drawingml/2006/main">
                  <a:graphicData uri="http://schemas.microsoft.com/office/word/2010/wordprocessingShape">
                    <wps:wsp>
                      <wps:cNvSpPr/>
                      <wps:spPr>
                        <a:xfrm>
                          <a:off x="0" y="0"/>
                          <a:ext cx="3539490" cy="370205"/>
                        </a:xfrm>
                        <a:prstGeom prst="rect">
                          <a:avLst/>
                        </a:prstGeom>
                        <a:noFill/>
                        <a:ln>
                          <a:noFill/>
                        </a:ln>
                        <a:effectLst/>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图</w:t>
                            </w:r>
                            <w:r>
                              <w:t xml:space="preserve">1. </w:t>
                            </w:r>
                            <w:r>
                              <w:rPr>
                                <w:rFonts w:hint="eastAsia"/>
                              </w:rPr>
                              <w:t>铁原料生产工艺简图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45pt;margin-top:310.45pt;height:29.15pt;width:278.7pt;z-index:251659264;v-text-anchor:middle;mso-width-relative:page;mso-height-relative:page;" filled="f" stroked="f" coordsize="21600,21600" o:gfxdata="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h38hNgAAAALAQAADwAAAAAAAAABACAAAAAiAAAAZHJz&#10;L2Rvd25yZXYueG1sUEsBAhQAFAAAAAgAh07iQCjG2NA9AgAAWAQAAA4AAAAAAAAAAQAgAAAAJwEA&#10;AGRycy9lMm9Eb2MueG1sUEsFBgAAAAAGAAYAWQEAANYFAAAAAA==&#10;">
                <v:fill on="f" focussize="0,0"/>
                <v:stroke on="f" weight="2pt"/>
                <v:imagedata o:title=""/>
                <o:lock v:ext="edit" aspectratio="f"/>
                <v:textbox>
                  <w:txbxContent>
                    <w:p>
                      <w:pPr>
                        <w:jc w:val="center"/>
                      </w:pPr>
                      <w:r>
                        <w:rPr>
                          <w:rFonts w:hint="eastAsia"/>
                        </w:rPr>
                        <w:t>图</w:t>
                      </w:r>
                      <w:r>
                        <w:t xml:space="preserve">1. </w:t>
                      </w:r>
                      <w:r>
                        <w:rPr>
                          <w:rFonts w:hint="eastAsia"/>
                        </w:rPr>
                        <w:t>铁原料生产工艺简图</w:t>
                      </w:r>
                    </w:p>
                  </w:txbxContent>
                </v:textbox>
              </v:rect>
            </w:pict>
          </mc:Fallback>
        </mc:AlternateContent>
      </w:r>
      <w:r>
        <w:rPr>
          <w:rFonts w:ascii="仿宋" w:hAnsi="仿宋" w:eastAsia="仿宋"/>
          <w:sz w:val="24"/>
        </w:rPr>
        <w:drawing>
          <wp:inline distT="0" distB="0" distL="114300" distR="114300">
            <wp:extent cx="4324350" cy="3800475"/>
            <wp:effectExtent l="0" t="0" r="0" b="952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2"/>
                    <a:stretch>
                      <a:fillRect/>
                    </a:stretch>
                  </pic:blipFill>
                  <pic:spPr>
                    <a:xfrm>
                      <a:off x="0" y="0"/>
                      <a:ext cx="4324350" cy="3800475"/>
                    </a:xfrm>
                    <a:prstGeom prst="rect">
                      <a:avLst/>
                    </a:prstGeom>
                    <a:noFill/>
                    <a:ln>
                      <a:noFill/>
                    </a:ln>
                  </pic:spPr>
                </pic:pic>
              </a:graphicData>
            </a:graphic>
          </wp:inline>
        </w:drawing>
      </w:r>
    </w:p>
    <w:p>
      <w:pPr>
        <w:shd w:val="clear" w:color="auto" w:fill="FFFFFF"/>
        <w:wordWrap w:val="0"/>
        <w:spacing w:line="360" w:lineRule="auto"/>
        <w:ind w:firstLine="640" w:firstLineChars="200"/>
        <w:rPr>
          <w:rFonts w:ascii="仿宋" w:hAnsi="仿宋" w:eastAsia="仿宋"/>
          <w:sz w:val="32"/>
          <w:szCs w:val="32"/>
        </w:rPr>
      </w:pP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中合成磷酸铁锂需要的草酸亚铁、氧化铁红、磷酸铁三种铁原料，都是由硫酸亚铁为初级原料制备得到的，为了保证材料的纯度，早期生产厂家都是采用高纯还原铁粉为原料合成硫酸亚铁，这种工艺成熟，但因为还原铁粉价格高，再加上需要净化工业硫酸中的杂质，造成电池级硫酸亚铁价格较贵，阻碍了磷酸铁锂的推广应用。</w:t>
      </w:r>
    </w:p>
    <w:p>
      <w:pPr>
        <w:pStyle w:val="10"/>
        <w:shd w:val="clear" w:color="auto" w:fill="FFFFFF"/>
        <w:spacing w:line="360" w:lineRule="auto"/>
        <w:ind w:firstLine="240" w:firstLineChars="100"/>
        <w:rPr>
          <w:rFonts w:ascii="仿宋" w:hAnsi="仿宋" w:eastAsia="仿宋"/>
          <w:sz w:val="32"/>
          <w:szCs w:val="32"/>
        </w:rPr>
      </w:pPr>
      <w:r>
        <mc:AlternateContent>
          <mc:Choice Requires="wpg">
            <w:drawing>
              <wp:anchor distT="0" distB="0" distL="114300" distR="114300" simplePos="0" relativeHeight="251660288" behindDoc="0" locked="0" layoutInCell="1" allowOverlap="1">
                <wp:simplePos x="0" y="0"/>
                <wp:positionH relativeFrom="column">
                  <wp:posOffset>466725</wp:posOffset>
                </wp:positionH>
                <wp:positionV relativeFrom="paragraph">
                  <wp:posOffset>617220</wp:posOffset>
                </wp:positionV>
                <wp:extent cx="4728845" cy="1155065"/>
                <wp:effectExtent l="0" t="0" r="0" b="0"/>
                <wp:wrapNone/>
                <wp:docPr id="14" name="组合 27"/>
                <wp:cNvGraphicFramePr/>
                <a:graphic xmlns:a="http://schemas.openxmlformats.org/drawingml/2006/main">
                  <a:graphicData uri="http://schemas.microsoft.com/office/word/2010/wordprocessingGroup">
                    <wpg:wgp>
                      <wpg:cNvGrpSpPr/>
                      <wpg:grpSpPr>
                        <a:xfrm>
                          <a:off x="0" y="0"/>
                          <a:ext cx="4728845" cy="1155065"/>
                          <a:chOff x="0" y="0"/>
                          <a:chExt cx="47289" cy="11551"/>
                        </a:xfrm>
                      </wpg:grpSpPr>
                      <wps:wsp>
                        <wps:cNvPr id="1" name="直接箭头连接符 16"/>
                        <wps:cNvCnPr/>
                        <wps:spPr>
                          <a:xfrm>
                            <a:off x="8302" y="5834"/>
                            <a:ext cx="4985" cy="0"/>
                          </a:xfrm>
                          <a:prstGeom prst="straightConnector1">
                            <a:avLst/>
                          </a:prstGeom>
                          <a:ln w="9525" cap="flat" cmpd="sng">
                            <a:solidFill>
                              <a:srgbClr val="4579B8"/>
                            </a:solidFill>
                            <a:prstDash val="solid"/>
                            <a:headEnd type="none" w="med" len="med"/>
                            <a:tailEnd type="arrow" w="med" len="med"/>
                          </a:ln>
                        </wps:spPr>
                        <wps:bodyPr/>
                      </wps:wsp>
                      <wps:wsp>
                        <wps:cNvPr id="2" name="直接箭头连接符 18"/>
                        <wps:cNvCnPr/>
                        <wps:spPr>
                          <a:xfrm>
                            <a:off x="20700" y="5778"/>
                            <a:ext cx="3924" cy="0"/>
                          </a:xfrm>
                          <a:prstGeom prst="straightConnector1">
                            <a:avLst/>
                          </a:prstGeom>
                          <a:ln w="9525" cap="flat" cmpd="sng">
                            <a:solidFill>
                              <a:srgbClr val="4579B8"/>
                            </a:solidFill>
                            <a:prstDash val="solid"/>
                            <a:headEnd type="none" w="med" len="med"/>
                            <a:tailEnd type="arrow" w="med" len="med"/>
                          </a:ln>
                        </wps:spPr>
                        <wps:bodyPr/>
                      </wps:wsp>
                      <wps:wsp>
                        <wps:cNvPr id="3" name="直接箭头连接符 19"/>
                        <wps:cNvCnPr/>
                        <wps:spPr>
                          <a:xfrm>
                            <a:off x="32032" y="5778"/>
                            <a:ext cx="9086" cy="50"/>
                          </a:xfrm>
                          <a:prstGeom prst="straightConnector1">
                            <a:avLst/>
                          </a:prstGeom>
                          <a:ln w="9525" cap="flat" cmpd="sng">
                            <a:solidFill>
                              <a:srgbClr val="4579B8"/>
                            </a:solidFill>
                            <a:prstDash val="solid"/>
                            <a:headEnd type="none" w="med" len="med"/>
                            <a:tailEnd type="arrow" w="med" len="med"/>
                          </a:ln>
                        </wps:spPr>
                        <wps:bodyPr/>
                      </wps:wsp>
                      <wps:wsp>
                        <wps:cNvPr id="4" name="直接连接符 20"/>
                        <wps:cNvCnPr/>
                        <wps:spPr>
                          <a:xfrm>
                            <a:off x="35902" y="1963"/>
                            <a:ext cx="0" cy="7741"/>
                          </a:xfrm>
                          <a:prstGeom prst="line">
                            <a:avLst/>
                          </a:prstGeom>
                          <a:ln w="9525" cap="flat" cmpd="sng">
                            <a:solidFill>
                              <a:srgbClr val="4579B8"/>
                            </a:solidFill>
                            <a:prstDash val="solid"/>
                            <a:headEnd type="none" w="med" len="med"/>
                            <a:tailEnd type="none" w="med" len="med"/>
                          </a:ln>
                        </wps:spPr>
                        <wps:bodyPr upright="1"/>
                      </wps:wsp>
                      <wps:wsp>
                        <wps:cNvPr id="5" name="直接箭头连接符 21"/>
                        <wps:cNvCnPr/>
                        <wps:spPr>
                          <a:xfrm>
                            <a:off x="35902" y="1963"/>
                            <a:ext cx="4877" cy="0"/>
                          </a:xfrm>
                          <a:prstGeom prst="straightConnector1">
                            <a:avLst/>
                          </a:prstGeom>
                          <a:ln w="9525" cap="flat" cmpd="sng">
                            <a:solidFill>
                              <a:srgbClr val="4579B8"/>
                            </a:solidFill>
                            <a:prstDash val="solid"/>
                            <a:headEnd type="none" w="med" len="med"/>
                            <a:tailEnd type="arrow" w="med" len="med"/>
                          </a:ln>
                        </wps:spPr>
                        <wps:bodyPr/>
                      </wps:wsp>
                      <wps:wsp>
                        <wps:cNvPr id="6" name="直接箭头连接符 22"/>
                        <wps:cNvCnPr/>
                        <wps:spPr>
                          <a:xfrm flipV="1">
                            <a:off x="35902" y="9704"/>
                            <a:ext cx="4877" cy="1"/>
                          </a:xfrm>
                          <a:prstGeom prst="straightConnector1">
                            <a:avLst/>
                          </a:prstGeom>
                          <a:ln w="9525" cap="flat" cmpd="sng">
                            <a:solidFill>
                              <a:srgbClr val="4579B8"/>
                            </a:solidFill>
                            <a:prstDash val="solid"/>
                            <a:headEnd type="none" w="med" len="med"/>
                            <a:tailEnd type="arrow" w="med" len="med"/>
                          </a:ln>
                        </wps:spPr>
                        <wps:bodyPr/>
                      </wps:wsp>
                      <wpg:grpSp>
                        <wpg:cNvPr id="13" name="组合 26"/>
                        <wpg:cNvGrpSpPr/>
                        <wpg:grpSpPr>
                          <a:xfrm>
                            <a:off x="0" y="0"/>
                            <a:ext cx="47289" cy="11551"/>
                            <a:chOff x="0" y="0"/>
                            <a:chExt cx="47289" cy="11551"/>
                          </a:xfrm>
                        </wpg:grpSpPr>
                        <wps:wsp>
                          <wps:cNvPr id="7" name="流程图: 可选过程 10"/>
                          <wps:cNvSpPr/>
                          <wps:spPr>
                            <a:xfrm>
                              <a:off x="0" y="4095"/>
                              <a:ext cx="9360" cy="3473"/>
                            </a:xfrm>
                            <a:prstGeom prst="flowChartAlternateProcess">
                              <a:avLst/>
                            </a:prstGeom>
                            <a:noFill/>
                            <a:ln w="25400">
                              <a:noFill/>
                            </a:ln>
                          </wps:spPr>
                          <wps:txbx>
                            <w:txbxContent>
                              <w:p>
                                <w:pPr>
                                  <w:jc w:val="center"/>
                                  <w:rPr>
                                    <w:sz w:val="18"/>
                                    <w:szCs w:val="18"/>
                                    <w:u w:val="single"/>
                                  </w:rPr>
                                </w:pPr>
                                <w:r>
                                  <w:rPr>
                                    <w:rFonts w:hint="eastAsia"/>
                                    <w:sz w:val="18"/>
                                    <w:szCs w:val="18"/>
                                    <w:u w:val="single"/>
                                  </w:rPr>
                                  <w:t>钛白副产绿矾</w:t>
                                </w:r>
                              </w:p>
                            </w:txbxContent>
                          </wps:txbx>
                          <wps:bodyPr anchor="ctr" anchorCtr="0" upright="1"/>
                        </wps:wsp>
                        <wps:wsp>
                          <wps:cNvPr id="8" name="流程图: 可选过程 15"/>
                          <wps:cNvSpPr/>
                          <wps:spPr>
                            <a:xfrm>
                              <a:off x="13295" y="4095"/>
                              <a:ext cx="7405" cy="3473"/>
                            </a:xfrm>
                            <a:prstGeom prst="flowChartAlternateProcess">
                              <a:avLst/>
                            </a:prstGeom>
                            <a:solidFill>
                              <a:srgbClr val="FFFFFF"/>
                            </a:solidFill>
                            <a:ln w="25400" cap="flat" cmpd="sng">
                              <a:solidFill>
                                <a:srgbClr val="4F81BD"/>
                              </a:solidFill>
                              <a:prstDash val="solid"/>
                              <a:miter/>
                              <a:headEnd type="none" w="med" len="med"/>
                              <a:tailEnd type="none" w="med" len="med"/>
                            </a:ln>
                          </wps:spPr>
                          <wps:txbx>
                            <w:txbxContent>
                              <w:p>
                                <w:pPr>
                                  <w:jc w:val="center"/>
                                  <w:rPr>
                                    <w:sz w:val="18"/>
                                    <w:szCs w:val="18"/>
                                  </w:rPr>
                                </w:pPr>
                                <w:r>
                                  <w:rPr>
                                    <w:rFonts w:hint="eastAsia"/>
                                    <w:sz w:val="18"/>
                                    <w:szCs w:val="18"/>
                                  </w:rPr>
                                  <w:t>初步净化</w:t>
                                </w:r>
                              </w:p>
                            </w:txbxContent>
                          </wps:txbx>
                          <wps:bodyPr anchor="ctr" anchorCtr="0" upright="1"/>
                        </wps:wsp>
                        <wps:wsp>
                          <wps:cNvPr id="9" name="流程图: 可选过程 17"/>
                          <wps:cNvSpPr/>
                          <wps:spPr>
                            <a:xfrm>
                              <a:off x="24627" y="4095"/>
                              <a:ext cx="7404" cy="3473"/>
                            </a:xfrm>
                            <a:prstGeom prst="flowChartAlternateProcess">
                              <a:avLst/>
                            </a:prstGeom>
                            <a:solidFill>
                              <a:srgbClr val="FFFFFF"/>
                            </a:solidFill>
                            <a:ln w="25400" cap="flat" cmpd="sng">
                              <a:solidFill>
                                <a:srgbClr val="4F81BD"/>
                              </a:solidFill>
                              <a:prstDash val="solid"/>
                              <a:miter/>
                              <a:headEnd type="none" w="med" len="med"/>
                              <a:tailEnd type="none" w="med" len="med"/>
                            </a:ln>
                          </wps:spPr>
                          <wps:txbx>
                            <w:txbxContent>
                              <w:p>
                                <w:pPr>
                                  <w:jc w:val="center"/>
                                  <w:rPr>
                                    <w:sz w:val="18"/>
                                    <w:szCs w:val="18"/>
                                  </w:rPr>
                                </w:pPr>
                                <w:r>
                                  <w:rPr>
                                    <w:rFonts w:hint="eastAsia"/>
                                    <w:sz w:val="18"/>
                                    <w:szCs w:val="18"/>
                                  </w:rPr>
                                  <w:t>合成反应</w:t>
                                </w:r>
                              </w:p>
                            </w:txbxContent>
                          </wps:txbx>
                          <wps:bodyPr anchor="ctr" anchorCtr="0" upright="1"/>
                        </wps:wsp>
                        <wps:wsp>
                          <wps:cNvPr id="10" name="流程图: 可选过程 23"/>
                          <wps:cNvSpPr/>
                          <wps:spPr>
                            <a:xfrm>
                              <a:off x="39885" y="0"/>
                              <a:ext cx="5947" cy="3473"/>
                            </a:xfrm>
                            <a:prstGeom prst="flowChartAlternateProcess">
                              <a:avLst/>
                            </a:prstGeom>
                            <a:noFill/>
                            <a:ln w="25400">
                              <a:noFill/>
                            </a:ln>
                          </wps:spPr>
                          <wps:txbx>
                            <w:txbxContent>
                              <w:p>
                                <w:pPr>
                                  <w:jc w:val="center"/>
                                  <w:rPr>
                                    <w:sz w:val="18"/>
                                    <w:szCs w:val="18"/>
                                    <w:u w:val="double"/>
                                  </w:rPr>
                                </w:pPr>
                                <w:r>
                                  <w:rPr>
                                    <w:rFonts w:hint="eastAsia"/>
                                    <w:sz w:val="18"/>
                                    <w:szCs w:val="18"/>
                                    <w:u w:val="double"/>
                                  </w:rPr>
                                  <w:t>磷酸铁</w:t>
                                </w:r>
                              </w:p>
                            </w:txbxContent>
                          </wps:txbx>
                          <wps:bodyPr anchor="ctr" anchorCtr="0" upright="1"/>
                        </wps:wsp>
                        <wps:wsp>
                          <wps:cNvPr id="11" name="流程图: 可选过程 24"/>
                          <wps:cNvSpPr/>
                          <wps:spPr>
                            <a:xfrm>
                              <a:off x="39885" y="4095"/>
                              <a:ext cx="7404" cy="3473"/>
                            </a:xfrm>
                            <a:prstGeom prst="flowChartAlternateProcess">
                              <a:avLst/>
                            </a:prstGeom>
                            <a:noFill/>
                            <a:ln w="25400">
                              <a:noFill/>
                            </a:ln>
                          </wps:spPr>
                          <wps:txbx>
                            <w:txbxContent>
                              <w:p>
                                <w:pPr>
                                  <w:jc w:val="center"/>
                                  <w:rPr>
                                    <w:sz w:val="18"/>
                                    <w:szCs w:val="18"/>
                                    <w:u w:val="double"/>
                                  </w:rPr>
                                </w:pPr>
                                <w:r>
                                  <w:rPr>
                                    <w:rFonts w:hint="eastAsia"/>
                                    <w:sz w:val="18"/>
                                    <w:szCs w:val="18"/>
                                    <w:u w:val="double"/>
                                  </w:rPr>
                                  <w:t>草酸亚铁</w:t>
                                </w:r>
                              </w:p>
                            </w:txbxContent>
                          </wps:txbx>
                          <wps:bodyPr anchor="ctr" anchorCtr="0" upright="1"/>
                        </wps:wsp>
                        <wps:wsp>
                          <wps:cNvPr id="12" name="流程图: 可选过程 25"/>
                          <wps:cNvSpPr/>
                          <wps:spPr>
                            <a:xfrm>
                              <a:off x="39885" y="8078"/>
                              <a:ext cx="7404" cy="3473"/>
                            </a:xfrm>
                            <a:prstGeom prst="flowChartAlternateProcess">
                              <a:avLst/>
                            </a:prstGeom>
                            <a:noFill/>
                            <a:ln w="25400">
                              <a:noFill/>
                            </a:ln>
                          </wps:spPr>
                          <wps:txbx>
                            <w:txbxContent>
                              <w:p>
                                <w:pPr>
                                  <w:jc w:val="center"/>
                                  <w:rPr>
                                    <w:sz w:val="18"/>
                                    <w:szCs w:val="18"/>
                                    <w:u w:val="double"/>
                                  </w:rPr>
                                </w:pPr>
                                <w:r>
                                  <w:rPr>
                                    <w:rFonts w:hint="eastAsia"/>
                                    <w:sz w:val="18"/>
                                    <w:szCs w:val="18"/>
                                    <w:u w:val="double"/>
                                  </w:rPr>
                                  <w:t>氧化铁红</w:t>
                                </w:r>
                              </w:p>
                            </w:txbxContent>
                          </wps:txbx>
                          <wps:bodyPr anchor="ctr" anchorCtr="0" upright="1"/>
                        </wps:wsp>
                      </wpg:grpSp>
                    </wpg:wgp>
                  </a:graphicData>
                </a:graphic>
              </wp:anchor>
            </w:drawing>
          </mc:Choice>
          <mc:Fallback>
            <w:pict>
              <v:group id="组合 27" o:spid="_x0000_s1026" o:spt="203" style="position:absolute;left:0pt;margin-left:36.75pt;margin-top:48.6pt;height:90.95pt;width:372.35pt;z-index:251660288;mso-width-relative:page;mso-height-relative:page;" coordsize="47289,11551" o:gfxdata="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">
                <o:lock v:ext="edit" aspectratio="f"/>
                <v:shape id="直接箭头连接符 16" o:spid="_x0000_s1026" o:spt="32" type="#_x0000_t32" style="position:absolute;left:8302;top:5834;height:0;width:4985;" filled="f" stroked="t" coordsize="21600,21600" o:gfxdata="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oN0crgAAADaAAAA&#10;DwAAAAAAAAABACAAAAAiAAAAZHJzL2Rvd25yZXYueG1sUEsBAhQAFAAAAAgAh07iQDMvBZ47AAAA&#10;OQAAABAAAAAAAAAAAQAgAAAABwEAAGRycy9zaGFwZXhtbC54bWxQSwUGAAAAAAYABgBbAQAAsQMA&#10;AAAA&#10;">
                  <v:fill on="f" focussize="0,0"/>
                  <v:stroke color="#4579B8" joinstyle="round" endarrow="open"/>
                  <v:imagedata o:title=""/>
                  <o:lock v:ext="edit" aspectratio="f"/>
                </v:shape>
                <v:shape id="直接箭头连接符 18" o:spid="_x0000_s1026" o:spt="32" type="#_x0000_t32" style="position:absolute;left:20700;top:5778;height:0;width:3924;" filled="f" stroked="t" coordsize="21600,21600" o:gfxdata="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HqBbsAAADa&#10;AAAADwAAAAAAAAABACAAAAAiAAAAZHJzL2Rvd25yZXYueG1sUEsBAhQAFAAAAAgAh07iQDMvBZ47&#10;AAAAOQAAABAAAAAAAAAAAQAgAAAACgEAAGRycy9zaGFwZXhtbC54bWxQSwUGAAAAAAYABgBbAQAA&#10;tAMAAAAA&#10;">
                  <v:fill on="f" focussize="0,0"/>
                  <v:stroke color="#4579B8" joinstyle="round" endarrow="open"/>
                  <v:imagedata o:title=""/>
                  <o:lock v:ext="edit" aspectratio="f"/>
                </v:shape>
                <v:shape id="直接箭头连接符 19" o:spid="_x0000_s1026" o:spt="32" type="#_x0000_t32" style="position:absolute;left:32032;top:5778;height:50;width:9086;" filled="f" stroked="t" coordsize="21600,21600" o:gfxdata="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dT568AAAA&#10;2gAAAA8AAAAAAAAAAQAgAAAAIgAAAGRycy9kb3ducmV2LnhtbFBLAQIUABQAAAAIAIdO4kAzLwWe&#10;OwAAADkAAAAQAAAAAAAAAAEAIAAAAAsBAABkcnMvc2hhcGV4bWwueG1sUEsFBgAAAAAGAAYAWwEA&#10;ALUDAAAAAA==&#10;">
                  <v:fill on="f" focussize="0,0"/>
                  <v:stroke color="#4579B8" joinstyle="round" endarrow="open"/>
                  <v:imagedata o:title=""/>
                  <o:lock v:ext="edit" aspectratio="f"/>
                </v:shape>
                <v:line id="直接连接符 20" o:spid="_x0000_s1026" o:spt="20" style="position:absolute;left:35902;top:1963;height:7741;width:0;" filled="f" stroked="t" coordsize="21600,21600" o:gfxdata="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wNk7sAAADa&#10;AAAADwAAAAAAAAABACAAAAAiAAAAZHJzL2Rvd25yZXYueG1sUEsBAhQAFAAAAAgAh07iQDMvBZ47&#10;AAAAOQAAABAAAAAAAAAAAQAgAAAACgEAAGRycy9zaGFwZXhtbC54bWxQSwUGAAAAAAYABgBbAQAA&#10;tAMAAAAA&#10;">
                  <v:fill on="f" focussize="0,0"/>
                  <v:stroke color="#4579B8" joinstyle="round"/>
                  <v:imagedata o:title=""/>
                  <o:lock v:ext="edit" aspectratio="f"/>
                </v:line>
                <v:shape id="直接箭头连接符 21" o:spid="_x0000_s1026" o:spt="32" type="#_x0000_t32" style="position:absolute;left:35902;top:1963;height:0;width:4877;" filled="f" stroked="t" coordsize="21600,21600" o:gfxdata="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uHJxugAAANoA&#10;AAAPAAAAAAAAAAEAIAAAACIAAABkcnMvZG93bnJldi54bWxQSwECFAAUAAAACACHTuJAMy8FnjsA&#10;AAA5AAAAEAAAAAAAAAABACAAAAAJAQAAZHJzL3NoYXBleG1sLnhtbFBLBQYAAAAABgAGAFsBAACz&#10;AwAAAAA=&#10;">
                  <v:fill on="f" focussize="0,0"/>
                  <v:stroke color="#4579B8" joinstyle="round" endarrow="open"/>
                  <v:imagedata o:title=""/>
                  <o:lock v:ext="edit" aspectratio="f"/>
                </v:shape>
                <v:shape id="直接箭头连接符 22" o:spid="_x0000_s1026" o:spt="32" type="#_x0000_t32" style="position:absolute;left:35902;top:9704;flip:y;height:1;width:4877;" filled="f" stroked="t" coordsize="21600,21600" o:gfxdata="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POGrsAAADa&#10;AAAADwAAAAAAAAABACAAAAAiAAAAZHJzL2Rvd25yZXYueG1sUEsBAhQAFAAAAAgAh07iQDMvBZ47&#10;AAAAOQAAABAAAAAAAAAAAQAgAAAACgEAAGRycy9zaGFwZXhtbC54bWxQSwUGAAAAAAYABgBbAQAA&#10;tAMAAAAA&#10;">
                  <v:fill on="f" focussize="0,0"/>
                  <v:stroke color="#4579B8" joinstyle="round" endarrow="open"/>
                  <v:imagedata o:title=""/>
                  <o:lock v:ext="edit" aspectratio="f"/>
                </v:shape>
                <v:group id="组合 26" o:spid="_x0000_s1026" o:spt="203" style="position:absolute;left:0;top:0;height:11551;width:47289;" coordsize="47289,11551"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流程图: 可选过程 10" o:spid="_x0000_s1026" o:spt="176" type="#_x0000_t176" style="position:absolute;left:0;top:4095;height:3473;width:9360;v-text-anchor:middle;" filled="f" stroked="f" coordsize="21600,21600" o:gfxdata="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W8JvQAA&#10;ANo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sz w:val="18"/>
                              <w:szCs w:val="18"/>
                              <w:u w:val="single"/>
                            </w:rPr>
                          </w:pPr>
                          <w:r>
                            <w:rPr>
                              <w:rFonts w:hint="eastAsia"/>
                              <w:sz w:val="18"/>
                              <w:szCs w:val="18"/>
                              <w:u w:val="single"/>
                            </w:rPr>
                            <w:t>钛白副产绿矾</w:t>
                          </w:r>
                        </w:p>
                      </w:txbxContent>
                    </v:textbox>
                  </v:shape>
                  <v:shape id="流程图: 可选过程 15" o:spid="_x0000_s1026" o:spt="176" type="#_x0000_t176" style="position:absolute;left:13295;top:4095;height:3473;width:7405;v-text-anchor:middle;" fillcolor="#FFFFFF" filled="t" stroked="t" coordsize="21600,21600" o:gfxdata="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AHOO7OzAAAA2gAAAA8AAAAA&#10;AAAAAQAgAAAAIgAAAGRycy9kb3ducmV2LnhtbFBLAQIUABQAAAAIAIdO4kAzLwWeOwAAADkAAAAQ&#10;AAAAAAAAAAEAIAAAAAIBAABkcnMvc2hhcGV4bWwueG1sUEsFBgAAAAAGAAYAWwEAAKwDAAAAAA==&#10;">
                    <v:fill on="t" focussize="0,0"/>
                    <v:stroke weight="2pt" color="#4F81BD" joinstyle="miter"/>
                    <v:imagedata o:title=""/>
                    <o:lock v:ext="edit" aspectratio="f"/>
                    <v:textbox>
                      <w:txbxContent>
                        <w:p>
                          <w:pPr>
                            <w:jc w:val="center"/>
                            <w:rPr>
                              <w:sz w:val="18"/>
                              <w:szCs w:val="18"/>
                            </w:rPr>
                          </w:pPr>
                          <w:r>
                            <w:rPr>
                              <w:rFonts w:hint="eastAsia"/>
                              <w:sz w:val="18"/>
                              <w:szCs w:val="18"/>
                            </w:rPr>
                            <w:t>初步净化</w:t>
                          </w:r>
                        </w:p>
                      </w:txbxContent>
                    </v:textbox>
                  </v:shape>
                  <v:shape id="流程图: 可选过程 17" o:spid="_x0000_s1026" o:spt="176" type="#_x0000_t176" style="position:absolute;left:24627;top:4095;height:3473;width:7404;v-text-anchor:middle;" fillcolor="#FFFFFF" filled="t" stroked="t" coordsize="21600,21600" o:gfxdata="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gp4ougAAANoA&#10;AAAPAAAAAAAAAAEAIAAAACIAAABkcnMvZG93bnJldi54bWxQSwECFAAUAAAACACHTuJAMy8FnjsA&#10;AAA5AAAAEAAAAAAAAAABACAAAAAJAQAAZHJzL3NoYXBleG1sLnhtbFBLBQYAAAAABgAGAFsBAACz&#10;AwAAAAA=&#10;">
                    <v:fill on="t" focussize="0,0"/>
                    <v:stroke weight="2pt" color="#4F81BD" joinstyle="miter"/>
                    <v:imagedata o:title=""/>
                    <o:lock v:ext="edit" aspectratio="f"/>
                    <v:textbox>
                      <w:txbxContent>
                        <w:p>
                          <w:pPr>
                            <w:jc w:val="center"/>
                            <w:rPr>
                              <w:sz w:val="18"/>
                              <w:szCs w:val="18"/>
                            </w:rPr>
                          </w:pPr>
                          <w:r>
                            <w:rPr>
                              <w:rFonts w:hint="eastAsia"/>
                              <w:sz w:val="18"/>
                              <w:szCs w:val="18"/>
                            </w:rPr>
                            <w:t>合成反应</w:t>
                          </w:r>
                        </w:p>
                      </w:txbxContent>
                    </v:textbox>
                  </v:shape>
                  <v:shape id="流程图: 可选过程 23" o:spid="_x0000_s1026" o:spt="176" type="#_x0000_t176" style="position:absolute;left:39885;top:0;height:3473;width:5947;v-text-anchor:middle;" filled="f" stroked="f" coordsize="21600,21600" o:gfxdata="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T9BQ&#10;wAAAANsAAAAPAAAAAAAAAAEAIAAAACIAAABkcnMvZG93bnJldi54bWxQSwECFAAUAAAACACHTuJA&#10;My8FnjsAAAA5AAAAEAAAAAAAAAABACAAAAAPAQAAZHJzL3NoYXBleG1sLnhtbFBLBQYAAAAABgAG&#10;AFsBAAC5AwAAAAA=&#10;">
                    <v:fill on="f" focussize="0,0"/>
                    <v:stroke on="f" weight="2pt"/>
                    <v:imagedata o:title=""/>
                    <o:lock v:ext="edit" aspectratio="f"/>
                    <v:textbox>
                      <w:txbxContent>
                        <w:p>
                          <w:pPr>
                            <w:jc w:val="center"/>
                            <w:rPr>
                              <w:sz w:val="18"/>
                              <w:szCs w:val="18"/>
                              <w:u w:val="double"/>
                            </w:rPr>
                          </w:pPr>
                          <w:r>
                            <w:rPr>
                              <w:rFonts w:hint="eastAsia"/>
                              <w:sz w:val="18"/>
                              <w:szCs w:val="18"/>
                              <w:u w:val="double"/>
                            </w:rPr>
                            <w:t>磷酸铁</w:t>
                          </w:r>
                        </w:p>
                      </w:txbxContent>
                    </v:textbox>
                  </v:shape>
                  <v:shape id="流程图: 可选过程 24" o:spid="_x0000_s1026" o:spt="176" type="#_x0000_t176" style="position:absolute;left:39885;top:4095;height:3473;width:7404;v-text-anchor:middle;" filled="f" stroked="f" coordsize="21600,21600" o:gfxdata="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N1y7sAAADb&#10;AAAADwAAAAAAAAABACAAAAAiAAAAZHJzL2Rvd25yZXYueG1sUEsBAhQAFAAAAAgAh07iQDMvBZ47&#10;AAAAOQAAABAAAAAAAAAAAQAgAAAACgEAAGRycy9zaGFwZXhtbC54bWxQSwUGAAAAAAYABgBbAQAA&#10;tAMAAAAA&#10;">
                    <v:fill on="f" focussize="0,0"/>
                    <v:stroke on="f" weight="2pt"/>
                    <v:imagedata o:title=""/>
                    <o:lock v:ext="edit" aspectratio="f"/>
                    <v:textbox>
                      <w:txbxContent>
                        <w:p>
                          <w:pPr>
                            <w:jc w:val="center"/>
                            <w:rPr>
                              <w:sz w:val="18"/>
                              <w:szCs w:val="18"/>
                              <w:u w:val="double"/>
                            </w:rPr>
                          </w:pPr>
                          <w:r>
                            <w:rPr>
                              <w:rFonts w:hint="eastAsia"/>
                              <w:sz w:val="18"/>
                              <w:szCs w:val="18"/>
                              <w:u w:val="double"/>
                            </w:rPr>
                            <w:t>草酸亚铁</w:t>
                          </w:r>
                        </w:p>
                      </w:txbxContent>
                    </v:textbox>
                  </v:shape>
                  <v:shape id="流程图: 可选过程 25" o:spid="_x0000_s1026" o:spt="176" type="#_x0000_t176" style="position:absolute;left:39885;top:8078;height:3473;width:7404;v-text-anchor:middle;" filled="f" stroked="f" coordsize="21600,21600" o:gfxdata="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0eu8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sz w:val="18"/>
                              <w:szCs w:val="18"/>
                              <w:u w:val="double"/>
                            </w:rPr>
                          </w:pPr>
                          <w:r>
                            <w:rPr>
                              <w:rFonts w:hint="eastAsia"/>
                              <w:sz w:val="18"/>
                              <w:szCs w:val="18"/>
                              <w:u w:val="double"/>
                            </w:rPr>
                            <w:t>氧化铁红</w:t>
                          </w:r>
                        </w:p>
                      </w:txbxContent>
                    </v:textbox>
                  </v:shape>
                </v:group>
              </v:group>
            </w:pict>
          </mc:Fallback>
        </mc:AlternateContent>
      </w:r>
      <w:r>
        <w:rPr>
          <w:rFonts w:hint="eastAsia" w:ascii="仿宋" w:hAnsi="仿宋" w:eastAsia="仿宋"/>
          <w:sz w:val="32"/>
          <w:szCs w:val="32"/>
        </w:rPr>
        <w:t>所以近年来还原铁粉原料工艺逐渐被抛弃，改由硫酸亚铁直接制备，简单工艺如图</w:t>
      </w:r>
      <w:r>
        <w:rPr>
          <w:rFonts w:ascii="仿宋" w:hAnsi="仿宋" w:eastAsia="仿宋"/>
          <w:sz w:val="32"/>
          <w:szCs w:val="32"/>
        </w:rPr>
        <w:t>2</w:t>
      </w:r>
      <w:r>
        <w:rPr>
          <w:rFonts w:hint="eastAsia" w:ascii="仿宋" w:hAnsi="仿宋" w:eastAsia="仿宋"/>
          <w:sz w:val="32"/>
          <w:szCs w:val="32"/>
        </w:rPr>
        <w:t>所示。</w:t>
      </w:r>
    </w:p>
    <w:p>
      <w:pPr>
        <w:shd w:val="clear" w:color="auto" w:fill="FFFFFF"/>
        <w:wordWrap w:val="0"/>
        <w:spacing w:line="360" w:lineRule="auto"/>
        <w:ind w:firstLine="480" w:firstLineChars="200"/>
        <w:rPr>
          <w:rFonts w:ascii="仿宋" w:hAnsi="仿宋" w:eastAsia="仿宋"/>
          <w:sz w:val="24"/>
        </w:rPr>
      </w:pPr>
    </w:p>
    <w:p>
      <w:pPr>
        <w:shd w:val="clear" w:color="auto" w:fill="FFFFFF"/>
        <w:wordWrap w:val="0"/>
        <w:spacing w:line="360" w:lineRule="auto"/>
        <w:ind w:firstLine="420" w:firstLineChars="200"/>
        <w:rPr>
          <w:rFonts w:ascii="仿宋" w:hAnsi="仿宋" w:eastAsia="仿宋"/>
          <w:sz w:val="24"/>
        </w:rPr>
      </w:pPr>
      <w:r>
        <mc:AlternateContent>
          <mc:Choice Requires="wps">
            <w:drawing>
              <wp:anchor distT="0" distB="0" distL="114300" distR="114300" simplePos="0" relativeHeight="251661312" behindDoc="0" locked="0" layoutInCell="1" allowOverlap="1">
                <wp:simplePos x="0" y="0"/>
                <wp:positionH relativeFrom="column">
                  <wp:posOffset>1111250</wp:posOffset>
                </wp:positionH>
                <wp:positionV relativeFrom="paragraph">
                  <wp:posOffset>213360</wp:posOffset>
                </wp:positionV>
                <wp:extent cx="3539490" cy="370205"/>
                <wp:effectExtent l="0" t="0" r="0" b="0"/>
                <wp:wrapNone/>
                <wp:docPr id="29" name="矩形 29"/>
                <wp:cNvGraphicFramePr/>
                <a:graphic xmlns:a="http://schemas.openxmlformats.org/drawingml/2006/main">
                  <a:graphicData uri="http://schemas.microsoft.com/office/word/2010/wordprocessingShape">
                    <wps:wsp>
                      <wps:cNvSpPr/>
                      <wps:spPr>
                        <a:xfrm>
                          <a:off x="0" y="0"/>
                          <a:ext cx="3539490" cy="370205"/>
                        </a:xfrm>
                        <a:prstGeom prst="rect">
                          <a:avLst/>
                        </a:prstGeom>
                        <a:noFill/>
                        <a:ln>
                          <a:noFill/>
                        </a:ln>
                        <a:effectLst/>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5pt;margin-top:16.8pt;height:29.15pt;width:278.7pt;z-index:251661312;v-text-anchor:middle;mso-width-relative:page;mso-height-relative:page;" filled="f" stroked="f" coordsize="21600,21600" o:gfxdata="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J3KKrZAAAACQEAAA8AAAAAAAAAAQAgAAAAIgAAAGRy&#10;cy9kb3ducmV2LnhtbFBLAQIUABQAAAAIAIdO4kBcaNJtPQIAAFgEAAAOAAAAAAAAAAEAIAAAACgB&#10;AABkcnMvZTJvRG9jLnhtbFBLBQYAAAAABgAGAFkBAADXBQAAAAA=&#10;">
                <v:fill on="f" focussize="0,0"/>
                <v:stroke on="f" weight="2pt"/>
                <v:imagedata o:title=""/>
                <o:lock v:ext="edit" aspectratio="f"/>
                <v:textbox>
                  <w:txbxContent>
                    <w:p/>
                  </w:txbxContent>
                </v:textbox>
              </v:rect>
            </w:pict>
          </mc:Fallback>
        </mc:AlternateContent>
      </w:r>
    </w:p>
    <w:p>
      <w:pPr>
        <w:shd w:val="clear" w:color="auto" w:fill="FFFFFF"/>
        <w:wordWrap w:val="0"/>
        <w:spacing w:line="360" w:lineRule="auto"/>
        <w:ind w:firstLine="480" w:firstLineChars="200"/>
        <w:rPr>
          <w:rFonts w:ascii="仿宋" w:hAnsi="仿宋" w:eastAsia="仿宋"/>
          <w:sz w:val="24"/>
        </w:rPr>
      </w:pPr>
    </w:p>
    <w:p>
      <w:pPr>
        <w:jc w:val="center"/>
      </w:pPr>
      <w:r>
        <w:rPr>
          <w:rFonts w:hint="eastAsia"/>
        </w:rPr>
        <w:t>图</w:t>
      </w:r>
      <w:r>
        <w:t xml:space="preserve">2. </w:t>
      </w:r>
      <w:r>
        <w:rPr>
          <w:rFonts w:hint="eastAsia"/>
        </w:rPr>
        <w:t>钛白副产绿矾制备铁原料工艺简图</w:t>
      </w:r>
    </w:p>
    <w:p>
      <w:pPr>
        <w:shd w:val="clear" w:color="auto" w:fill="FFFFFF"/>
        <w:wordWrap w:val="0"/>
        <w:spacing w:line="360" w:lineRule="auto"/>
        <w:ind w:firstLine="480" w:firstLineChars="200"/>
        <w:rPr>
          <w:rFonts w:ascii="仿宋" w:hAnsi="仿宋" w:eastAsia="仿宋"/>
          <w:sz w:val="24"/>
        </w:rPr>
      </w:pP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由图</w:t>
      </w:r>
      <w:r>
        <w:rPr>
          <w:rFonts w:ascii="仿宋" w:hAnsi="仿宋" w:eastAsia="仿宋"/>
          <w:sz w:val="32"/>
          <w:szCs w:val="32"/>
        </w:rPr>
        <w:t>2</w:t>
      </w:r>
      <w:r>
        <w:rPr>
          <w:rFonts w:hint="eastAsia" w:ascii="仿宋" w:hAnsi="仿宋" w:eastAsia="仿宋"/>
          <w:sz w:val="32"/>
          <w:szCs w:val="32"/>
        </w:rPr>
        <w:t>明显可见，采用攀枝花地区的硫酸钛白生产副产物绿矾为原料，通过选择沉淀、分离、结晶等初步净化过程，再加入相关原料就可制备得到电池级磷酸铁锂所需的三种铁原料。综上所述，在我市发展磷酸铁锂所需铁原料产业，具备以下几点优势。</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）环境优势明显，可以将原来污染环境，难以处理的绿矾变废为宝；同时可以回收绿矾中的钛、镁等元素，作为海绵钛冶金产业的辅助材料。</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经济效益优势明显，磷酸铁锂铁原料新生产工艺流程短、生产成本低，铁原料产品价格具有较强的市场竞争力；同时可以减少攀枝花钛白企业钛渣的使用比例，降低钛白企业生产成本，增强钛白企业市场竞争力。</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）采用硫酸钛白废副产绿矾为原料，具有成本及其低廉、原料充足、配套完备的优势。</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）具有显著的市场潜力，作为主流的锂电池正极材料，市场份额超过</w:t>
      </w:r>
      <w:r>
        <w:rPr>
          <w:rFonts w:ascii="仿宋" w:hAnsi="仿宋" w:eastAsia="仿宋"/>
          <w:sz w:val="32"/>
          <w:szCs w:val="32"/>
        </w:rPr>
        <w:t>30%</w:t>
      </w:r>
      <w:r>
        <w:rPr>
          <w:rFonts w:hint="eastAsia" w:ascii="仿宋" w:hAnsi="仿宋" w:eastAsia="仿宋"/>
          <w:sz w:val="32"/>
          <w:szCs w:val="32"/>
        </w:rPr>
        <w:t>，并逐年增加中，厂商积极性较高。</w:t>
      </w:r>
    </w:p>
    <w:p>
      <w:pPr>
        <w:shd w:val="clear" w:color="auto" w:fill="FFFFFF"/>
        <w:wordWrap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、项目管理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项目的预算合同金额</w:t>
      </w:r>
      <w:r>
        <w:rPr>
          <w:rFonts w:ascii="仿宋" w:hAnsi="仿宋" w:eastAsia="仿宋"/>
          <w:sz w:val="32"/>
          <w:szCs w:val="32"/>
        </w:rPr>
        <w:t>7</w:t>
      </w:r>
      <w:r>
        <w:rPr>
          <w:rFonts w:hint="eastAsia" w:ascii="仿宋" w:hAnsi="仿宋" w:eastAsia="仿宋"/>
          <w:sz w:val="32"/>
          <w:szCs w:val="32"/>
        </w:rPr>
        <w:t>万元，其中市科技局拨款</w:t>
      </w:r>
      <w:r>
        <w:rPr>
          <w:rFonts w:ascii="仿宋" w:hAnsi="仿宋" w:eastAsia="仿宋"/>
          <w:sz w:val="32"/>
          <w:szCs w:val="32"/>
        </w:rPr>
        <w:t>7</w:t>
      </w:r>
      <w:r>
        <w:rPr>
          <w:rFonts w:hint="eastAsia" w:ascii="仿宋" w:hAnsi="仿宋" w:eastAsia="仿宋"/>
          <w:sz w:val="32"/>
          <w:szCs w:val="32"/>
        </w:rPr>
        <w:t>万元，承担单位自筹</w:t>
      </w:r>
      <w:r>
        <w:rPr>
          <w:rFonts w:ascii="仿宋" w:hAnsi="仿宋" w:eastAsia="仿宋"/>
          <w:sz w:val="32"/>
          <w:szCs w:val="32"/>
        </w:rPr>
        <w:t>0</w:t>
      </w:r>
      <w:r>
        <w:rPr>
          <w:rFonts w:hint="eastAsia" w:ascii="仿宋" w:hAnsi="仿宋" w:eastAsia="仿宋"/>
          <w:sz w:val="32"/>
          <w:szCs w:val="32"/>
        </w:rPr>
        <w:t>万元。市科技局专项资金实际到位金额为</w:t>
      </w:r>
      <w:r>
        <w:rPr>
          <w:rFonts w:ascii="仿宋" w:hAnsi="仿宋" w:eastAsia="仿宋"/>
          <w:sz w:val="32"/>
          <w:szCs w:val="32"/>
        </w:rPr>
        <w:t>7</w:t>
      </w:r>
      <w:r>
        <w:rPr>
          <w:rFonts w:hint="eastAsia" w:ascii="仿宋" w:hAnsi="仿宋" w:eastAsia="仿宋"/>
          <w:sz w:val="32"/>
          <w:szCs w:val="32"/>
        </w:rPr>
        <w:t>元，是合同金额的</w:t>
      </w:r>
      <w:r>
        <w:rPr>
          <w:rFonts w:ascii="仿宋" w:hAnsi="仿宋" w:eastAsia="仿宋"/>
          <w:sz w:val="32"/>
          <w:szCs w:val="32"/>
        </w:rPr>
        <w:t>100</w:t>
      </w:r>
      <w:r>
        <w:rPr>
          <w:rFonts w:hint="eastAsia" w:ascii="仿宋" w:hAnsi="仿宋" w:eastAsia="仿宋"/>
          <w:sz w:val="32"/>
          <w:szCs w:val="32"/>
        </w:rPr>
        <w:t>％。承担单位科研经费管理规范，科研经费使用的日常检查由单位计财处负责执行，科研经费的专项审计由单位监审处牵头组织相关部门进行，因此该项目的配套和自筹资金整体到位情况良好。</w:t>
      </w:r>
    </w:p>
    <w:p>
      <w:pPr>
        <w:shd w:val="clear" w:color="auto" w:fill="FFFFFF"/>
        <w:wordWrap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、项目绩效</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见项目评价得分表</w:t>
      </w:r>
    </w:p>
    <w:p>
      <w:pPr>
        <w:pStyle w:val="10"/>
        <w:shd w:val="clear" w:color="auto" w:fill="FFFFFF"/>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三、存在的主要问题</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）技术开发与储备不足，虽然有攀枝花学院、七星光电等高校和企业的研究团队在从事相关的研究工作，但因为基础薄弱，得到的支持有限，在部分关键技术环节还需突破。</w:t>
      </w:r>
      <w:r>
        <w:rPr>
          <w:rFonts w:ascii="仿宋" w:hAnsi="仿宋" w:eastAsia="仿宋"/>
          <w:sz w:val="32"/>
          <w:szCs w:val="32"/>
        </w:rPr>
        <w:t xml:space="preserve"> </w:t>
      </w:r>
    </w:p>
    <w:p>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）本地缺少下游配套企业，下游磷酸铁锂生产企业主要分布在湖南与广东，还需进一步拓展市场。</w:t>
      </w:r>
    </w:p>
    <w:p>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四、相关措施建议</w:t>
      </w:r>
    </w:p>
    <w:p>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）加大在硫酸钛白副产绿矾制备磷酸铁锂铁原料领域方面的政策、人才、资金平台等投入力度，例如建设产学研联合实验室，设立人才研究团队，招商引资企业参与等方式促进产业的开花结果。</w:t>
      </w:r>
    </w:p>
    <w:p>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）对于硫酸钛白副产绿矾制备磷酸铁锂铁原料方向，以低成本规模化生产为核心工作目标，促使早日在攀建成规模化生产线，抢占市场先机。</w:t>
      </w:r>
    </w:p>
    <w:p>
      <w:pPr>
        <w:spacing w:line="580" w:lineRule="exact"/>
        <w:ind w:firstLine="640" w:firstLineChars="200"/>
        <w:rPr>
          <w:rFonts w:ascii="仿宋_GB2312" w:hAnsi="仿宋_GB2312" w:eastAsia="仿宋_GB2312" w:cs="仿宋_GB2312"/>
          <w:sz w:val="32"/>
          <w:szCs w:val="32"/>
        </w:rPr>
      </w:pPr>
    </w:p>
    <w:bookmarkEnd w:id="45"/>
    <w:p>
      <w:pPr>
        <w:spacing w:line="600" w:lineRule="exact"/>
        <w:jc w:val="center"/>
        <w:outlineLvl w:val="0"/>
        <w:rPr>
          <w:rFonts w:ascii="黑体" w:hAnsi="黑体" w:eastAsia="黑体"/>
          <w:b/>
          <w:bCs/>
          <w:kern w:val="44"/>
          <w:sz w:val="44"/>
          <w:szCs w:val="44"/>
        </w:rPr>
      </w:pPr>
      <w:bookmarkStart w:id="50" w:name="_Toc15396619"/>
      <w:r>
        <w:rPr>
          <w:rFonts w:hint="eastAsia" w:ascii="黑体" w:hAnsi="黑体" w:eastAsia="黑体"/>
          <w:color w:val="000000"/>
          <w:sz w:val="44"/>
          <w:szCs w:val="44"/>
        </w:rPr>
        <w:t>第</w:t>
      </w:r>
      <w:r>
        <w:rPr>
          <w:rStyle w:val="15"/>
          <w:rFonts w:hint="eastAsia" w:ascii="黑体" w:hAnsi="黑体" w:eastAsia="黑体"/>
        </w:rPr>
        <w:t>五部分</w:t>
      </w:r>
      <w:r>
        <w:rPr>
          <w:rStyle w:val="15"/>
          <w:rFonts w:ascii="黑体" w:hAnsi="黑体" w:eastAsia="黑体"/>
        </w:rPr>
        <w:t xml:space="preserve"> </w:t>
      </w:r>
      <w:r>
        <w:rPr>
          <w:rStyle w:val="15"/>
          <w:rFonts w:hint="eastAsia" w:ascii="黑体" w:hAnsi="黑体" w:eastAsia="黑体"/>
        </w:rPr>
        <w:t>附表</w:t>
      </w:r>
    </w:p>
    <w:p>
      <w:pPr>
        <w:pStyle w:val="3"/>
        <w:rPr>
          <w:rFonts w:ascii="仿宋" w:hAnsi="仿宋" w:eastAsia="仿宋"/>
          <w:b w:val="0"/>
          <w:color w:val="000000"/>
        </w:rPr>
      </w:pPr>
      <w:r>
        <w:rPr>
          <w:rFonts w:hint="eastAsia" w:ascii="仿宋" w:hAnsi="仿宋" w:eastAsia="仿宋"/>
          <w:b w:val="0"/>
          <w:color w:val="000000"/>
        </w:rPr>
        <w:t>一、收入支出决算总表</w:t>
      </w:r>
      <w:bookmarkEnd w:id="50"/>
    </w:p>
    <w:p>
      <w:pPr>
        <w:pStyle w:val="3"/>
        <w:rPr>
          <w:rFonts w:ascii="仿宋" w:hAnsi="仿宋" w:eastAsia="仿宋"/>
          <w:color w:val="000000"/>
        </w:rPr>
      </w:pPr>
      <w:r>
        <w:rPr>
          <w:rFonts w:hint="eastAsia" w:ascii="仿宋" w:hAnsi="仿宋" w:eastAsia="仿宋"/>
          <w:b w:val="0"/>
          <w:color w:val="000000"/>
        </w:rPr>
        <w:t>二、</w:t>
      </w:r>
      <w:bookmarkStart w:id="51" w:name="_Toc15396620"/>
      <w:r>
        <w:rPr>
          <w:rFonts w:hint="eastAsia" w:ascii="仿宋" w:hAnsi="仿宋" w:eastAsia="仿宋"/>
          <w:b w:val="0"/>
          <w:color w:val="000000"/>
        </w:rPr>
        <w:t>收</w:t>
      </w:r>
      <w:r>
        <w:rPr>
          <w:rStyle w:val="16"/>
          <w:rFonts w:hint="eastAsia" w:ascii="仿宋" w:hAnsi="仿宋" w:eastAsia="仿宋"/>
          <w:b w:val="0"/>
          <w:bCs w:val="0"/>
        </w:rPr>
        <w:t>入总表</w:t>
      </w:r>
      <w:bookmarkEnd w:id="51"/>
    </w:p>
    <w:p>
      <w:pPr>
        <w:pStyle w:val="3"/>
        <w:rPr>
          <w:rFonts w:ascii="仿宋" w:hAnsi="仿宋" w:eastAsia="仿宋"/>
          <w:color w:val="000000"/>
        </w:rPr>
      </w:pPr>
      <w:bookmarkStart w:id="52"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出总表</w:t>
      </w:r>
      <w:bookmarkEnd w:id="52"/>
    </w:p>
    <w:p>
      <w:pPr>
        <w:pStyle w:val="3"/>
        <w:rPr>
          <w:rFonts w:ascii="仿宋" w:hAnsi="仿宋" w:eastAsia="仿宋"/>
          <w:b w:val="0"/>
          <w:color w:val="000000"/>
        </w:rPr>
      </w:pPr>
      <w:bookmarkStart w:id="53"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53"/>
    </w:p>
    <w:p>
      <w:pPr>
        <w:pStyle w:val="3"/>
        <w:rPr>
          <w:rFonts w:ascii="仿宋" w:hAnsi="仿宋" w:eastAsia="仿宋"/>
          <w:color w:val="000000"/>
        </w:rPr>
      </w:pPr>
      <w:bookmarkStart w:id="54"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政拨款支出决算明细表（政府经济分类科目）</w:t>
      </w:r>
      <w:bookmarkEnd w:id="54"/>
    </w:p>
    <w:p>
      <w:pPr>
        <w:pStyle w:val="3"/>
        <w:rPr>
          <w:rFonts w:ascii="仿宋" w:hAnsi="仿宋" w:eastAsia="仿宋"/>
          <w:color w:val="000000"/>
        </w:rPr>
      </w:pPr>
      <w:bookmarkStart w:id="55" w:name="_Toc15396624"/>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55"/>
    </w:p>
    <w:p>
      <w:pPr>
        <w:pStyle w:val="3"/>
        <w:rPr>
          <w:rFonts w:ascii="仿宋" w:hAnsi="仿宋" w:eastAsia="仿宋"/>
          <w:color w:val="000000"/>
        </w:rPr>
      </w:pPr>
      <w:bookmarkStart w:id="56"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56"/>
    </w:p>
    <w:p>
      <w:pPr>
        <w:pStyle w:val="3"/>
        <w:rPr>
          <w:rFonts w:ascii="仿宋" w:hAnsi="仿宋" w:eastAsia="仿宋"/>
          <w:color w:val="000000"/>
        </w:rPr>
      </w:pPr>
      <w:bookmarkStart w:id="57"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57"/>
    </w:p>
    <w:p>
      <w:pPr>
        <w:pStyle w:val="3"/>
        <w:rPr>
          <w:rFonts w:ascii="仿宋" w:hAnsi="仿宋" w:eastAsia="仿宋"/>
          <w:color w:val="000000"/>
        </w:rPr>
      </w:pPr>
      <w:bookmarkStart w:id="58"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58"/>
    </w:p>
    <w:p>
      <w:pPr>
        <w:pStyle w:val="3"/>
        <w:rPr>
          <w:rFonts w:ascii="仿宋" w:hAnsi="仿宋" w:eastAsia="仿宋"/>
          <w:color w:val="000000"/>
        </w:rPr>
      </w:pPr>
      <w:bookmarkStart w:id="59"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59"/>
    </w:p>
    <w:p>
      <w:pPr>
        <w:pStyle w:val="3"/>
        <w:rPr>
          <w:rFonts w:ascii="仿宋" w:hAnsi="仿宋" w:eastAsia="仿宋"/>
          <w:color w:val="000000"/>
        </w:rPr>
      </w:pPr>
      <w:bookmarkStart w:id="60"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60"/>
      <w:r>
        <w:rPr>
          <w:rStyle w:val="16"/>
          <w:rFonts w:hint="eastAsia" w:ascii="仿宋" w:hAnsi="仿宋" w:eastAsia="仿宋"/>
          <w:b w:val="0"/>
          <w:bCs w:val="0"/>
        </w:rPr>
        <w:t>（此表无数据）</w:t>
      </w:r>
    </w:p>
    <w:p>
      <w:pPr>
        <w:pStyle w:val="3"/>
        <w:rPr>
          <w:rFonts w:ascii="仿宋" w:hAnsi="仿宋" w:eastAsia="仿宋"/>
          <w:color w:val="000000"/>
        </w:rPr>
      </w:pPr>
      <w:bookmarkStart w:id="61"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61"/>
      <w:r>
        <w:rPr>
          <w:rStyle w:val="16"/>
          <w:rFonts w:hint="eastAsia" w:ascii="仿宋" w:hAnsi="仿宋" w:eastAsia="仿宋"/>
          <w:b w:val="0"/>
          <w:bCs w:val="0"/>
        </w:rPr>
        <w:t>（此表无数据）</w:t>
      </w:r>
    </w:p>
    <w:p>
      <w:pPr>
        <w:pStyle w:val="3"/>
        <w:rPr>
          <w:rFonts w:ascii="仿宋" w:hAnsi="仿宋" w:eastAsia="仿宋"/>
          <w:color w:val="000000"/>
        </w:rPr>
      </w:pPr>
      <w:bookmarkStart w:id="62"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bookmarkEnd w:id="62"/>
      <w:r>
        <w:rPr>
          <w:rStyle w:val="16"/>
          <w:rFonts w:hint="eastAsia" w:ascii="仿宋" w:hAnsi="仿宋" w:eastAsia="仿宋"/>
          <w:b w:val="0"/>
          <w:bCs w:val="0"/>
        </w:rPr>
        <w:t>（此表无数据）</w:t>
      </w:r>
    </w:p>
    <w:p>
      <w:pPr>
        <w:autoSpaceDE w:val="0"/>
        <w:autoSpaceDN w:val="0"/>
        <w:adjustRightInd w:val="0"/>
        <w:spacing w:line="600" w:lineRule="exact"/>
        <w:ind w:firstLine="643" w:firstLineChars="200"/>
        <w:jc w:val="left"/>
        <w:outlineLvl w:val="2"/>
        <w:rPr>
          <w:rFonts w:ascii="仿宋" w:hAnsi="仿宋" w:eastAsia="仿宋"/>
          <w:b/>
          <w:color w:val="FFC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none"/>
      <w:lvlText w:val="十、"/>
      <w:lvlJc w:val="left"/>
      <w:pPr>
        <w:ind w:left="1429" w:hanging="720"/>
      </w:pPr>
      <w:rPr>
        <w:rFonts w:hint="default" w:cs="Times New Roman"/>
      </w:rPr>
    </w:lvl>
    <w:lvl w:ilvl="1" w:tentative="0">
      <w:start w:val="1"/>
      <w:numFmt w:val="japaneseCounting"/>
      <w:lvlText w:val="%2、"/>
      <w:lvlJc w:val="left"/>
      <w:pPr>
        <w:ind w:left="1849" w:hanging="720"/>
      </w:pPr>
      <w:rPr>
        <w:rFonts w:hint="default" w:cs="Times New Roman"/>
        <w:sz w:val="21"/>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56983DEC"/>
    <w:multiLevelType w:val="multilevel"/>
    <w:tmpl w:val="56983DEC"/>
    <w:lvl w:ilvl="0" w:tentative="0">
      <w:start w:val="1"/>
      <w:numFmt w:val="japaneseCounting"/>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OGI0MGY0OGM0NjQwMzZiYWZjODMxOGZjZmM2NmYifQ=="/>
    <w:docVar w:name="KSO_WPS_MARK_KEY" w:val="d6632884-60be-4912-a4cc-51a83e444822"/>
  </w:docVars>
  <w:rsids>
    <w:rsidRoot w:val="00FD61EB"/>
    <w:rsid w:val="000004E2"/>
    <w:rsid w:val="00000557"/>
    <w:rsid w:val="00002541"/>
    <w:rsid w:val="00003B2E"/>
    <w:rsid w:val="0000677E"/>
    <w:rsid w:val="00007CEB"/>
    <w:rsid w:val="000121F6"/>
    <w:rsid w:val="000134D4"/>
    <w:rsid w:val="0001399B"/>
    <w:rsid w:val="00015DB1"/>
    <w:rsid w:val="00017336"/>
    <w:rsid w:val="000202E0"/>
    <w:rsid w:val="0002126F"/>
    <w:rsid w:val="0002398B"/>
    <w:rsid w:val="00024D02"/>
    <w:rsid w:val="00025FE9"/>
    <w:rsid w:val="000311F8"/>
    <w:rsid w:val="00032619"/>
    <w:rsid w:val="00035AEF"/>
    <w:rsid w:val="00035CB5"/>
    <w:rsid w:val="00036EA4"/>
    <w:rsid w:val="00041C8E"/>
    <w:rsid w:val="00046E14"/>
    <w:rsid w:val="00051F06"/>
    <w:rsid w:val="00060FC8"/>
    <w:rsid w:val="00063317"/>
    <w:rsid w:val="0006423B"/>
    <w:rsid w:val="00064742"/>
    <w:rsid w:val="000655BF"/>
    <w:rsid w:val="00065F8F"/>
    <w:rsid w:val="00066D80"/>
    <w:rsid w:val="00066FC4"/>
    <w:rsid w:val="00067B54"/>
    <w:rsid w:val="00070E9F"/>
    <w:rsid w:val="00070F67"/>
    <w:rsid w:val="00072342"/>
    <w:rsid w:val="00072FD0"/>
    <w:rsid w:val="00073FD8"/>
    <w:rsid w:val="00076AC3"/>
    <w:rsid w:val="00076E49"/>
    <w:rsid w:val="00080356"/>
    <w:rsid w:val="0008172F"/>
    <w:rsid w:val="000833A7"/>
    <w:rsid w:val="00083703"/>
    <w:rsid w:val="0008421D"/>
    <w:rsid w:val="00084C29"/>
    <w:rsid w:val="00084F36"/>
    <w:rsid w:val="000927C3"/>
    <w:rsid w:val="00093DF1"/>
    <w:rsid w:val="000965B8"/>
    <w:rsid w:val="0009762C"/>
    <w:rsid w:val="000A2E18"/>
    <w:rsid w:val="000A3004"/>
    <w:rsid w:val="000A6B48"/>
    <w:rsid w:val="000A7687"/>
    <w:rsid w:val="000A7A78"/>
    <w:rsid w:val="000B2BFE"/>
    <w:rsid w:val="000B3C2E"/>
    <w:rsid w:val="000B6A26"/>
    <w:rsid w:val="000B789B"/>
    <w:rsid w:val="000C3E00"/>
    <w:rsid w:val="000C5E52"/>
    <w:rsid w:val="000C7A83"/>
    <w:rsid w:val="000D5BB4"/>
    <w:rsid w:val="000E1D67"/>
    <w:rsid w:val="000E3032"/>
    <w:rsid w:val="000E61A3"/>
    <w:rsid w:val="000E7953"/>
    <w:rsid w:val="000F0650"/>
    <w:rsid w:val="000F1146"/>
    <w:rsid w:val="000F2179"/>
    <w:rsid w:val="000F346E"/>
    <w:rsid w:val="00101319"/>
    <w:rsid w:val="001029FB"/>
    <w:rsid w:val="00107C68"/>
    <w:rsid w:val="00111C42"/>
    <w:rsid w:val="00116247"/>
    <w:rsid w:val="001174A2"/>
    <w:rsid w:val="00120C93"/>
    <w:rsid w:val="00120ECC"/>
    <w:rsid w:val="0012268F"/>
    <w:rsid w:val="00123407"/>
    <w:rsid w:val="00123C8D"/>
    <w:rsid w:val="00130261"/>
    <w:rsid w:val="00130EDB"/>
    <w:rsid w:val="00132217"/>
    <w:rsid w:val="00136DD1"/>
    <w:rsid w:val="001405B6"/>
    <w:rsid w:val="00140E32"/>
    <w:rsid w:val="00142C9B"/>
    <w:rsid w:val="0014344F"/>
    <w:rsid w:val="00143591"/>
    <w:rsid w:val="00145CBC"/>
    <w:rsid w:val="00146BA3"/>
    <w:rsid w:val="00147BC8"/>
    <w:rsid w:val="00151D2C"/>
    <w:rsid w:val="00152330"/>
    <w:rsid w:val="00152BB2"/>
    <w:rsid w:val="00154639"/>
    <w:rsid w:val="00155E90"/>
    <w:rsid w:val="0015630A"/>
    <w:rsid w:val="00156C9B"/>
    <w:rsid w:val="001572CE"/>
    <w:rsid w:val="00157D09"/>
    <w:rsid w:val="00163E61"/>
    <w:rsid w:val="00163F85"/>
    <w:rsid w:val="001651F4"/>
    <w:rsid w:val="00166A3D"/>
    <w:rsid w:val="00170B19"/>
    <w:rsid w:val="00171696"/>
    <w:rsid w:val="00176B80"/>
    <w:rsid w:val="001823C0"/>
    <w:rsid w:val="00182796"/>
    <w:rsid w:val="00185E6C"/>
    <w:rsid w:val="00194079"/>
    <w:rsid w:val="00194AC9"/>
    <w:rsid w:val="00196DF3"/>
    <w:rsid w:val="001A13CF"/>
    <w:rsid w:val="001A18AE"/>
    <w:rsid w:val="001A4629"/>
    <w:rsid w:val="001A5830"/>
    <w:rsid w:val="001A73FC"/>
    <w:rsid w:val="001B03E8"/>
    <w:rsid w:val="001B03F1"/>
    <w:rsid w:val="001B343E"/>
    <w:rsid w:val="001C252C"/>
    <w:rsid w:val="001C3D1A"/>
    <w:rsid w:val="001C41D9"/>
    <w:rsid w:val="001C4C7F"/>
    <w:rsid w:val="001C67E2"/>
    <w:rsid w:val="001C78FF"/>
    <w:rsid w:val="001C7C76"/>
    <w:rsid w:val="001D6421"/>
    <w:rsid w:val="001E0966"/>
    <w:rsid w:val="001F2ED4"/>
    <w:rsid w:val="001F3E4E"/>
    <w:rsid w:val="001F46F8"/>
    <w:rsid w:val="001F61C2"/>
    <w:rsid w:val="001F6857"/>
    <w:rsid w:val="00202018"/>
    <w:rsid w:val="00202C57"/>
    <w:rsid w:val="00202EDF"/>
    <w:rsid w:val="002048D5"/>
    <w:rsid w:val="00204D4C"/>
    <w:rsid w:val="00206128"/>
    <w:rsid w:val="00206598"/>
    <w:rsid w:val="002073E5"/>
    <w:rsid w:val="00210E9F"/>
    <w:rsid w:val="00211768"/>
    <w:rsid w:val="00212F23"/>
    <w:rsid w:val="00214AAA"/>
    <w:rsid w:val="00215C9B"/>
    <w:rsid w:val="00216089"/>
    <w:rsid w:val="002169F8"/>
    <w:rsid w:val="00220622"/>
    <w:rsid w:val="00223262"/>
    <w:rsid w:val="00223FD6"/>
    <w:rsid w:val="002240A0"/>
    <w:rsid w:val="002255B1"/>
    <w:rsid w:val="002255E4"/>
    <w:rsid w:val="002260CA"/>
    <w:rsid w:val="00226286"/>
    <w:rsid w:val="00226E2C"/>
    <w:rsid w:val="0022714C"/>
    <w:rsid w:val="002271CD"/>
    <w:rsid w:val="00230A06"/>
    <w:rsid w:val="00234003"/>
    <w:rsid w:val="00234FA6"/>
    <w:rsid w:val="002470D2"/>
    <w:rsid w:val="0024713D"/>
    <w:rsid w:val="002507D4"/>
    <w:rsid w:val="00250AD4"/>
    <w:rsid w:val="002549D5"/>
    <w:rsid w:val="00255E48"/>
    <w:rsid w:val="00256250"/>
    <w:rsid w:val="002573B0"/>
    <w:rsid w:val="002576E9"/>
    <w:rsid w:val="00261C8C"/>
    <w:rsid w:val="002635D2"/>
    <w:rsid w:val="00263E76"/>
    <w:rsid w:val="002648CC"/>
    <w:rsid w:val="0026587F"/>
    <w:rsid w:val="002668C5"/>
    <w:rsid w:val="002751C7"/>
    <w:rsid w:val="00277656"/>
    <w:rsid w:val="0028317C"/>
    <w:rsid w:val="00286F5F"/>
    <w:rsid w:val="0029033D"/>
    <w:rsid w:val="00291CA4"/>
    <w:rsid w:val="00291D78"/>
    <w:rsid w:val="002932BE"/>
    <w:rsid w:val="0029678F"/>
    <w:rsid w:val="002A057F"/>
    <w:rsid w:val="002A277F"/>
    <w:rsid w:val="002A2BA9"/>
    <w:rsid w:val="002A4809"/>
    <w:rsid w:val="002A64CC"/>
    <w:rsid w:val="002A6C38"/>
    <w:rsid w:val="002A775E"/>
    <w:rsid w:val="002B0409"/>
    <w:rsid w:val="002B244C"/>
    <w:rsid w:val="002B353E"/>
    <w:rsid w:val="002B42CE"/>
    <w:rsid w:val="002B67F8"/>
    <w:rsid w:val="002B7CBB"/>
    <w:rsid w:val="002C036F"/>
    <w:rsid w:val="002C5955"/>
    <w:rsid w:val="002C6132"/>
    <w:rsid w:val="002C62B2"/>
    <w:rsid w:val="002C75A7"/>
    <w:rsid w:val="002D1804"/>
    <w:rsid w:val="002D3E51"/>
    <w:rsid w:val="002D4A2D"/>
    <w:rsid w:val="002E0BE5"/>
    <w:rsid w:val="002F7868"/>
    <w:rsid w:val="0030137F"/>
    <w:rsid w:val="00302AF3"/>
    <w:rsid w:val="00304650"/>
    <w:rsid w:val="003058C8"/>
    <w:rsid w:val="0030771C"/>
    <w:rsid w:val="003104C7"/>
    <w:rsid w:val="003135F1"/>
    <w:rsid w:val="00313A75"/>
    <w:rsid w:val="00313E4C"/>
    <w:rsid w:val="00320738"/>
    <w:rsid w:val="0032149F"/>
    <w:rsid w:val="00322173"/>
    <w:rsid w:val="00322289"/>
    <w:rsid w:val="0032317C"/>
    <w:rsid w:val="00323423"/>
    <w:rsid w:val="00324266"/>
    <w:rsid w:val="00327ACB"/>
    <w:rsid w:val="00337262"/>
    <w:rsid w:val="00337BB1"/>
    <w:rsid w:val="00343163"/>
    <w:rsid w:val="003453CE"/>
    <w:rsid w:val="00346C62"/>
    <w:rsid w:val="00352460"/>
    <w:rsid w:val="003568FE"/>
    <w:rsid w:val="00357931"/>
    <w:rsid w:val="0036017B"/>
    <w:rsid w:val="00360452"/>
    <w:rsid w:val="00363C23"/>
    <w:rsid w:val="0036535D"/>
    <w:rsid w:val="00367CC6"/>
    <w:rsid w:val="00367D33"/>
    <w:rsid w:val="00370D16"/>
    <w:rsid w:val="0037323B"/>
    <w:rsid w:val="0037562F"/>
    <w:rsid w:val="00375A99"/>
    <w:rsid w:val="003772B3"/>
    <w:rsid w:val="00380E08"/>
    <w:rsid w:val="00381884"/>
    <w:rsid w:val="00381E94"/>
    <w:rsid w:val="003822F4"/>
    <w:rsid w:val="003826FD"/>
    <w:rsid w:val="00387419"/>
    <w:rsid w:val="0039114C"/>
    <w:rsid w:val="003929D1"/>
    <w:rsid w:val="003A1570"/>
    <w:rsid w:val="003A3369"/>
    <w:rsid w:val="003A3C3F"/>
    <w:rsid w:val="003A403A"/>
    <w:rsid w:val="003A6F52"/>
    <w:rsid w:val="003A71B5"/>
    <w:rsid w:val="003A7E2A"/>
    <w:rsid w:val="003B0C7F"/>
    <w:rsid w:val="003B2B9F"/>
    <w:rsid w:val="003B34FB"/>
    <w:rsid w:val="003B355E"/>
    <w:rsid w:val="003C4731"/>
    <w:rsid w:val="003C53CD"/>
    <w:rsid w:val="003C7F70"/>
    <w:rsid w:val="003D0331"/>
    <w:rsid w:val="003D16B6"/>
    <w:rsid w:val="003D22FE"/>
    <w:rsid w:val="003D244A"/>
    <w:rsid w:val="003D3FC5"/>
    <w:rsid w:val="003D44DD"/>
    <w:rsid w:val="003D79EC"/>
    <w:rsid w:val="003E1310"/>
    <w:rsid w:val="003E47E1"/>
    <w:rsid w:val="003E4C1D"/>
    <w:rsid w:val="003E6338"/>
    <w:rsid w:val="003F3208"/>
    <w:rsid w:val="003F51AE"/>
    <w:rsid w:val="003F77D0"/>
    <w:rsid w:val="0040224E"/>
    <w:rsid w:val="004033E5"/>
    <w:rsid w:val="00405171"/>
    <w:rsid w:val="004079C3"/>
    <w:rsid w:val="00410165"/>
    <w:rsid w:val="00414F00"/>
    <w:rsid w:val="00417EB1"/>
    <w:rsid w:val="004243BF"/>
    <w:rsid w:val="004259AA"/>
    <w:rsid w:val="0042658C"/>
    <w:rsid w:val="00426C54"/>
    <w:rsid w:val="00430A45"/>
    <w:rsid w:val="00432D04"/>
    <w:rsid w:val="004345F4"/>
    <w:rsid w:val="004367BA"/>
    <w:rsid w:val="004404D1"/>
    <w:rsid w:val="00454102"/>
    <w:rsid w:val="004564E8"/>
    <w:rsid w:val="004607FC"/>
    <w:rsid w:val="00461364"/>
    <w:rsid w:val="00462CD4"/>
    <w:rsid w:val="00463821"/>
    <w:rsid w:val="004654C9"/>
    <w:rsid w:val="00465FA7"/>
    <w:rsid w:val="0047317F"/>
    <w:rsid w:val="00473F82"/>
    <w:rsid w:val="00476B66"/>
    <w:rsid w:val="00481BE3"/>
    <w:rsid w:val="00483EA0"/>
    <w:rsid w:val="0048714C"/>
    <w:rsid w:val="00491632"/>
    <w:rsid w:val="0049716F"/>
    <w:rsid w:val="004A55BB"/>
    <w:rsid w:val="004A6331"/>
    <w:rsid w:val="004A7068"/>
    <w:rsid w:val="004B185F"/>
    <w:rsid w:val="004B199D"/>
    <w:rsid w:val="004B786C"/>
    <w:rsid w:val="004C102F"/>
    <w:rsid w:val="004C3912"/>
    <w:rsid w:val="004C41C3"/>
    <w:rsid w:val="004C4556"/>
    <w:rsid w:val="004C5F6F"/>
    <w:rsid w:val="004C6263"/>
    <w:rsid w:val="004C6AEB"/>
    <w:rsid w:val="004C7DF2"/>
    <w:rsid w:val="004D0FDF"/>
    <w:rsid w:val="004D1470"/>
    <w:rsid w:val="004D21E7"/>
    <w:rsid w:val="004D2BE5"/>
    <w:rsid w:val="004D3528"/>
    <w:rsid w:val="004D7215"/>
    <w:rsid w:val="004E02DE"/>
    <w:rsid w:val="004E0873"/>
    <w:rsid w:val="004E14F1"/>
    <w:rsid w:val="004E2AC4"/>
    <w:rsid w:val="004E428E"/>
    <w:rsid w:val="004E5C1A"/>
    <w:rsid w:val="004F1B8E"/>
    <w:rsid w:val="004F3230"/>
    <w:rsid w:val="004F6102"/>
    <w:rsid w:val="004F6BCB"/>
    <w:rsid w:val="004F75FB"/>
    <w:rsid w:val="00502B25"/>
    <w:rsid w:val="00502CE2"/>
    <w:rsid w:val="00502EE7"/>
    <w:rsid w:val="00503454"/>
    <w:rsid w:val="005037A6"/>
    <w:rsid w:val="00507A1C"/>
    <w:rsid w:val="00510175"/>
    <w:rsid w:val="00510989"/>
    <w:rsid w:val="00512E35"/>
    <w:rsid w:val="00514E7D"/>
    <w:rsid w:val="00521332"/>
    <w:rsid w:val="00524C21"/>
    <w:rsid w:val="00525A80"/>
    <w:rsid w:val="00526A3D"/>
    <w:rsid w:val="00527307"/>
    <w:rsid w:val="0053209B"/>
    <w:rsid w:val="00533D9E"/>
    <w:rsid w:val="00540076"/>
    <w:rsid w:val="005419E2"/>
    <w:rsid w:val="00543167"/>
    <w:rsid w:val="00547ADC"/>
    <w:rsid w:val="00547E7D"/>
    <w:rsid w:val="005532C2"/>
    <w:rsid w:val="005532F3"/>
    <w:rsid w:val="00554C5F"/>
    <w:rsid w:val="005623CD"/>
    <w:rsid w:val="0056438B"/>
    <w:rsid w:val="00564B0B"/>
    <w:rsid w:val="0056639E"/>
    <w:rsid w:val="005669ED"/>
    <w:rsid w:val="00567DBA"/>
    <w:rsid w:val="0057079F"/>
    <w:rsid w:val="005712E2"/>
    <w:rsid w:val="0057179E"/>
    <w:rsid w:val="00571B9C"/>
    <w:rsid w:val="005721DF"/>
    <w:rsid w:val="0057544F"/>
    <w:rsid w:val="0057751F"/>
    <w:rsid w:val="00585960"/>
    <w:rsid w:val="005860F1"/>
    <w:rsid w:val="00586308"/>
    <w:rsid w:val="005915BF"/>
    <w:rsid w:val="00591DFF"/>
    <w:rsid w:val="00592A7F"/>
    <w:rsid w:val="00594E3F"/>
    <w:rsid w:val="005963C3"/>
    <w:rsid w:val="0059650B"/>
    <w:rsid w:val="005A183B"/>
    <w:rsid w:val="005A1D2D"/>
    <w:rsid w:val="005A25BB"/>
    <w:rsid w:val="005A2EEF"/>
    <w:rsid w:val="005A73C6"/>
    <w:rsid w:val="005B0592"/>
    <w:rsid w:val="005B205B"/>
    <w:rsid w:val="005B3E6F"/>
    <w:rsid w:val="005B4C39"/>
    <w:rsid w:val="005C26AA"/>
    <w:rsid w:val="005C43CF"/>
    <w:rsid w:val="005C43F7"/>
    <w:rsid w:val="005C5C33"/>
    <w:rsid w:val="005D0776"/>
    <w:rsid w:val="005D2F33"/>
    <w:rsid w:val="005D35EA"/>
    <w:rsid w:val="005D37EC"/>
    <w:rsid w:val="005D6DC3"/>
    <w:rsid w:val="005D74C8"/>
    <w:rsid w:val="005D77C0"/>
    <w:rsid w:val="005E1E46"/>
    <w:rsid w:val="005E1EE3"/>
    <w:rsid w:val="005E271F"/>
    <w:rsid w:val="005E490D"/>
    <w:rsid w:val="005F065A"/>
    <w:rsid w:val="005F1172"/>
    <w:rsid w:val="005F1F6E"/>
    <w:rsid w:val="005F317B"/>
    <w:rsid w:val="005F5041"/>
    <w:rsid w:val="005F7D44"/>
    <w:rsid w:val="006004A8"/>
    <w:rsid w:val="006019D6"/>
    <w:rsid w:val="00606A3B"/>
    <w:rsid w:val="006171D1"/>
    <w:rsid w:val="00617448"/>
    <w:rsid w:val="0062111F"/>
    <w:rsid w:val="0062155A"/>
    <w:rsid w:val="00622830"/>
    <w:rsid w:val="00623618"/>
    <w:rsid w:val="00623879"/>
    <w:rsid w:val="006244B1"/>
    <w:rsid w:val="00625587"/>
    <w:rsid w:val="00627B96"/>
    <w:rsid w:val="00627C4A"/>
    <w:rsid w:val="006303CD"/>
    <w:rsid w:val="00636DF4"/>
    <w:rsid w:val="0064425D"/>
    <w:rsid w:val="00645382"/>
    <w:rsid w:val="0064758A"/>
    <w:rsid w:val="00655939"/>
    <w:rsid w:val="00655977"/>
    <w:rsid w:val="00655A47"/>
    <w:rsid w:val="006609EF"/>
    <w:rsid w:val="00662B38"/>
    <w:rsid w:val="00662D3A"/>
    <w:rsid w:val="00663B25"/>
    <w:rsid w:val="00671358"/>
    <w:rsid w:val="00672F52"/>
    <w:rsid w:val="00673DD9"/>
    <w:rsid w:val="00674495"/>
    <w:rsid w:val="006753F4"/>
    <w:rsid w:val="00675AC5"/>
    <w:rsid w:val="0068344C"/>
    <w:rsid w:val="00686A0F"/>
    <w:rsid w:val="00690606"/>
    <w:rsid w:val="00690B35"/>
    <w:rsid w:val="00694A70"/>
    <w:rsid w:val="00697302"/>
    <w:rsid w:val="006A336A"/>
    <w:rsid w:val="006A5BCB"/>
    <w:rsid w:val="006A6086"/>
    <w:rsid w:val="006A6F51"/>
    <w:rsid w:val="006A7CC1"/>
    <w:rsid w:val="006B1B4C"/>
    <w:rsid w:val="006B639C"/>
    <w:rsid w:val="006C1F67"/>
    <w:rsid w:val="006C578F"/>
    <w:rsid w:val="006C7218"/>
    <w:rsid w:val="006D1854"/>
    <w:rsid w:val="006D20F7"/>
    <w:rsid w:val="006D5C3C"/>
    <w:rsid w:val="006D6F33"/>
    <w:rsid w:val="006D75B5"/>
    <w:rsid w:val="006D7FBF"/>
    <w:rsid w:val="006E117B"/>
    <w:rsid w:val="006E380E"/>
    <w:rsid w:val="006E3C1B"/>
    <w:rsid w:val="006E4A1C"/>
    <w:rsid w:val="006E59EB"/>
    <w:rsid w:val="006E7575"/>
    <w:rsid w:val="006E791D"/>
    <w:rsid w:val="006F0015"/>
    <w:rsid w:val="006F25F9"/>
    <w:rsid w:val="006F2611"/>
    <w:rsid w:val="006F2EAD"/>
    <w:rsid w:val="006F42E7"/>
    <w:rsid w:val="006F738A"/>
    <w:rsid w:val="006F7B7C"/>
    <w:rsid w:val="00701393"/>
    <w:rsid w:val="00702EA1"/>
    <w:rsid w:val="00710FDE"/>
    <w:rsid w:val="00711454"/>
    <w:rsid w:val="00712205"/>
    <w:rsid w:val="007127B7"/>
    <w:rsid w:val="00717384"/>
    <w:rsid w:val="00720AFE"/>
    <w:rsid w:val="00720E65"/>
    <w:rsid w:val="00722B9B"/>
    <w:rsid w:val="00722CE7"/>
    <w:rsid w:val="00724852"/>
    <w:rsid w:val="00725D4A"/>
    <w:rsid w:val="007278B5"/>
    <w:rsid w:val="007307CB"/>
    <w:rsid w:val="00734A94"/>
    <w:rsid w:val="007369E2"/>
    <w:rsid w:val="00745531"/>
    <w:rsid w:val="00745816"/>
    <w:rsid w:val="007468D0"/>
    <w:rsid w:val="0074760C"/>
    <w:rsid w:val="00751E1C"/>
    <w:rsid w:val="00752C0A"/>
    <w:rsid w:val="00753698"/>
    <w:rsid w:val="00753BC2"/>
    <w:rsid w:val="00754067"/>
    <w:rsid w:val="00757A7E"/>
    <w:rsid w:val="00760766"/>
    <w:rsid w:val="00760C37"/>
    <w:rsid w:val="007718EE"/>
    <w:rsid w:val="0077226A"/>
    <w:rsid w:val="00776325"/>
    <w:rsid w:val="00776404"/>
    <w:rsid w:val="0077719F"/>
    <w:rsid w:val="007773F2"/>
    <w:rsid w:val="0078477A"/>
    <w:rsid w:val="007853CA"/>
    <w:rsid w:val="00785B59"/>
    <w:rsid w:val="00785EEF"/>
    <w:rsid w:val="00791FCC"/>
    <w:rsid w:val="007950F4"/>
    <w:rsid w:val="00796FDA"/>
    <w:rsid w:val="007A6628"/>
    <w:rsid w:val="007A70F5"/>
    <w:rsid w:val="007B120B"/>
    <w:rsid w:val="007B24A5"/>
    <w:rsid w:val="007B4476"/>
    <w:rsid w:val="007B4A4E"/>
    <w:rsid w:val="007B69C7"/>
    <w:rsid w:val="007B6D49"/>
    <w:rsid w:val="007C161A"/>
    <w:rsid w:val="007C2AAB"/>
    <w:rsid w:val="007C4449"/>
    <w:rsid w:val="007C7FED"/>
    <w:rsid w:val="007D2E5E"/>
    <w:rsid w:val="007D484A"/>
    <w:rsid w:val="007D4ABC"/>
    <w:rsid w:val="007E0133"/>
    <w:rsid w:val="007E1348"/>
    <w:rsid w:val="007F0406"/>
    <w:rsid w:val="007F2482"/>
    <w:rsid w:val="007F4B07"/>
    <w:rsid w:val="007F77CA"/>
    <w:rsid w:val="00800A83"/>
    <w:rsid w:val="00801515"/>
    <w:rsid w:val="008020D4"/>
    <w:rsid w:val="008026D1"/>
    <w:rsid w:val="00804BF6"/>
    <w:rsid w:val="008077B8"/>
    <w:rsid w:val="008127DF"/>
    <w:rsid w:val="0081350A"/>
    <w:rsid w:val="00814927"/>
    <w:rsid w:val="00815013"/>
    <w:rsid w:val="008161E5"/>
    <w:rsid w:val="00820BBF"/>
    <w:rsid w:val="008245AE"/>
    <w:rsid w:val="0083089E"/>
    <w:rsid w:val="008312CE"/>
    <w:rsid w:val="00833A6D"/>
    <w:rsid w:val="00835BE3"/>
    <w:rsid w:val="0083627F"/>
    <w:rsid w:val="008368E4"/>
    <w:rsid w:val="00837665"/>
    <w:rsid w:val="00842E6F"/>
    <w:rsid w:val="00845E70"/>
    <w:rsid w:val="00846503"/>
    <w:rsid w:val="008466D1"/>
    <w:rsid w:val="00847C4B"/>
    <w:rsid w:val="00854461"/>
    <w:rsid w:val="00860C74"/>
    <w:rsid w:val="0086145C"/>
    <w:rsid w:val="00861FC8"/>
    <w:rsid w:val="008621B5"/>
    <w:rsid w:val="00862310"/>
    <w:rsid w:val="00862DD6"/>
    <w:rsid w:val="0087199D"/>
    <w:rsid w:val="008748F3"/>
    <w:rsid w:val="00875428"/>
    <w:rsid w:val="00876441"/>
    <w:rsid w:val="00883B0B"/>
    <w:rsid w:val="00886F11"/>
    <w:rsid w:val="008871B1"/>
    <w:rsid w:val="0088766C"/>
    <w:rsid w:val="00891FBB"/>
    <w:rsid w:val="0089433A"/>
    <w:rsid w:val="00895220"/>
    <w:rsid w:val="008959A3"/>
    <w:rsid w:val="008A1CD0"/>
    <w:rsid w:val="008A4A08"/>
    <w:rsid w:val="008A6B4E"/>
    <w:rsid w:val="008A6D52"/>
    <w:rsid w:val="008B343D"/>
    <w:rsid w:val="008B4642"/>
    <w:rsid w:val="008C0D42"/>
    <w:rsid w:val="008C1CA7"/>
    <w:rsid w:val="008C21BD"/>
    <w:rsid w:val="008C6434"/>
    <w:rsid w:val="008D097B"/>
    <w:rsid w:val="008D1BF4"/>
    <w:rsid w:val="008D3389"/>
    <w:rsid w:val="008D4B7D"/>
    <w:rsid w:val="008D7EC2"/>
    <w:rsid w:val="008E2D17"/>
    <w:rsid w:val="008E36FB"/>
    <w:rsid w:val="008E48F1"/>
    <w:rsid w:val="008E6B1C"/>
    <w:rsid w:val="008E6E95"/>
    <w:rsid w:val="008F59E6"/>
    <w:rsid w:val="008F60B8"/>
    <w:rsid w:val="00902292"/>
    <w:rsid w:val="009044A6"/>
    <w:rsid w:val="00904AAE"/>
    <w:rsid w:val="00907D5F"/>
    <w:rsid w:val="009133C0"/>
    <w:rsid w:val="00916F69"/>
    <w:rsid w:val="009207D8"/>
    <w:rsid w:val="00920BFB"/>
    <w:rsid w:val="00920DE2"/>
    <w:rsid w:val="00923266"/>
    <w:rsid w:val="00923E33"/>
    <w:rsid w:val="00924DD1"/>
    <w:rsid w:val="00924FBE"/>
    <w:rsid w:val="009254A0"/>
    <w:rsid w:val="00930DC9"/>
    <w:rsid w:val="00932288"/>
    <w:rsid w:val="0093520E"/>
    <w:rsid w:val="00936872"/>
    <w:rsid w:val="00937860"/>
    <w:rsid w:val="00940B7D"/>
    <w:rsid w:val="00944038"/>
    <w:rsid w:val="00945D49"/>
    <w:rsid w:val="00947602"/>
    <w:rsid w:val="00950C05"/>
    <w:rsid w:val="00954456"/>
    <w:rsid w:val="00954C49"/>
    <w:rsid w:val="00955402"/>
    <w:rsid w:val="0096232A"/>
    <w:rsid w:val="00963A84"/>
    <w:rsid w:val="00966D80"/>
    <w:rsid w:val="009671F1"/>
    <w:rsid w:val="00970F28"/>
    <w:rsid w:val="009714D2"/>
    <w:rsid w:val="009727DB"/>
    <w:rsid w:val="00975D26"/>
    <w:rsid w:val="009771C4"/>
    <w:rsid w:val="009779F5"/>
    <w:rsid w:val="009807C3"/>
    <w:rsid w:val="00984179"/>
    <w:rsid w:val="00994565"/>
    <w:rsid w:val="009952F9"/>
    <w:rsid w:val="009A2F99"/>
    <w:rsid w:val="009A6373"/>
    <w:rsid w:val="009A7642"/>
    <w:rsid w:val="009A77F3"/>
    <w:rsid w:val="009A7F63"/>
    <w:rsid w:val="009B0C4E"/>
    <w:rsid w:val="009B3B8E"/>
    <w:rsid w:val="009B4AD8"/>
    <w:rsid w:val="009C05BF"/>
    <w:rsid w:val="009D1E17"/>
    <w:rsid w:val="009D4CD4"/>
    <w:rsid w:val="009D58B0"/>
    <w:rsid w:val="009E1637"/>
    <w:rsid w:val="009E68BF"/>
    <w:rsid w:val="009E7A03"/>
    <w:rsid w:val="009F1D33"/>
    <w:rsid w:val="009F23F8"/>
    <w:rsid w:val="009F2553"/>
    <w:rsid w:val="009F2805"/>
    <w:rsid w:val="009F3D1E"/>
    <w:rsid w:val="009F7D78"/>
    <w:rsid w:val="00A00626"/>
    <w:rsid w:val="00A0672D"/>
    <w:rsid w:val="00A072C8"/>
    <w:rsid w:val="00A07A54"/>
    <w:rsid w:val="00A1188D"/>
    <w:rsid w:val="00A12CE1"/>
    <w:rsid w:val="00A218BC"/>
    <w:rsid w:val="00A26C1A"/>
    <w:rsid w:val="00A26FE9"/>
    <w:rsid w:val="00A2778A"/>
    <w:rsid w:val="00A27ABB"/>
    <w:rsid w:val="00A27AFC"/>
    <w:rsid w:val="00A31AFE"/>
    <w:rsid w:val="00A31B7F"/>
    <w:rsid w:val="00A358DD"/>
    <w:rsid w:val="00A37E0D"/>
    <w:rsid w:val="00A40DA6"/>
    <w:rsid w:val="00A42387"/>
    <w:rsid w:val="00A42770"/>
    <w:rsid w:val="00A430E4"/>
    <w:rsid w:val="00A43A2F"/>
    <w:rsid w:val="00A451B6"/>
    <w:rsid w:val="00A451DE"/>
    <w:rsid w:val="00A454D3"/>
    <w:rsid w:val="00A45907"/>
    <w:rsid w:val="00A4776E"/>
    <w:rsid w:val="00A55EAD"/>
    <w:rsid w:val="00A65998"/>
    <w:rsid w:val="00A671EC"/>
    <w:rsid w:val="00A67729"/>
    <w:rsid w:val="00A71666"/>
    <w:rsid w:val="00A75079"/>
    <w:rsid w:val="00A75839"/>
    <w:rsid w:val="00A76FBD"/>
    <w:rsid w:val="00A83C0D"/>
    <w:rsid w:val="00A84706"/>
    <w:rsid w:val="00A854A3"/>
    <w:rsid w:val="00A90A55"/>
    <w:rsid w:val="00A94BC7"/>
    <w:rsid w:val="00A950CF"/>
    <w:rsid w:val="00A96545"/>
    <w:rsid w:val="00AA11CA"/>
    <w:rsid w:val="00AA2FE1"/>
    <w:rsid w:val="00AA3EE4"/>
    <w:rsid w:val="00AA673D"/>
    <w:rsid w:val="00AA6987"/>
    <w:rsid w:val="00AA784A"/>
    <w:rsid w:val="00AA790F"/>
    <w:rsid w:val="00AB00BB"/>
    <w:rsid w:val="00AB2B51"/>
    <w:rsid w:val="00AB4015"/>
    <w:rsid w:val="00AB5A39"/>
    <w:rsid w:val="00AC0303"/>
    <w:rsid w:val="00AC376B"/>
    <w:rsid w:val="00AC48B8"/>
    <w:rsid w:val="00AD0CB9"/>
    <w:rsid w:val="00AD3BE1"/>
    <w:rsid w:val="00AD3BF1"/>
    <w:rsid w:val="00AD45A0"/>
    <w:rsid w:val="00AD6E73"/>
    <w:rsid w:val="00AE09E6"/>
    <w:rsid w:val="00AE0E3E"/>
    <w:rsid w:val="00AE6AED"/>
    <w:rsid w:val="00AF2B9D"/>
    <w:rsid w:val="00AF467C"/>
    <w:rsid w:val="00AF4C30"/>
    <w:rsid w:val="00AF5530"/>
    <w:rsid w:val="00AF6547"/>
    <w:rsid w:val="00B00021"/>
    <w:rsid w:val="00B02A9C"/>
    <w:rsid w:val="00B043F5"/>
    <w:rsid w:val="00B05E99"/>
    <w:rsid w:val="00B068EA"/>
    <w:rsid w:val="00B06EC1"/>
    <w:rsid w:val="00B1057B"/>
    <w:rsid w:val="00B1150E"/>
    <w:rsid w:val="00B1208F"/>
    <w:rsid w:val="00B12B1D"/>
    <w:rsid w:val="00B14989"/>
    <w:rsid w:val="00B149EB"/>
    <w:rsid w:val="00B158C0"/>
    <w:rsid w:val="00B16984"/>
    <w:rsid w:val="00B17076"/>
    <w:rsid w:val="00B17B1D"/>
    <w:rsid w:val="00B211EB"/>
    <w:rsid w:val="00B21A04"/>
    <w:rsid w:val="00B24CB4"/>
    <w:rsid w:val="00B2643C"/>
    <w:rsid w:val="00B27A9C"/>
    <w:rsid w:val="00B30BFF"/>
    <w:rsid w:val="00B323C3"/>
    <w:rsid w:val="00B35239"/>
    <w:rsid w:val="00B36299"/>
    <w:rsid w:val="00B36B94"/>
    <w:rsid w:val="00B46B77"/>
    <w:rsid w:val="00B50F6D"/>
    <w:rsid w:val="00B52575"/>
    <w:rsid w:val="00B64723"/>
    <w:rsid w:val="00B654C9"/>
    <w:rsid w:val="00B70438"/>
    <w:rsid w:val="00B712B8"/>
    <w:rsid w:val="00B765DD"/>
    <w:rsid w:val="00B81269"/>
    <w:rsid w:val="00B81598"/>
    <w:rsid w:val="00B95BEE"/>
    <w:rsid w:val="00BA0C6A"/>
    <w:rsid w:val="00BA49D5"/>
    <w:rsid w:val="00BA5A0D"/>
    <w:rsid w:val="00BA721B"/>
    <w:rsid w:val="00BB063E"/>
    <w:rsid w:val="00BB1CE4"/>
    <w:rsid w:val="00BB440B"/>
    <w:rsid w:val="00BB5164"/>
    <w:rsid w:val="00BC1922"/>
    <w:rsid w:val="00BC2C18"/>
    <w:rsid w:val="00BC3173"/>
    <w:rsid w:val="00BC358D"/>
    <w:rsid w:val="00BC418A"/>
    <w:rsid w:val="00BC4DCD"/>
    <w:rsid w:val="00BC5361"/>
    <w:rsid w:val="00BC6534"/>
    <w:rsid w:val="00BD03DE"/>
    <w:rsid w:val="00BD2CAA"/>
    <w:rsid w:val="00BD4582"/>
    <w:rsid w:val="00BD6D56"/>
    <w:rsid w:val="00BE00B3"/>
    <w:rsid w:val="00BE1193"/>
    <w:rsid w:val="00BE385D"/>
    <w:rsid w:val="00BE64D8"/>
    <w:rsid w:val="00BE710B"/>
    <w:rsid w:val="00BF3834"/>
    <w:rsid w:val="00BF531F"/>
    <w:rsid w:val="00BF6499"/>
    <w:rsid w:val="00BF7B07"/>
    <w:rsid w:val="00C008B3"/>
    <w:rsid w:val="00C04184"/>
    <w:rsid w:val="00C05D4A"/>
    <w:rsid w:val="00C06B71"/>
    <w:rsid w:val="00C06CEC"/>
    <w:rsid w:val="00C06D0B"/>
    <w:rsid w:val="00C10259"/>
    <w:rsid w:val="00C10268"/>
    <w:rsid w:val="00C117FB"/>
    <w:rsid w:val="00C15504"/>
    <w:rsid w:val="00C164F9"/>
    <w:rsid w:val="00C222B1"/>
    <w:rsid w:val="00C313C7"/>
    <w:rsid w:val="00C3195E"/>
    <w:rsid w:val="00C31D26"/>
    <w:rsid w:val="00C35871"/>
    <w:rsid w:val="00C35C14"/>
    <w:rsid w:val="00C366D6"/>
    <w:rsid w:val="00C379C5"/>
    <w:rsid w:val="00C37C1B"/>
    <w:rsid w:val="00C4202D"/>
    <w:rsid w:val="00C42709"/>
    <w:rsid w:val="00C43E11"/>
    <w:rsid w:val="00C53AEA"/>
    <w:rsid w:val="00C551C7"/>
    <w:rsid w:val="00C55467"/>
    <w:rsid w:val="00C56C2F"/>
    <w:rsid w:val="00C5751C"/>
    <w:rsid w:val="00C6450C"/>
    <w:rsid w:val="00C660CA"/>
    <w:rsid w:val="00C67F95"/>
    <w:rsid w:val="00C70AEB"/>
    <w:rsid w:val="00C74F1A"/>
    <w:rsid w:val="00C807DA"/>
    <w:rsid w:val="00C80B04"/>
    <w:rsid w:val="00C81984"/>
    <w:rsid w:val="00C81C09"/>
    <w:rsid w:val="00C85985"/>
    <w:rsid w:val="00C869B8"/>
    <w:rsid w:val="00C9112C"/>
    <w:rsid w:val="00C916F2"/>
    <w:rsid w:val="00C92A3E"/>
    <w:rsid w:val="00C92D63"/>
    <w:rsid w:val="00C95E85"/>
    <w:rsid w:val="00C9629C"/>
    <w:rsid w:val="00C96FF7"/>
    <w:rsid w:val="00C97A08"/>
    <w:rsid w:val="00CA3245"/>
    <w:rsid w:val="00CA4666"/>
    <w:rsid w:val="00CA76C7"/>
    <w:rsid w:val="00CB3617"/>
    <w:rsid w:val="00CB43F7"/>
    <w:rsid w:val="00CC48E6"/>
    <w:rsid w:val="00CC6259"/>
    <w:rsid w:val="00CC6FC5"/>
    <w:rsid w:val="00CD53E7"/>
    <w:rsid w:val="00CD57AE"/>
    <w:rsid w:val="00CD6079"/>
    <w:rsid w:val="00CE08C1"/>
    <w:rsid w:val="00CE0A68"/>
    <w:rsid w:val="00CE49DA"/>
    <w:rsid w:val="00CE6CCF"/>
    <w:rsid w:val="00CF68C9"/>
    <w:rsid w:val="00CF6B23"/>
    <w:rsid w:val="00D017EE"/>
    <w:rsid w:val="00D053CB"/>
    <w:rsid w:val="00D0542B"/>
    <w:rsid w:val="00D076D7"/>
    <w:rsid w:val="00D12542"/>
    <w:rsid w:val="00D126D3"/>
    <w:rsid w:val="00D13894"/>
    <w:rsid w:val="00D1432A"/>
    <w:rsid w:val="00D1459F"/>
    <w:rsid w:val="00D146B3"/>
    <w:rsid w:val="00D15A43"/>
    <w:rsid w:val="00D160F4"/>
    <w:rsid w:val="00D20AEB"/>
    <w:rsid w:val="00D22F09"/>
    <w:rsid w:val="00D27FDF"/>
    <w:rsid w:val="00D30737"/>
    <w:rsid w:val="00D32B41"/>
    <w:rsid w:val="00D335A0"/>
    <w:rsid w:val="00D40BCA"/>
    <w:rsid w:val="00D41BF4"/>
    <w:rsid w:val="00D42BE4"/>
    <w:rsid w:val="00D43BF7"/>
    <w:rsid w:val="00D46977"/>
    <w:rsid w:val="00D516AE"/>
    <w:rsid w:val="00D569DE"/>
    <w:rsid w:val="00D6244C"/>
    <w:rsid w:val="00D73797"/>
    <w:rsid w:val="00D7380B"/>
    <w:rsid w:val="00D86259"/>
    <w:rsid w:val="00D91423"/>
    <w:rsid w:val="00D91F09"/>
    <w:rsid w:val="00D9351F"/>
    <w:rsid w:val="00D9569A"/>
    <w:rsid w:val="00D964E2"/>
    <w:rsid w:val="00D97738"/>
    <w:rsid w:val="00DA1A5B"/>
    <w:rsid w:val="00DA2475"/>
    <w:rsid w:val="00DA4F3E"/>
    <w:rsid w:val="00DA521F"/>
    <w:rsid w:val="00DA5C1B"/>
    <w:rsid w:val="00DB1750"/>
    <w:rsid w:val="00DB4288"/>
    <w:rsid w:val="00DB449F"/>
    <w:rsid w:val="00DC0D3D"/>
    <w:rsid w:val="00DC26B3"/>
    <w:rsid w:val="00DC61D8"/>
    <w:rsid w:val="00DC6967"/>
    <w:rsid w:val="00DC75EC"/>
    <w:rsid w:val="00DC7CBA"/>
    <w:rsid w:val="00DD0A27"/>
    <w:rsid w:val="00DD0E79"/>
    <w:rsid w:val="00DD1C09"/>
    <w:rsid w:val="00DD3A6E"/>
    <w:rsid w:val="00DD5C65"/>
    <w:rsid w:val="00DE06BD"/>
    <w:rsid w:val="00DE0E35"/>
    <w:rsid w:val="00DE0F33"/>
    <w:rsid w:val="00DE2AD0"/>
    <w:rsid w:val="00DF07F7"/>
    <w:rsid w:val="00DF0AA5"/>
    <w:rsid w:val="00DF0AC8"/>
    <w:rsid w:val="00DF4FB3"/>
    <w:rsid w:val="00DF57BF"/>
    <w:rsid w:val="00E03C0E"/>
    <w:rsid w:val="00E05E8D"/>
    <w:rsid w:val="00E11124"/>
    <w:rsid w:val="00E11B29"/>
    <w:rsid w:val="00E12111"/>
    <w:rsid w:val="00E12E63"/>
    <w:rsid w:val="00E13C5E"/>
    <w:rsid w:val="00E15903"/>
    <w:rsid w:val="00E278ED"/>
    <w:rsid w:val="00E33AEF"/>
    <w:rsid w:val="00E343EA"/>
    <w:rsid w:val="00E35B59"/>
    <w:rsid w:val="00E37612"/>
    <w:rsid w:val="00E41F76"/>
    <w:rsid w:val="00E43B90"/>
    <w:rsid w:val="00E509E5"/>
    <w:rsid w:val="00E50AF4"/>
    <w:rsid w:val="00E548E3"/>
    <w:rsid w:val="00E55310"/>
    <w:rsid w:val="00E61021"/>
    <w:rsid w:val="00E777C9"/>
    <w:rsid w:val="00E82644"/>
    <w:rsid w:val="00E917F4"/>
    <w:rsid w:val="00E92E0B"/>
    <w:rsid w:val="00E95549"/>
    <w:rsid w:val="00E96AC0"/>
    <w:rsid w:val="00EA0C37"/>
    <w:rsid w:val="00EA48E4"/>
    <w:rsid w:val="00EA4A65"/>
    <w:rsid w:val="00EB5672"/>
    <w:rsid w:val="00EB5D61"/>
    <w:rsid w:val="00EC4515"/>
    <w:rsid w:val="00EC46B4"/>
    <w:rsid w:val="00EC48AC"/>
    <w:rsid w:val="00EC4E24"/>
    <w:rsid w:val="00ED2396"/>
    <w:rsid w:val="00ED5DC9"/>
    <w:rsid w:val="00ED61CD"/>
    <w:rsid w:val="00ED69D3"/>
    <w:rsid w:val="00ED7D15"/>
    <w:rsid w:val="00EE2F46"/>
    <w:rsid w:val="00EE41D6"/>
    <w:rsid w:val="00EF03CF"/>
    <w:rsid w:val="00EF6521"/>
    <w:rsid w:val="00EF7478"/>
    <w:rsid w:val="00EF7D80"/>
    <w:rsid w:val="00F00895"/>
    <w:rsid w:val="00F023AB"/>
    <w:rsid w:val="00F028D1"/>
    <w:rsid w:val="00F0530B"/>
    <w:rsid w:val="00F06A1F"/>
    <w:rsid w:val="00F07689"/>
    <w:rsid w:val="00F118F8"/>
    <w:rsid w:val="00F129E7"/>
    <w:rsid w:val="00F12C81"/>
    <w:rsid w:val="00F12E66"/>
    <w:rsid w:val="00F13459"/>
    <w:rsid w:val="00F1402D"/>
    <w:rsid w:val="00F1599E"/>
    <w:rsid w:val="00F21A08"/>
    <w:rsid w:val="00F242CF"/>
    <w:rsid w:val="00F243A7"/>
    <w:rsid w:val="00F25B97"/>
    <w:rsid w:val="00F27213"/>
    <w:rsid w:val="00F276AD"/>
    <w:rsid w:val="00F3232E"/>
    <w:rsid w:val="00F32B5D"/>
    <w:rsid w:val="00F35F4A"/>
    <w:rsid w:val="00F3646D"/>
    <w:rsid w:val="00F368AD"/>
    <w:rsid w:val="00F4454B"/>
    <w:rsid w:val="00F44B96"/>
    <w:rsid w:val="00F4668E"/>
    <w:rsid w:val="00F472D6"/>
    <w:rsid w:val="00F47489"/>
    <w:rsid w:val="00F47984"/>
    <w:rsid w:val="00F5054D"/>
    <w:rsid w:val="00F52931"/>
    <w:rsid w:val="00F539E3"/>
    <w:rsid w:val="00F559DC"/>
    <w:rsid w:val="00F561B8"/>
    <w:rsid w:val="00F570FD"/>
    <w:rsid w:val="00F57556"/>
    <w:rsid w:val="00F5765F"/>
    <w:rsid w:val="00F63C09"/>
    <w:rsid w:val="00F63C81"/>
    <w:rsid w:val="00F64E50"/>
    <w:rsid w:val="00F651F7"/>
    <w:rsid w:val="00F65A89"/>
    <w:rsid w:val="00F66357"/>
    <w:rsid w:val="00F678BF"/>
    <w:rsid w:val="00F70BC2"/>
    <w:rsid w:val="00F70C0F"/>
    <w:rsid w:val="00F70E0C"/>
    <w:rsid w:val="00F71009"/>
    <w:rsid w:val="00F71FF0"/>
    <w:rsid w:val="00F75C51"/>
    <w:rsid w:val="00F80313"/>
    <w:rsid w:val="00F81492"/>
    <w:rsid w:val="00F81B30"/>
    <w:rsid w:val="00F85576"/>
    <w:rsid w:val="00F9012D"/>
    <w:rsid w:val="00F91FC6"/>
    <w:rsid w:val="00F9284A"/>
    <w:rsid w:val="00F94C1F"/>
    <w:rsid w:val="00FA1A35"/>
    <w:rsid w:val="00FA2FFC"/>
    <w:rsid w:val="00FA47F6"/>
    <w:rsid w:val="00FA5C37"/>
    <w:rsid w:val="00FB01A5"/>
    <w:rsid w:val="00FB16F7"/>
    <w:rsid w:val="00FB17EA"/>
    <w:rsid w:val="00FB386A"/>
    <w:rsid w:val="00FC0292"/>
    <w:rsid w:val="00FC3188"/>
    <w:rsid w:val="00FC4053"/>
    <w:rsid w:val="00FC6CD9"/>
    <w:rsid w:val="00FD246E"/>
    <w:rsid w:val="00FD3CC1"/>
    <w:rsid w:val="00FD428C"/>
    <w:rsid w:val="00FD4392"/>
    <w:rsid w:val="00FD4622"/>
    <w:rsid w:val="00FD61EB"/>
    <w:rsid w:val="00FD69AE"/>
    <w:rsid w:val="00FE1F9B"/>
    <w:rsid w:val="00FE531F"/>
    <w:rsid w:val="00FF1807"/>
    <w:rsid w:val="00FF1CD5"/>
    <w:rsid w:val="00FF3159"/>
    <w:rsid w:val="00FF56DE"/>
    <w:rsid w:val="00FF5C5C"/>
    <w:rsid w:val="00FF6DCD"/>
    <w:rsid w:val="06A66B18"/>
    <w:rsid w:val="29D453ED"/>
    <w:rsid w:val="3B882D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locked/>
    <w:uiPriority w:val="99"/>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4"/>
    <w:qFormat/>
    <w:uiPriority w:val="99"/>
    <w:pPr>
      <w:spacing w:beforeLines="30"/>
    </w:pPr>
    <w:rPr>
      <w:rFonts w:ascii="仿宋_GB2312" w:eastAsia="仿宋_GB2312"/>
      <w:kern w:val="0"/>
      <w:sz w:val="30"/>
    </w:rPr>
  </w:style>
  <w:style w:type="paragraph" w:styleId="5">
    <w:name w:val="Balloon Text"/>
    <w:basedOn w:val="1"/>
    <w:link w:val="17"/>
    <w:semiHidden/>
    <w:qFormat/>
    <w:uiPriority w:val="99"/>
    <w:rPr>
      <w:rFonts w:ascii="Calibri" w:hAnsi="Calibri"/>
      <w:sz w:val="18"/>
      <w:szCs w:val="18"/>
    </w:rPr>
  </w:style>
  <w:style w:type="paragraph" w:styleId="6">
    <w:name w:val="footer"/>
    <w:basedOn w:val="1"/>
    <w:link w:val="19"/>
    <w:semiHidden/>
    <w:qFormat/>
    <w:uiPriority w:val="99"/>
    <w:pPr>
      <w:tabs>
        <w:tab w:val="center" w:pos="4153"/>
        <w:tab w:val="right" w:pos="8306"/>
      </w:tabs>
      <w:snapToGrid w:val="0"/>
      <w:jc w:val="left"/>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locked/>
    <w:uiPriority w:val="99"/>
    <w:pPr>
      <w:tabs>
        <w:tab w:val="right" w:leader="dot" w:pos="8296"/>
      </w:tabs>
      <w:spacing w:before="93"/>
      <w:jc w:val="center"/>
    </w:pPr>
    <w:rPr>
      <w:rFonts w:ascii="仿宋" w:hAnsi="仿宋" w:eastAsia="仿宋"/>
      <w:sz w:val="28"/>
      <w:szCs w:val="28"/>
    </w:rPr>
  </w:style>
  <w:style w:type="paragraph" w:styleId="9">
    <w:name w:val="toc 2"/>
    <w:basedOn w:val="1"/>
    <w:next w:val="1"/>
    <w:qFormat/>
    <w:locked/>
    <w:uiPriority w:val="99"/>
    <w:pPr>
      <w:tabs>
        <w:tab w:val="right" w:leader="dot" w:pos="8296"/>
      </w:tabs>
      <w:ind w:left="420" w:leftChars="200"/>
    </w:pPr>
  </w:style>
  <w:style w:type="paragraph" w:styleId="10">
    <w:name w:val="Normal (Web)"/>
    <w:basedOn w:val="1"/>
    <w:qFormat/>
    <w:uiPriority w:val="99"/>
    <w:pPr>
      <w:widowControl/>
      <w:jc w:val="left"/>
    </w:pPr>
    <w:rPr>
      <w:rFonts w:ascii="宋体" w:hAnsi="宋体" w:cs="宋体"/>
      <w:kern w:val="0"/>
      <w:sz w:val="24"/>
    </w:rPr>
  </w:style>
  <w:style w:type="character" w:styleId="13">
    <w:name w:val="Strong"/>
    <w:basedOn w:val="12"/>
    <w:qFormat/>
    <w:locked/>
    <w:uiPriority w:val="99"/>
    <w:rPr>
      <w:rFonts w:cs="Times New Roman"/>
      <w:b/>
    </w:rPr>
  </w:style>
  <w:style w:type="character" w:styleId="14">
    <w:name w:val="Hyperlink"/>
    <w:basedOn w:val="12"/>
    <w:qFormat/>
    <w:uiPriority w:val="99"/>
    <w:rPr>
      <w:rFonts w:cs="Times New Roman"/>
      <w:color w:val="0000FF"/>
      <w:u w:val="single"/>
    </w:rPr>
  </w:style>
  <w:style w:type="character" w:customStyle="1" w:styleId="15">
    <w:name w:val="Heading 1 Char"/>
    <w:basedOn w:val="12"/>
    <w:link w:val="2"/>
    <w:qFormat/>
    <w:locked/>
    <w:uiPriority w:val="99"/>
    <w:rPr>
      <w:rFonts w:ascii="Times New Roman" w:hAnsi="Times New Roman" w:cs="Times New Roman"/>
      <w:b/>
      <w:bCs/>
      <w:kern w:val="44"/>
      <w:sz w:val="44"/>
      <w:szCs w:val="44"/>
    </w:rPr>
  </w:style>
  <w:style w:type="character" w:customStyle="1" w:styleId="16">
    <w:name w:val="Heading 2 Char"/>
    <w:basedOn w:val="12"/>
    <w:link w:val="3"/>
    <w:qFormat/>
    <w:locked/>
    <w:uiPriority w:val="99"/>
    <w:rPr>
      <w:rFonts w:ascii="Cambria" w:hAnsi="Cambria" w:cs="Times New Roman"/>
      <w:b/>
      <w:bCs/>
      <w:kern w:val="2"/>
      <w:sz w:val="32"/>
      <w:szCs w:val="32"/>
    </w:rPr>
  </w:style>
  <w:style w:type="character" w:customStyle="1" w:styleId="17">
    <w:name w:val="Balloon Text Char"/>
    <w:basedOn w:val="12"/>
    <w:link w:val="5"/>
    <w:semiHidden/>
    <w:qFormat/>
    <w:locked/>
    <w:uiPriority w:val="99"/>
    <w:rPr>
      <w:rFonts w:cs="Times New Roman"/>
      <w:sz w:val="18"/>
      <w:szCs w:val="18"/>
    </w:rPr>
  </w:style>
  <w:style w:type="character" w:customStyle="1" w:styleId="18">
    <w:name w:val="Header Char"/>
    <w:basedOn w:val="12"/>
    <w:link w:val="7"/>
    <w:semiHidden/>
    <w:qFormat/>
    <w:locked/>
    <w:uiPriority w:val="99"/>
    <w:rPr>
      <w:rFonts w:ascii="Times New Roman" w:hAnsi="Times New Roman" w:eastAsia="宋体" w:cs="Times New Roman"/>
      <w:sz w:val="18"/>
      <w:szCs w:val="18"/>
    </w:rPr>
  </w:style>
  <w:style w:type="character" w:customStyle="1" w:styleId="19">
    <w:name w:val="Footer Char"/>
    <w:basedOn w:val="12"/>
    <w:link w:val="6"/>
    <w:semiHidden/>
    <w:qFormat/>
    <w:locked/>
    <w:uiPriority w:val="99"/>
    <w:rPr>
      <w:rFonts w:ascii="Times New Roman" w:hAnsi="Times New Roman" w:eastAsia="宋体" w:cs="Times New Roman"/>
      <w:sz w:val="18"/>
      <w:szCs w:val="18"/>
    </w:rPr>
  </w:style>
  <w:style w:type="character" w:customStyle="1" w:styleId="20">
    <w:name w:val="fontstyle01"/>
    <w:basedOn w:val="12"/>
    <w:qFormat/>
    <w:uiPriority w:val="99"/>
    <w:rPr>
      <w:rFonts w:ascii="方正小标宋_GBK" w:eastAsia="方正小标宋_GBK" w:cs="Times New Roman"/>
      <w:color w:val="000000"/>
      <w:sz w:val="38"/>
      <w:szCs w:val="38"/>
    </w:rPr>
  </w:style>
  <w:style w:type="paragraph" w:customStyle="1" w:styleId="21">
    <w:name w:val="Char"/>
    <w:basedOn w:val="1"/>
    <w:qFormat/>
    <w:uiPriority w:val="99"/>
    <w:pPr>
      <w:spacing w:line="240" w:lineRule="atLeast"/>
      <w:ind w:left="420" w:firstLine="420"/>
    </w:pPr>
    <w:rPr>
      <w:kern w:val="0"/>
      <w:szCs w:val="21"/>
    </w:rPr>
  </w:style>
  <w:style w:type="character" w:customStyle="1" w:styleId="22">
    <w:name w:val="Body Text Char"/>
    <w:qFormat/>
    <w:locked/>
    <w:uiPriority w:val="99"/>
    <w:rPr>
      <w:rFonts w:ascii="仿宋_GB2312" w:hAnsi="Times New Roman" w:eastAsia="仿宋_GB2312"/>
      <w:sz w:val="24"/>
    </w:rPr>
  </w:style>
  <w:style w:type="character" w:customStyle="1" w:styleId="23">
    <w:name w:val="Body Text Char1"/>
    <w:basedOn w:val="12"/>
    <w:link w:val="4"/>
    <w:semiHidden/>
    <w:uiPriority w:val="99"/>
    <w:rPr>
      <w:rFonts w:ascii="Times New Roman" w:hAnsi="Times New Roman"/>
      <w:szCs w:val="24"/>
    </w:rPr>
  </w:style>
  <w:style w:type="character" w:customStyle="1" w:styleId="24">
    <w:name w:val="Body Text Char2"/>
    <w:basedOn w:val="12"/>
    <w:link w:val="4"/>
    <w:semiHidden/>
    <w:locked/>
    <w:uiPriority w:val="99"/>
    <w:rPr>
      <w:rFonts w:ascii="Times New Roman" w:hAnsi="Times New Roman" w:cs="Times New Roman"/>
      <w:kern w:val="2"/>
      <w:sz w:val="24"/>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27">
    <w:name w:val="列出段落1"/>
    <w:basedOn w:val="1"/>
    <w:uiPriority w:val="99"/>
    <w:pPr>
      <w:ind w:firstLine="420" w:firstLineChars="200"/>
    </w:pPr>
  </w:style>
  <w:style w:type="paragraph" w:customStyle="1" w:styleId="28">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pn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oleObject" Target="embeddings/oleObject8.bin"/><Relationship Id="rId17" Type="http://schemas.openxmlformats.org/officeDocument/2006/relationships/image" Target="media/image7.png"/><Relationship Id="rId16" Type="http://schemas.openxmlformats.org/officeDocument/2006/relationships/oleObject" Target="embeddings/oleObject7.bin"/><Relationship Id="rId15" Type="http://schemas.openxmlformats.org/officeDocument/2006/relationships/image" Target="media/image6.png"/><Relationship Id="rId14" Type="http://schemas.openxmlformats.org/officeDocument/2006/relationships/oleObject" Target="embeddings/oleObject6.bin"/><Relationship Id="rId13" Type="http://schemas.openxmlformats.org/officeDocument/2006/relationships/image" Target="media/image5.png"/><Relationship Id="rId12" Type="http://schemas.openxmlformats.org/officeDocument/2006/relationships/oleObject" Target="embeddings/oleObject5.bin"/><Relationship Id="rId11" Type="http://schemas.openxmlformats.org/officeDocument/2006/relationships/image" Target="media/image4.png"/><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62</Pages>
  <Words>26090</Words>
  <Characters>28039</Characters>
  <Lines>0</Lines>
  <Paragraphs>0</Paragraphs>
  <TotalTime>159</TotalTime>
  <ScaleCrop>false</ScaleCrop>
  <LinksUpToDate>false</LinksUpToDate>
  <CharactersWithSpaces>28259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2019-09-17T03:03:00Z</dcterms:created>
  <dc:creator>攀枝花市科技基础条件平台管理中心</dc:creator>
  <cp:lastModifiedBy>Administrator</cp:lastModifiedBy>
  <cp:lastPrinted>2019-09-14T09:05:00Z</cp:lastPrinted>
  <dcterms:modified xsi:type="dcterms:W3CDTF">2025-07-08T01:41:06Z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7FB423E749F0460AA0ECEEE729B91D81_13</vt:lpwstr>
  </property>
</Properties>
</file>