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Times New Roman" w:hAnsi="Times New Roman" w:eastAsia="方正小标宋简体" w:cs="Times New Roman"/>
          <w:sz w:val="44"/>
          <w:szCs w:val="44"/>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攀枝花市地方志编纂中心</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22</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单位</w:t>
      </w:r>
      <w:r>
        <w:rPr>
          <w:rFonts w:hint="default" w:ascii="Times New Roman" w:hAnsi="Times New Roman" w:eastAsia="方正小标宋简体" w:cs="Times New Roman"/>
          <w:sz w:val="44"/>
          <w:szCs w:val="44"/>
        </w:rPr>
        <w:t>预算编制说明</w:t>
      </w: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both"/>
        <w:rPr>
          <w:rFonts w:hint="eastAsia" w:eastAsia="方正小标宋简体" w:cs="Times New Roman"/>
          <w:sz w:val="44"/>
          <w:szCs w:val="44"/>
          <w:lang w:eastAsia="zh-CN"/>
        </w:rPr>
      </w:pPr>
    </w:p>
    <w:p>
      <w:pPr>
        <w:spacing w:line="600" w:lineRule="exact"/>
        <w:jc w:val="center"/>
        <w:rPr>
          <w:rFonts w:hint="eastAsia" w:eastAsia="方正小标宋简体" w:cs="Times New Roman"/>
          <w:sz w:val="44"/>
          <w:szCs w:val="44"/>
          <w:lang w:eastAsia="zh-CN"/>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spacing w:line="600" w:lineRule="exact"/>
        <w:jc w:val="center"/>
        <w:rPr>
          <w:rFonts w:hint="default" w:ascii="Times New Roman" w:hAnsi="Times New Roman" w:eastAsia="方正小标宋简体" w:cs="Times New Roman"/>
          <w:sz w:val="44"/>
          <w:szCs w:val="44"/>
        </w:rPr>
      </w:pPr>
    </w:p>
    <w:p>
      <w:pPr>
        <w:widowControl/>
        <w:jc w:val="center"/>
        <w:outlineLvl w:val="0"/>
        <w:rPr>
          <w:rStyle w:val="7"/>
          <w:rFonts w:eastAsia="黑体" w:cs="宋体"/>
          <w:color w:val="333333"/>
          <w:sz w:val="36"/>
          <w:szCs w:val="36"/>
        </w:rPr>
      </w:pPr>
      <w:r>
        <w:rPr>
          <w:rFonts w:hint="eastAsia" w:eastAsia="方正小标宋简体" w:cs="方正小标宋简体"/>
          <w:kern w:val="0"/>
          <w:sz w:val="36"/>
          <w:szCs w:val="36"/>
          <w:lang w:bidi="ar"/>
        </w:rPr>
        <w:t>目录</w:t>
      </w:r>
    </w:p>
    <w:p>
      <w:pPr>
        <w:pStyle w:val="4"/>
        <w:widowControl/>
        <w:spacing w:beforeAutospacing="0" w:afterAutospacing="0" w:line="600" w:lineRule="exact"/>
        <w:ind w:firstLine="643" w:firstLineChars="200"/>
        <w:jc w:val="both"/>
        <w:rPr>
          <w:rStyle w:val="7"/>
          <w:rFonts w:ascii="Times New Roman" w:hAnsi="Times New Roman" w:eastAsia="黑体" w:cs="宋体"/>
          <w:color w:val="333333"/>
          <w:sz w:val="32"/>
          <w:szCs w:val="21"/>
        </w:rPr>
      </w:pP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rPr>
      </w:pPr>
      <w:r>
        <w:rPr>
          <w:rFonts w:hint="eastAsia" w:ascii="Times New Roman" w:hAnsi="Times New Roman" w:eastAsia="仿宋_GB2312" w:cs="仿宋_GB2312"/>
          <w:color w:val="333333"/>
          <w:sz w:val="32"/>
          <w:szCs w:val="32"/>
          <w:lang w:val="en-US" w:eastAsia="zh-CN"/>
        </w:rPr>
        <w:t>一、基本职能及主要工作</w:t>
      </w:r>
      <w:r>
        <w:rPr>
          <w:rFonts w:hint="eastAsia" w:ascii="Times New Roman" w:hAnsi="Times New Roman" w:eastAsia="仿宋_GB2312" w:cs="仿宋_GB2312"/>
          <w:color w:val="333333"/>
          <w:sz w:val="32"/>
          <w:szCs w:val="32"/>
        </w:rPr>
        <w:t>.......................................4</w:t>
      </w:r>
    </w:p>
    <w:p>
      <w:pPr>
        <w:pStyle w:val="4"/>
        <w:widowControl/>
        <w:spacing w:beforeAutospacing="0" w:afterAutospacing="0" w:line="600" w:lineRule="exact"/>
        <w:jc w:val="both"/>
        <w:outlineLvl w:val="1"/>
        <w:rPr>
          <w:rFonts w:ascii="Times New Roman" w:hAnsi="Times New Roman" w:eastAsia="仿宋_GB2312" w:cs="仿宋_GB2312"/>
          <w:color w:val="333333"/>
          <w:sz w:val="32"/>
          <w:szCs w:val="32"/>
        </w:rPr>
      </w:pPr>
      <w:r>
        <w:rPr>
          <w:rFonts w:ascii="Times New Roman" w:hAnsi="Times New Roman" w:eastAsia="仿宋_GB2312" w:cs="仿宋_GB2312"/>
          <w:color w:val="333333"/>
          <w:sz w:val="32"/>
          <w:szCs w:val="32"/>
        </w:rPr>
        <w:t>（一）职能简介</w:t>
      </w:r>
      <w:r>
        <w:rPr>
          <w:rFonts w:hint="eastAsia" w:ascii="Times New Roman" w:hAnsi="Times New Roman" w:eastAsia="仿宋_GB2312" w:cs="仿宋_GB2312"/>
          <w:color w:val="333333"/>
          <w:sz w:val="32"/>
          <w:szCs w:val="32"/>
        </w:rPr>
        <w:t>.......................................................4</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ascii="Times New Roman" w:hAnsi="Times New Roman" w:eastAsia="仿宋_GB2312" w:cs="仿宋_GB2312"/>
          <w:color w:val="333333"/>
          <w:sz w:val="32"/>
          <w:szCs w:val="32"/>
        </w:rPr>
        <w:t>（二）202</w:t>
      </w:r>
      <w:r>
        <w:rPr>
          <w:rFonts w:hint="eastAsia" w:ascii="Times New Roman" w:hAnsi="Times New Roman" w:eastAsia="仿宋_GB2312" w:cs="仿宋_GB2312"/>
          <w:color w:val="333333"/>
          <w:sz w:val="32"/>
          <w:szCs w:val="32"/>
        </w:rPr>
        <w:t>2</w:t>
      </w:r>
      <w:r>
        <w:rPr>
          <w:rFonts w:ascii="Times New Roman" w:hAnsi="Times New Roman" w:eastAsia="仿宋_GB2312" w:cs="仿宋_GB2312"/>
          <w:color w:val="333333"/>
          <w:sz w:val="32"/>
          <w:szCs w:val="32"/>
        </w:rPr>
        <w:t>年重点工作</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4</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lang w:val="en-US" w:eastAsia="zh-CN"/>
        </w:rPr>
        <w:t>二、</w:t>
      </w:r>
      <w:r>
        <w:rPr>
          <w:rFonts w:hint="eastAsia" w:ascii="Times New Roman" w:hAnsi="Times New Roman" w:eastAsia="仿宋_GB2312" w:cs="仿宋_GB2312"/>
          <w:color w:val="333333"/>
          <w:sz w:val="32"/>
          <w:szCs w:val="32"/>
          <w:lang w:eastAsia="zh-CN"/>
        </w:rPr>
        <w:t>机构设置情况</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4</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lang w:val="en-US" w:eastAsia="zh-CN"/>
        </w:rPr>
        <w:t>三</w:t>
      </w:r>
      <w:r>
        <w:rPr>
          <w:rFonts w:hint="eastAsia" w:ascii="Times New Roman" w:hAnsi="Times New Roman" w:eastAsia="仿宋_GB2312" w:cs="仿宋_GB2312"/>
          <w:color w:val="333333"/>
          <w:sz w:val="32"/>
          <w:szCs w:val="32"/>
        </w:rPr>
        <w:t>、</w:t>
      </w:r>
      <w:r>
        <w:rPr>
          <w:rFonts w:hint="default" w:ascii="Times New Roman" w:hAnsi="Times New Roman" w:eastAsia="仿宋_GB2312" w:cs="仿宋_GB2312"/>
          <w:color w:val="333333"/>
          <w:sz w:val="32"/>
          <w:szCs w:val="32"/>
          <w:lang w:val="en-US" w:eastAsia="zh-CN"/>
        </w:rPr>
        <w:t>收支预算情况说明</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4</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ascii="Times New Roman" w:hAnsi="Times New Roman" w:eastAsia="仿宋_GB2312" w:cs="仿宋_GB2312"/>
          <w:color w:val="333333"/>
          <w:sz w:val="32"/>
          <w:szCs w:val="32"/>
        </w:rPr>
        <w:t>（一）收入预算情况</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4</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ascii="Times New Roman" w:hAnsi="Times New Roman" w:eastAsia="仿宋_GB2312" w:cs="仿宋_GB2312"/>
          <w:color w:val="333333"/>
          <w:sz w:val="32"/>
          <w:szCs w:val="32"/>
        </w:rPr>
        <w:t>（二）支出预算情况</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4</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lang w:val="en-US" w:eastAsia="zh-CN"/>
        </w:rPr>
        <w:t>四</w:t>
      </w:r>
      <w:r>
        <w:rPr>
          <w:rFonts w:ascii="Times New Roman" w:hAnsi="Times New Roman" w:eastAsia="仿宋_GB2312" w:cs="仿宋_GB2312"/>
          <w:color w:val="333333"/>
          <w:sz w:val="32"/>
          <w:szCs w:val="32"/>
        </w:rPr>
        <w:t>、财政拨款收支预算情况说明</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5</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lang w:val="en-US" w:eastAsia="zh-CN"/>
        </w:rPr>
        <w:t>五</w:t>
      </w:r>
      <w:r>
        <w:rPr>
          <w:rFonts w:ascii="Times New Roman" w:hAnsi="Times New Roman" w:eastAsia="仿宋_GB2312" w:cs="仿宋_GB2312"/>
          <w:color w:val="333333"/>
          <w:sz w:val="32"/>
          <w:szCs w:val="32"/>
        </w:rPr>
        <w:t>、一般公共预算当年拨款情况说明</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5</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rPr>
        <w:t>（一）一般公共预算当年拨款规模变化情况.......</w:t>
      </w:r>
      <w:r>
        <w:rPr>
          <w:rFonts w:hint="eastAsia" w:ascii="Times New Roman" w:hAnsi="Times New Roman" w:eastAsia="仿宋_GB2312" w:cs="仿宋_GB2312"/>
          <w:color w:val="333333"/>
          <w:sz w:val="32"/>
          <w:szCs w:val="32"/>
          <w:lang w:val="en-US" w:eastAsia="zh-CN"/>
        </w:rPr>
        <w:t>5</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rPr>
        <w:t>（二）一般公共预算当年拨款结构情况...............</w:t>
      </w:r>
      <w:r>
        <w:rPr>
          <w:rFonts w:hint="eastAsia" w:ascii="Times New Roman" w:hAnsi="Times New Roman" w:eastAsia="仿宋_GB2312" w:cs="仿宋_GB2312"/>
          <w:color w:val="333333"/>
          <w:sz w:val="32"/>
          <w:szCs w:val="32"/>
          <w:lang w:val="en-US" w:eastAsia="zh-CN"/>
        </w:rPr>
        <w:t>5</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rPr>
        <w:t>（三）一般公共预算当年拨款具体使用情况.......</w:t>
      </w:r>
      <w:r>
        <w:rPr>
          <w:rFonts w:hint="eastAsia" w:ascii="Times New Roman" w:hAnsi="Times New Roman" w:eastAsia="仿宋_GB2312" w:cs="仿宋_GB2312"/>
          <w:color w:val="333333"/>
          <w:sz w:val="32"/>
          <w:szCs w:val="32"/>
          <w:lang w:val="en-US" w:eastAsia="zh-CN"/>
        </w:rPr>
        <w:t>5</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hint="eastAsia" w:ascii="Times New Roman" w:hAnsi="Times New Roman" w:eastAsia="仿宋_GB2312" w:cs="仿宋_GB2312"/>
          <w:color w:val="333333"/>
          <w:sz w:val="32"/>
          <w:szCs w:val="32"/>
          <w:lang w:val="en-US" w:eastAsia="zh-CN"/>
        </w:rPr>
        <w:t>六</w:t>
      </w:r>
      <w:r>
        <w:rPr>
          <w:rFonts w:hint="eastAsia" w:ascii="Times New Roman" w:hAnsi="Times New Roman" w:eastAsia="仿宋_GB2312" w:cs="仿宋_GB2312"/>
          <w:color w:val="333333"/>
          <w:sz w:val="32"/>
          <w:szCs w:val="32"/>
        </w:rPr>
        <w:t>、一般公共预算基本支出情况说明...................</w:t>
      </w:r>
      <w:r>
        <w:rPr>
          <w:rFonts w:hint="eastAsia" w:ascii="Times New Roman" w:hAnsi="Times New Roman" w:eastAsia="仿宋_GB2312" w:cs="仿宋_GB2312"/>
          <w:color w:val="333333"/>
          <w:sz w:val="32"/>
          <w:szCs w:val="32"/>
          <w:lang w:val="en-US" w:eastAsia="zh-CN"/>
        </w:rPr>
        <w:t>6</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hint="eastAsia" w:ascii="Times New Roman" w:hAnsi="Times New Roman" w:eastAsia="仿宋_GB2312" w:cs="仿宋_GB2312"/>
          <w:color w:val="333333"/>
          <w:sz w:val="32"/>
          <w:szCs w:val="32"/>
          <w:lang w:val="en-US" w:eastAsia="zh-CN"/>
        </w:rPr>
        <w:t>七</w:t>
      </w:r>
      <w:r>
        <w:rPr>
          <w:rFonts w:hint="eastAsia" w:ascii="Times New Roman" w:hAnsi="Times New Roman" w:eastAsia="仿宋_GB2312" w:cs="仿宋_GB2312"/>
          <w:color w:val="333333"/>
          <w:sz w:val="32"/>
          <w:szCs w:val="32"/>
        </w:rPr>
        <w:t>、“三公”经费财政拨款预算安排情况说明...</w:t>
      </w:r>
      <w:r>
        <w:rPr>
          <w:rFonts w:hint="eastAsia" w:ascii="Times New Roman" w:hAnsi="Times New Roman" w:eastAsia="仿宋_GB2312" w:cs="仿宋_GB2312"/>
          <w:color w:val="333333"/>
          <w:sz w:val="32"/>
          <w:szCs w:val="32"/>
          <w:lang w:val="en-US" w:eastAsia="zh-CN"/>
        </w:rPr>
        <w:t>6</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hint="eastAsia" w:ascii="Times New Roman" w:hAnsi="Times New Roman" w:eastAsia="仿宋_GB2312" w:cs="仿宋_GB2312"/>
          <w:color w:val="333333"/>
          <w:sz w:val="32"/>
          <w:szCs w:val="32"/>
          <w:lang w:val="en-US" w:eastAsia="zh-CN"/>
        </w:rPr>
        <w:t>八</w:t>
      </w:r>
      <w:r>
        <w:rPr>
          <w:rFonts w:ascii="Times New Roman" w:hAnsi="Times New Roman" w:eastAsia="仿宋_GB2312" w:cs="仿宋_GB2312"/>
          <w:color w:val="333333"/>
          <w:sz w:val="32"/>
          <w:szCs w:val="32"/>
        </w:rPr>
        <w:t>、政府性基金预算支出情况说明</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8</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hint="eastAsia" w:ascii="Times New Roman" w:hAnsi="Times New Roman" w:eastAsia="仿宋_GB2312" w:cs="仿宋_GB2312"/>
          <w:color w:val="333333"/>
          <w:sz w:val="32"/>
          <w:szCs w:val="32"/>
          <w:lang w:val="en-US" w:eastAsia="zh-CN"/>
        </w:rPr>
        <w:t>九</w:t>
      </w:r>
      <w:r>
        <w:rPr>
          <w:rFonts w:hint="default" w:ascii="Times New Roman" w:hAnsi="Times New Roman" w:eastAsia="仿宋_GB2312" w:cs="仿宋_GB2312"/>
          <w:color w:val="333333"/>
          <w:sz w:val="32"/>
          <w:szCs w:val="32"/>
          <w:lang w:val="en-US" w:eastAsia="zh-CN"/>
        </w:rPr>
        <w:t>、国有资本经营预算情况说明</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8</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hint="eastAsia" w:ascii="Times New Roman" w:hAnsi="Times New Roman" w:eastAsia="仿宋_GB2312" w:cs="仿宋_GB2312"/>
          <w:color w:val="333333"/>
          <w:sz w:val="32"/>
          <w:szCs w:val="32"/>
          <w:lang w:val="en-US" w:eastAsia="zh-CN"/>
        </w:rPr>
        <w:t>十</w:t>
      </w:r>
      <w:r>
        <w:rPr>
          <w:rFonts w:ascii="Times New Roman" w:hAnsi="Times New Roman" w:eastAsia="仿宋_GB2312" w:cs="仿宋_GB2312"/>
          <w:color w:val="333333"/>
          <w:sz w:val="32"/>
          <w:szCs w:val="32"/>
        </w:rPr>
        <w:t>、其他重要事项的情况说明</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8</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ascii="Times New Roman" w:hAnsi="Times New Roman" w:eastAsia="仿宋_GB2312" w:cs="仿宋_GB2312"/>
          <w:color w:val="333333"/>
          <w:sz w:val="32"/>
          <w:szCs w:val="32"/>
        </w:rPr>
        <w:t>（一）机关运行经费</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8</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ascii="Times New Roman" w:hAnsi="Times New Roman" w:eastAsia="仿宋_GB2312" w:cs="仿宋_GB2312"/>
          <w:color w:val="333333"/>
          <w:sz w:val="32"/>
          <w:szCs w:val="32"/>
        </w:rPr>
        <w:t>（二）</w:t>
      </w:r>
      <w:r>
        <w:rPr>
          <w:rFonts w:hint="default" w:ascii="Times New Roman" w:hAnsi="Times New Roman" w:eastAsia="仿宋_GB2312" w:cs="仿宋_GB2312"/>
          <w:color w:val="333333"/>
          <w:sz w:val="32"/>
          <w:szCs w:val="32"/>
          <w:lang w:val="en-US" w:eastAsia="zh-CN"/>
        </w:rPr>
        <w:t>政府采购情况</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8</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ascii="Times New Roman" w:hAnsi="Times New Roman" w:eastAsia="仿宋_GB2312" w:cs="仿宋_GB2312"/>
          <w:color w:val="333333"/>
          <w:sz w:val="32"/>
          <w:szCs w:val="32"/>
        </w:rPr>
        <w:t>（三）</w:t>
      </w:r>
      <w:r>
        <w:rPr>
          <w:rFonts w:hint="default" w:ascii="Times New Roman" w:hAnsi="Times New Roman" w:eastAsia="仿宋_GB2312" w:cs="仿宋_GB2312"/>
          <w:color w:val="333333"/>
          <w:sz w:val="32"/>
          <w:szCs w:val="32"/>
          <w:lang w:val="en-US" w:eastAsia="zh-CN"/>
        </w:rPr>
        <w:t>国有资产占有使用情况</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8</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eastAsia="zh-CN"/>
        </w:rPr>
      </w:pPr>
      <w:r>
        <w:rPr>
          <w:rFonts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rPr>
        <w:t>四</w:t>
      </w:r>
      <w:r>
        <w:rPr>
          <w:rFonts w:ascii="Times New Roman" w:hAnsi="Times New Roman" w:eastAsia="仿宋_GB2312" w:cs="仿宋_GB2312"/>
          <w:color w:val="333333"/>
          <w:sz w:val="32"/>
          <w:szCs w:val="32"/>
        </w:rPr>
        <w:t>）</w:t>
      </w:r>
      <w:r>
        <w:rPr>
          <w:rFonts w:hint="default" w:ascii="Times New Roman" w:hAnsi="Times New Roman" w:eastAsia="仿宋_GB2312" w:cs="仿宋_GB2312"/>
          <w:color w:val="333333"/>
          <w:sz w:val="32"/>
          <w:szCs w:val="32"/>
          <w:lang w:val="en-US" w:eastAsia="zh-CN"/>
        </w:rPr>
        <w:t>绩效目标设置情况</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8</w:t>
      </w:r>
    </w:p>
    <w:p>
      <w:pPr>
        <w:pStyle w:val="4"/>
        <w:widowControl/>
        <w:spacing w:beforeAutospacing="0" w:afterAutospacing="0" w:line="600" w:lineRule="exact"/>
        <w:jc w:val="both"/>
        <w:outlineLvl w:val="1"/>
        <w:rPr>
          <w:rFonts w:hint="eastAsia"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lang w:eastAsia="zh-CN"/>
        </w:rPr>
        <w:t>十</w:t>
      </w:r>
      <w:r>
        <w:rPr>
          <w:rFonts w:hint="eastAsia" w:ascii="Times New Roman" w:hAnsi="Times New Roman" w:eastAsia="仿宋_GB2312" w:cs="仿宋_GB2312"/>
          <w:color w:val="333333"/>
          <w:sz w:val="32"/>
          <w:szCs w:val="32"/>
          <w:lang w:val="en-US" w:eastAsia="zh-CN"/>
        </w:rPr>
        <w:t>一</w:t>
      </w:r>
      <w:r>
        <w:rPr>
          <w:rFonts w:ascii="Times New Roman" w:hAnsi="Times New Roman" w:eastAsia="仿宋_GB2312" w:cs="仿宋_GB2312"/>
          <w:color w:val="333333"/>
          <w:sz w:val="32"/>
          <w:szCs w:val="32"/>
        </w:rPr>
        <w:t>、名词解释</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9</w:t>
      </w:r>
    </w:p>
    <w:p>
      <w:pPr>
        <w:pStyle w:val="4"/>
        <w:widowControl/>
        <w:spacing w:beforeAutospacing="0" w:afterAutospacing="0" w:line="600" w:lineRule="exact"/>
        <w:jc w:val="both"/>
        <w:outlineLvl w:val="1"/>
        <w:rPr>
          <w:rFonts w:hint="default" w:ascii="Times New Roman" w:hAnsi="Times New Roman" w:eastAsia="仿宋_GB2312" w:cs="仿宋_GB2312"/>
          <w:color w:val="333333"/>
          <w:sz w:val="32"/>
          <w:szCs w:val="32"/>
          <w:lang w:val="en-US" w:eastAsia="zh-CN"/>
        </w:rPr>
      </w:pPr>
      <w:r>
        <w:rPr>
          <w:rFonts w:hint="eastAsia" w:ascii="Times New Roman" w:hAnsi="Times New Roman" w:eastAsia="仿宋_GB2312" w:cs="仿宋_GB2312"/>
          <w:color w:val="333333"/>
          <w:sz w:val="32"/>
          <w:szCs w:val="32"/>
        </w:rPr>
        <w:t>十</w:t>
      </w:r>
      <w:r>
        <w:rPr>
          <w:rFonts w:hint="eastAsia" w:ascii="Times New Roman" w:hAnsi="Times New Roman" w:eastAsia="仿宋_GB2312" w:cs="仿宋_GB2312"/>
          <w:color w:val="333333"/>
          <w:sz w:val="32"/>
          <w:szCs w:val="32"/>
          <w:lang w:val="en-US" w:eastAsia="zh-CN"/>
        </w:rPr>
        <w:t>二</w:t>
      </w:r>
      <w:r>
        <w:rPr>
          <w:rFonts w:hint="eastAsia" w:ascii="Times New Roman" w:hAnsi="Times New Roman" w:eastAsia="仿宋_GB2312" w:cs="仿宋_GB2312"/>
          <w:color w:val="333333"/>
          <w:sz w:val="32"/>
          <w:szCs w:val="32"/>
        </w:rPr>
        <w:t>、</w:t>
      </w:r>
      <w:r>
        <w:rPr>
          <w:rFonts w:ascii="Times New Roman" w:hAnsi="Times New Roman" w:eastAsia="仿宋_GB2312" w:cs="仿宋_GB2312"/>
          <w:color w:val="333333"/>
          <w:sz w:val="32"/>
          <w:szCs w:val="32"/>
        </w:rPr>
        <w:t>附件</w:t>
      </w:r>
      <w:r>
        <w:rPr>
          <w:rFonts w:hint="eastAsia" w:ascii="Times New Roman" w:hAnsi="Times New Roman" w:eastAsia="仿宋_GB2312" w:cs="仿宋_GB2312"/>
          <w:color w:val="333333"/>
          <w:sz w:val="32"/>
          <w:szCs w:val="32"/>
        </w:rPr>
        <w:t>..............................................................</w:t>
      </w:r>
      <w:r>
        <w:rPr>
          <w:rFonts w:hint="eastAsia" w:ascii="Times New Roman" w:hAnsi="Times New Roman" w:eastAsia="仿宋_GB2312" w:cs="仿宋_GB2312"/>
          <w:color w:val="333333"/>
          <w:sz w:val="32"/>
          <w:szCs w:val="32"/>
          <w:lang w:val="en-US" w:eastAsia="zh-CN"/>
        </w:rPr>
        <w:t>10</w:t>
      </w:r>
    </w:p>
    <w:p>
      <w:pPr>
        <w:spacing w:line="600" w:lineRule="exact"/>
        <w:rPr>
          <w:rFonts w:hint="default" w:eastAsia="仿宋_GB2312"/>
          <w:lang w:val="en-US" w:eastAsia="zh-CN"/>
        </w:rPr>
      </w:pPr>
      <w:r>
        <w:rPr>
          <w:rFonts w:hint="eastAsia"/>
        </w:rPr>
        <w:t>表1.</w:t>
      </w:r>
      <w:r>
        <w:rPr>
          <w:rFonts w:hint="eastAsia"/>
          <w:lang w:eastAsia="zh-CN"/>
        </w:rPr>
        <w:t>单位</w:t>
      </w:r>
      <w:r>
        <w:t>收支总表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表1-1.</w:t>
      </w:r>
      <w:r>
        <w:rPr>
          <w:rFonts w:hint="eastAsia"/>
          <w:lang w:eastAsia="zh-CN"/>
        </w:rPr>
        <w:t>单位</w:t>
      </w:r>
      <w:r>
        <w:t>收入总表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表1-2.</w:t>
      </w:r>
      <w:r>
        <w:rPr>
          <w:rFonts w:hint="eastAsia"/>
          <w:lang w:eastAsia="zh-CN"/>
        </w:rPr>
        <w:t>单位</w:t>
      </w:r>
      <w:r>
        <w:t>支出总表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表2.财政拨款收支预算总表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表2-1.财政拨款支出预算表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表3.一般公共预算支出预算表</w:t>
      </w:r>
      <w:r>
        <w:rPr>
          <w:rFonts w:hint="eastAsia" w:cs="仿宋_GB2312"/>
          <w:color w:val="333333"/>
        </w:rPr>
        <w:t>...............................</w:t>
      </w:r>
      <w:r>
        <w:rPr>
          <w:rFonts w:hint="eastAsia" w:cs="仿宋_GB2312"/>
          <w:color w:val="333333"/>
          <w:lang w:val="en-US" w:eastAsia="zh-CN"/>
        </w:rPr>
        <w:t xml:space="preserve"> 10</w:t>
      </w:r>
    </w:p>
    <w:p>
      <w:pPr>
        <w:spacing w:line="600" w:lineRule="exact"/>
        <w:rPr>
          <w:rFonts w:hint="default" w:eastAsia="仿宋_GB2312"/>
          <w:lang w:val="en-US" w:eastAsia="zh-CN"/>
        </w:rPr>
      </w:pPr>
      <w:r>
        <w:t>表3-1.一般公共预算基本支出预算表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表3-2.一般公共预算项目支出预算表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表3-3.一般公共预算“三公”经费支出预算表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表4.政府性基金支出预算表</w:t>
      </w:r>
      <w:r>
        <w:rPr>
          <w:rFonts w:hint="eastAsia" w:cs="仿宋_GB2312"/>
          <w:color w:val="333333"/>
        </w:rPr>
        <w:t>.....................................</w:t>
      </w:r>
      <w:r>
        <w:rPr>
          <w:rFonts w:hint="eastAsia" w:cs="仿宋_GB2312"/>
          <w:color w:val="333333"/>
          <w:lang w:val="en-US" w:eastAsia="zh-CN"/>
        </w:rPr>
        <w:t>10</w:t>
      </w:r>
    </w:p>
    <w:p>
      <w:pPr>
        <w:spacing w:line="600" w:lineRule="exact"/>
        <w:rPr>
          <w:rFonts w:hint="default" w:eastAsia="仿宋_GB2312"/>
          <w:lang w:val="en-US" w:eastAsia="zh-CN"/>
        </w:rPr>
      </w:pPr>
      <w:r>
        <w:t>表4-1.政府性基金预算“三公”经费支出预算表</w:t>
      </w:r>
      <w:r>
        <w:rPr>
          <w:rFonts w:hint="eastAsia" w:cs="仿宋_GB2312"/>
          <w:color w:val="333333"/>
        </w:rPr>
        <w:t>.......</w:t>
      </w:r>
      <w:r>
        <w:rPr>
          <w:rFonts w:hint="eastAsia" w:cs="仿宋_GB2312"/>
          <w:color w:val="333333"/>
          <w:lang w:val="en-US" w:eastAsia="zh-CN"/>
        </w:rPr>
        <w:t>11</w:t>
      </w:r>
    </w:p>
    <w:p>
      <w:pPr>
        <w:spacing w:line="600" w:lineRule="exact"/>
        <w:rPr>
          <w:rFonts w:hint="default" w:eastAsia="仿宋_GB2312"/>
          <w:lang w:val="en-US" w:eastAsia="zh-CN"/>
        </w:rPr>
      </w:pPr>
      <w:r>
        <w:t>表5.</w:t>
      </w:r>
      <w:r>
        <w:rPr>
          <w:rFonts w:hint="default" w:ascii="Times New Roman" w:hAnsi="Times New Roman" w:cs="Times New Roman"/>
        </w:rPr>
        <w:t>国有资本经营预算支出预算表</w:t>
      </w:r>
      <w:r>
        <w:rPr>
          <w:rFonts w:hint="eastAsia" w:cs="仿宋_GB2312"/>
          <w:color w:val="333333"/>
        </w:rPr>
        <w:t>..........................</w:t>
      </w:r>
      <w:r>
        <w:rPr>
          <w:rFonts w:hint="eastAsia" w:cs="仿宋_GB2312"/>
          <w:color w:val="333333"/>
          <w:lang w:val="en-US" w:eastAsia="zh-CN"/>
        </w:rPr>
        <w:t>11</w:t>
      </w:r>
    </w:p>
    <w:p>
      <w:pPr>
        <w:spacing w:line="600" w:lineRule="exact"/>
        <w:rPr>
          <w:rFonts w:hint="default" w:eastAsia="仿宋_GB2312"/>
          <w:lang w:val="en-US" w:eastAsia="zh-CN"/>
        </w:rPr>
      </w:pPr>
      <w:r>
        <w:t>表6.</w:t>
      </w:r>
      <w:r>
        <w:rPr>
          <w:rFonts w:hint="eastAsia" w:ascii="Times New Roman" w:hAnsi="Times New Roman" w:cs="Times New Roman"/>
          <w:lang w:val="en-US" w:eastAsia="zh-CN"/>
        </w:rPr>
        <w:t>单位</w:t>
      </w:r>
      <w:r>
        <w:rPr>
          <w:rFonts w:hint="default" w:ascii="Times New Roman" w:hAnsi="Times New Roman" w:cs="Times New Roman"/>
          <w:lang w:val="en-US" w:eastAsia="zh-CN"/>
        </w:rPr>
        <w:t>整体支出绩效目标表</w:t>
      </w:r>
      <w:r>
        <w:rPr>
          <w:rFonts w:hint="eastAsia" w:cs="仿宋_GB2312"/>
          <w:color w:val="333333"/>
        </w:rPr>
        <w:t>..................................</w:t>
      </w:r>
      <w:r>
        <w:rPr>
          <w:rFonts w:hint="eastAsia" w:cs="仿宋_GB2312"/>
          <w:color w:val="333333"/>
          <w:lang w:val="en-US" w:eastAsia="zh-CN"/>
        </w:rPr>
        <w:t>11</w:t>
      </w:r>
    </w:p>
    <w:p>
      <w:pPr>
        <w:spacing w:line="600" w:lineRule="exact"/>
        <w:rPr>
          <w:rFonts w:hint="default" w:eastAsia="仿宋_GB2312"/>
          <w:lang w:val="en-US" w:eastAsia="zh-CN"/>
        </w:rPr>
      </w:pPr>
      <w:r>
        <w:rPr>
          <w:rFonts w:hint="eastAsia"/>
        </w:rPr>
        <w:t>表7.</w:t>
      </w:r>
      <w:r>
        <w:rPr>
          <w:rFonts w:hint="default" w:ascii="Times New Roman" w:hAnsi="Times New Roman" w:cs="Times New Roman"/>
          <w:lang w:val="en-US" w:eastAsia="zh-CN"/>
        </w:rPr>
        <w:t>单位预算项目绩效目标表</w:t>
      </w:r>
      <w:r>
        <w:rPr>
          <w:rFonts w:hint="eastAsia" w:cs="仿宋_GB2312"/>
          <w:color w:val="333333"/>
        </w:rPr>
        <w:t>..................................</w:t>
      </w:r>
      <w:r>
        <w:rPr>
          <w:rFonts w:hint="eastAsia" w:cs="仿宋_GB2312"/>
          <w:color w:val="333333"/>
          <w:lang w:val="en-US" w:eastAsia="zh-CN"/>
        </w:rPr>
        <w:t>11</w:t>
      </w:r>
    </w:p>
    <w:p>
      <w:pPr>
        <w:spacing w:line="600" w:lineRule="exact"/>
        <w:rPr>
          <w:rFonts w:hint="default" w:ascii="Times New Roman" w:hAnsi="Times New Roman" w:eastAsia="黑体" w:cs="Times New Roman"/>
        </w:rPr>
      </w:pPr>
      <w:r>
        <w:rPr>
          <w:rFonts w:hint="default" w:ascii="Times New Roman" w:hAnsi="Times New Roman" w:eastAsia="黑体" w:cs="Times New Roman"/>
        </w:rPr>
        <w:br w:type="page"/>
      </w:r>
      <w:r>
        <w:rPr>
          <w:rFonts w:hint="eastAsia" w:ascii="Times New Roman" w:hAnsi="Times New Roman" w:eastAsia="黑体" w:cs="Times New Roman"/>
          <w:lang w:val="en-US" w:eastAsia="zh-CN"/>
        </w:rPr>
        <w:t xml:space="preserve">   </w:t>
      </w:r>
      <w:r>
        <w:rPr>
          <w:rFonts w:hint="default" w:ascii="Times New Roman" w:hAnsi="Times New Roman" w:eastAsia="黑体" w:cs="Times New Roman"/>
        </w:rPr>
        <w:t>一、基本职能及主要工作</w:t>
      </w:r>
    </w:p>
    <w:p>
      <w:pPr>
        <w:pStyle w:val="2"/>
        <w:adjustRightInd w:val="0"/>
        <w:spacing w:beforeLines="0" w:line="600" w:lineRule="exact"/>
        <w:ind w:firstLine="675" w:firstLineChars="210"/>
        <w:rPr>
          <w:rFonts w:hint="eastAsia" w:hAnsi="仿宋"/>
          <w:sz w:val="32"/>
        </w:rPr>
      </w:pPr>
      <w:r>
        <w:rPr>
          <w:rFonts w:hint="default" w:ascii="Times New Roman" w:hAnsi="Times New Roman" w:eastAsia="楷体_GB2312" w:cs="Times New Roman"/>
          <w:b/>
          <w:sz w:val="32"/>
        </w:rPr>
        <w:t>（一）</w:t>
      </w:r>
      <w:r>
        <w:rPr>
          <w:rFonts w:hint="eastAsia" w:ascii="楷体_GB2312" w:eastAsia="楷体_GB2312"/>
          <w:b/>
          <w:sz w:val="32"/>
          <w:lang w:eastAsia="zh-CN"/>
        </w:rPr>
        <w:t>市地方志编纂中心</w:t>
      </w:r>
      <w:r>
        <w:rPr>
          <w:rFonts w:hint="default" w:ascii="Times New Roman" w:hAnsi="Times New Roman" w:eastAsia="楷体_GB2312" w:cs="Times New Roman"/>
          <w:b/>
          <w:sz w:val="32"/>
        </w:rPr>
        <w:t>职能简介。</w:t>
      </w:r>
      <w:r>
        <w:rPr>
          <w:rFonts w:hint="eastAsia" w:hAnsi="仿宋"/>
          <w:sz w:val="32"/>
        </w:rPr>
        <w:t>主要负责编修地方志、年鉴。负责组织编辑、出版、发行《攀枝花市志》、《攀枝花年鉴》；负责指导、督促县区志、部门志、专业志的编修，并审查验收；负责组织编辑、出版、发行《攀枝花史志》杂志。</w:t>
      </w:r>
    </w:p>
    <w:p>
      <w:pPr>
        <w:pStyle w:val="2"/>
        <w:adjustRightInd w:val="0"/>
        <w:spacing w:beforeLines="0" w:line="600" w:lineRule="exact"/>
        <w:ind w:firstLine="675" w:firstLineChars="210"/>
        <w:rPr>
          <w:rFonts w:hint="eastAsia"/>
          <w:sz w:val="32"/>
          <w:szCs w:val="22"/>
        </w:rPr>
      </w:pPr>
      <w:r>
        <w:rPr>
          <w:rFonts w:hint="default" w:ascii="Times New Roman" w:hAnsi="Times New Roman" w:eastAsia="楷体_GB2312" w:cs="Times New Roman"/>
          <w:b/>
          <w:sz w:val="32"/>
        </w:rPr>
        <w:t>（二）</w:t>
      </w:r>
      <w:r>
        <w:rPr>
          <w:rFonts w:hint="eastAsia" w:ascii="Times New Roman" w:hAnsi="Times New Roman" w:eastAsia="楷体_GB2312" w:cs="Times New Roman"/>
          <w:b/>
          <w:sz w:val="32"/>
          <w:lang w:eastAsia="zh-CN"/>
        </w:rPr>
        <w:t>市地方志编纂中心</w:t>
      </w:r>
      <w:r>
        <w:rPr>
          <w:rFonts w:hint="default" w:ascii="Times New Roman" w:hAnsi="Times New Roman" w:eastAsia="楷体_GB2312" w:cs="Times New Roman"/>
          <w:b/>
          <w:sz w:val="32"/>
        </w:rPr>
        <w:t>20</w:t>
      </w:r>
      <w:r>
        <w:rPr>
          <w:rFonts w:hint="default" w:ascii="Times New Roman" w:hAnsi="Times New Roman" w:eastAsia="楷体_GB2312" w:cs="Times New Roman"/>
          <w:b/>
          <w:sz w:val="32"/>
          <w:lang w:val="en-US" w:eastAsia="zh-CN"/>
        </w:rPr>
        <w:t>22</w:t>
      </w:r>
      <w:r>
        <w:rPr>
          <w:rFonts w:hint="default" w:ascii="Times New Roman" w:hAnsi="Times New Roman" w:eastAsia="楷体_GB2312" w:cs="Times New Roman"/>
          <w:b/>
          <w:sz w:val="32"/>
        </w:rPr>
        <w:t>年重点工作。</w:t>
      </w:r>
      <w:r>
        <w:rPr>
          <w:rFonts w:hint="eastAsia"/>
          <w:sz w:val="32"/>
          <w:szCs w:val="22"/>
        </w:rPr>
        <w:t>1.年鉴编纂出版工作；2.史志编纂出版工作；3.修志工作；4.资政研究工作；5.史志宣教工作。</w:t>
      </w:r>
    </w:p>
    <w:p>
      <w:pPr>
        <w:spacing w:line="600" w:lineRule="exact"/>
        <w:ind w:firstLine="640" w:firstLineChars="200"/>
        <w:rPr>
          <w:rFonts w:hint="eastAsia" w:ascii="Times New Roman" w:hAnsi="Times New Roman" w:eastAsia="黑体" w:cs="Times New Roman"/>
          <w:lang w:val="en-US" w:eastAsia="zh-CN"/>
        </w:rPr>
      </w:pPr>
      <w:r>
        <w:rPr>
          <w:rFonts w:hint="eastAsia" w:ascii="Times New Roman" w:hAnsi="Times New Roman" w:eastAsia="黑体" w:cs="Times New Roman"/>
          <w:lang w:val="en-US" w:eastAsia="zh-CN"/>
        </w:rPr>
        <w:t>二、机构设置情况</w:t>
      </w:r>
    </w:p>
    <w:p>
      <w:pPr>
        <w:snapToGrid w:val="0"/>
        <w:spacing w:line="520" w:lineRule="exact"/>
        <w:ind w:firstLine="640" w:firstLineChars="200"/>
        <w:rPr>
          <w:rFonts w:hint="default" w:ascii="仿宋_GB2312" w:hAnsi="Times New Roman" w:eastAsia="仿宋_GB2312" w:cs="Times New Roman"/>
          <w:kern w:val="2"/>
          <w:sz w:val="32"/>
          <w:szCs w:val="22"/>
          <w:lang w:val="en-US" w:eastAsia="zh-CN" w:bidi="ar-SA"/>
        </w:rPr>
      </w:pPr>
      <w:r>
        <w:rPr>
          <w:rFonts w:hint="eastAsia" w:ascii="仿宋_GB2312" w:hAnsi="Times New Roman" w:eastAsia="仿宋_GB2312" w:cs="Times New Roman"/>
          <w:kern w:val="2"/>
          <w:sz w:val="32"/>
          <w:szCs w:val="22"/>
          <w:lang w:val="en-US" w:eastAsia="zh-CN" w:bidi="ar-SA"/>
        </w:rPr>
        <w:t>攀枝花市地方志编纂中心为市政府办下属二级预算单位，无下属单位。本中心为参照公务员法管理事业单位，独立编制机构数1个；独立核算机构数1个。纳入202</w:t>
      </w:r>
      <w:r>
        <w:rPr>
          <w:rFonts w:hint="eastAsia" w:ascii="仿宋_GB2312" w:cs="Times New Roman"/>
          <w:kern w:val="2"/>
          <w:sz w:val="32"/>
          <w:szCs w:val="22"/>
          <w:lang w:val="en-US" w:eastAsia="zh-CN" w:bidi="ar-SA"/>
        </w:rPr>
        <w:t>2</w:t>
      </w:r>
      <w:r>
        <w:rPr>
          <w:rFonts w:hint="eastAsia" w:ascii="仿宋_GB2312" w:hAnsi="Times New Roman" w:eastAsia="仿宋_GB2312" w:cs="Times New Roman"/>
          <w:kern w:val="2"/>
          <w:sz w:val="32"/>
          <w:szCs w:val="22"/>
          <w:lang w:val="en-US" w:eastAsia="zh-CN" w:bidi="ar-SA"/>
        </w:rPr>
        <w:t>年度单位决算编制范围的独立机构包括：攀枝花市地方志编纂中心。</w:t>
      </w:r>
    </w:p>
    <w:p>
      <w:pPr>
        <w:spacing w:line="600" w:lineRule="exact"/>
        <w:ind w:firstLine="640" w:firstLineChars="200"/>
        <w:rPr>
          <w:rFonts w:hint="default" w:ascii="Times New Roman" w:hAnsi="Times New Roman" w:eastAsia="黑体" w:cs="Times New Roman"/>
        </w:rPr>
      </w:pPr>
      <w:r>
        <w:rPr>
          <w:rFonts w:hint="eastAsia" w:eastAsia="黑体" w:cs="Times New Roman"/>
          <w:lang w:val="en-US" w:eastAsia="zh-CN"/>
        </w:rPr>
        <w:t>三</w:t>
      </w:r>
      <w:r>
        <w:rPr>
          <w:rFonts w:hint="default" w:ascii="Times New Roman" w:hAnsi="Times New Roman" w:eastAsia="黑体" w:cs="Times New Roman"/>
        </w:rPr>
        <w:t>、收支预算情况说明</w:t>
      </w:r>
    </w:p>
    <w:p>
      <w:pPr>
        <w:spacing w:line="600" w:lineRule="exact"/>
        <w:ind w:firstLine="640" w:firstLineChars="200"/>
        <w:rPr>
          <w:rFonts w:hint="default" w:ascii="Times New Roman" w:hAnsi="Times New Roman" w:cs="Times New Roman"/>
          <w:u w:val="single"/>
        </w:rPr>
      </w:pPr>
      <w:r>
        <w:rPr>
          <w:rFonts w:hint="default" w:ascii="Times New Roman" w:hAnsi="Times New Roman" w:cs="Times New Roman"/>
        </w:rPr>
        <w:t>按照综合预算的原则，</w:t>
      </w:r>
      <w:r>
        <w:rPr>
          <w:rFonts w:hint="eastAsia" w:ascii="Times New Roman" w:hAnsi="Times New Roman" w:cs="Times New Roman"/>
          <w:lang w:eastAsia="zh-CN"/>
        </w:rPr>
        <w:t>市地方志编纂中心</w:t>
      </w:r>
      <w:r>
        <w:rPr>
          <w:rFonts w:hint="default" w:ascii="Times New Roman" w:hAnsi="Times New Roman" w:cs="Times New Roman"/>
        </w:rPr>
        <w:t>所有收入和支出均纳入</w:t>
      </w:r>
      <w:r>
        <w:rPr>
          <w:rFonts w:hint="eastAsia" w:ascii="Times New Roman" w:hAnsi="Times New Roman" w:cs="Times New Roman"/>
          <w:lang w:eastAsia="zh-CN"/>
        </w:rPr>
        <w:t>单位</w:t>
      </w:r>
      <w:r>
        <w:rPr>
          <w:rFonts w:hint="default" w:ascii="Times New Roman" w:hAnsi="Times New Roman" w:cs="Times New Roman"/>
        </w:rPr>
        <w:t>预算管理。收入包括：收入包括：一般公共预算拨款收入；支出包括：</w:t>
      </w:r>
      <w:r>
        <w:rPr>
          <w:rFonts w:hint="eastAsia" w:ascii="Times New Roman" w:hAnsi="Times New Roman" w:cs="Times New Roman"/>
        </w:rPr>
        <w:t>科学技术支出、社会保障和就业支出、住房保障支出</w:t>
      </w:r>
      <w:r>
        <w:rPr>
          <w:rFonts w:hint="default" w:ascii="Times New Roman" w:hAnsi="Times New Roman" w:cs="Times New Roman"/>
        </w:rPr>
        <w:t>。</w:t>
      </w:r>
      <w:r>
        <w:rPr>
          <w:rFonts w:hint="eastAsia" w:ascii="Times New Roman" w:hAnsi="Times New Roman" w:cs="Times New Roman"/>
        </w:rPr>
        <w:t>市地方志编纂中心</w:t>
      </w:r>
      <w:r>
        <w:rPr>
          <w:rFonts w:hint="default" w:ascii="Times New Roman" w:hAnsi="Times New Roman" w:cs="Times New Roman"/>
        </w:rPr>
        <w:t>2022年收支总预算</w:t>
      </w:r>
      <w:r>
        <w:rPr>
          <w:rFonts w:hint="eastAsia" w:ascii="Times New Roman" w:hAnsi="Times New Roman" w:cs="Times New Roman"/>
        </w:rPr>
        <w:t>228.61</w:t>
      </w:r>
      <w:r>
        <w:rPr>
          <w:rFonts w:hint="default" w:ascii="Times New Roman" w:hAnsi="Times New Roman" w:cs="Times New Roman"/>
        </w:rPr>
        <w:t>万元。比2021年预算数增加</w:t>
      </w:r>
      <w:r>
        <w:rPr>
          <w:rFonts w:hint="eastAsia" w:ascii="Times New Roman" w:hAnsi="Times New Roman" w:cs="Times New Roman"/>
        </w:rPr>
        <w:t>28.51</w:t>
      </w:r>
      <w:r>
        <w:rPr>
          <w:rFonts w:hint="default" w:ascii="Times New Roman" w:hAnsi="Times New Roman" w:cs="Times New Roman"/>
        </w:rPr>
        <w:t>万元，主要是</w:t>
      </w:r>
      <w:r>
        <w:rPr>
          <w:rFonts w:hint="eastAsia" w:ascii="Times New Roman" w:hAnsi="Times New Roman" w:cs="Times New Roman"/>
        </w:rPr>
        <w:t>人员增加导致人员经费及公用经费增加。</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（一）收入预算情况</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市地方志编纂中心</w:t>
      </w: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年收入预算</w:t>
      </w:r>
      <w:r>
        <w:rPr>
          <w:rFonts w:hint="eastAsia" w:ascii="Times New Roman" w:hAnsi="Times New Roman" w:cs="Times New Roman"/>
          <w:lang w:val="en-US" w:eastAsia="zh-CN"/>
        </w:rPr>
        <w:t>228.61</w:t>
      </w:r>
      <w:r>
        <w:rPr>
          <w:rFonts w:hint="default" w:ascii="Times New Roman" w:hAnsi="Times New Roman" w:cs="Times New Roman"/>
        </w:rPr>
        <w:t>万元，其中：上年结转</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%；一般公共预算拨款收入</w:t>
      </w:r>
      <w:r>
        <w:rPr>
          <w:rFonts w:hint="eastAsia" w:ascii="Times New Roman" w:hAnsi="Times New Roman" w:cs="Times New Roman"/>
          <w:lang w:val="en-US" w:eastAsia="zh-CN"/>
        </w:rPr>
        <w:t>228.61</w:t>
      </w:r>
      <w:r>
        <w:rPr>
          <w:rFonts w:hint="default" w:ascii="Times New Roman" w:hAnsi="Times New Roman" w:cs="Times New Roman"/>
        </w:rPr>
        <w:t>万元，占</w:t>
      </w:r>
      <w:r>
        <w:rPr>
          <w:rFonts w:hint="eastAsia" w:ascii="Times New Roman" w:hAnsi="Times New Roman" w:cs="Times New Roman"/>
          <w:lang w:val="en-US" w:eastAsia="zh-CN"/>
        </w:rPr>
        <w:t>100</w:t>
      </w:r>
      <w:r>
        <w:rPr>
          <w:rFonts w:hint="default" w:ascii="Times New Roman" w:hAnsi="Times New Roman" w:cs="Times New Roman"/>
        </w:rPr>
        <w:t>%；政府性基金预算拨款收入</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%；事业收入</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w:t>
      </w:r>
      <w: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（二）支出预算情况</w:t>
      </w:r>
    </w:p>
    <w:p>
      <w:pPr>
        <w:spacing w:line="600" w:lineRule="exact"/>
        <w:ind w:firstLine="640" w:firstLineChars="200"/>
        <w:rPr>
          <w:rFonts w:hint="eastAsia" w:ascii="Times New Roman" w:hAnsi="Times New Roman" w:cs="Times New Roman"/>
          <w:lang w:eastAsia="zh-CN"/>
        </w:rPr>
      </w:pPr>
      <w:r>
        <w:rPr>
          <w:rFonts w:hint="eastAsia" w:ascii="Times New Roman" w:hAnsi="Times New Roman" w:cs="Times New Roman"/>
          <w:lang w:eastAsia="zh-CN"/>
        </w:rPr>
        <w:t>市地方志编纂中心</w:t>
      </w: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年支出预算</w:t>
      </w:r>
      <w:r>
        <w:rPr>
          <w:rFonts w:hint="eastAsia" w:ascii="Times New Roman" w:hAnsi="Times New Roman" w:cs="Times New Roman"/>
          <w:lang w:val="en-US" w:eastAsia="zh-CN"/>
        </w:rPr>
        <w:t>228.61</w:t>
      </w:r>
      <w:r>
        <w:rPr>
          <w:rFonts w:hint="default" w:ascii="Times New Roman" w:hAnsi="Times New Roman" w:cs="Times New Roman"/>
        </w:rPr>
        <w:t>万元，其中：基本支出</w:t>
      </w:r>
      <w:r>
        <w:rPr>
          <w:rFonts w:hint="eastAsia" w:ascii="Times New Roman" w:hAnsi="Times New Roman" w:cs="Times New Roman"/>
          <w:lang w:val="en-US" w:eastAsia="zh-CN"/>
        </w:rPr>
        <w:t>228.61</w:t>
      </w:r>
      <w:r>
        <w:rPr>
          <w:rFonts w:hint="default" w:ascii="Times New Roman" w:hAnsi="Times New Roman" w:cs="Times New Roman"/>
        </w:rPr>
        <w:t>万元，占</w:t>
      </w:r>
      <w:r>
        <w:rPr>
          <w:rFonts w:hint="eastAsia" w:ascii="Times New Roman" w:hAnsi="Times New Roman" w:cs="Times New Roman"/>
          <w:lang w:val="en-US" w:eastAsia="zh-CN"/>
        </w:rPr>
        <w:t>100</w:t>
      </w:r>
      <w:r>
        <w:rPr>
          <w:rFonts w:hint="default" w:ascii="Times New Roman" w:hAnsi="Times New Roman" w:cs="Times New Roman"/>
        </w:rPr>
        <w:t>%；项目支出</w:t>
      </w:r>
      <w:r>
        <w:rPr>
          <w:rFonts w:hint="eastAsia" w:ascii="Times New Roman" w:hAnsi="Times New Roman" w:cs="Times New Roman"/>
          <w:lang w:val="en-US" w:eastAsia="zh-CN"/>
        </w:rPr>
        <w:t>0</w:t>
      </w:r>
      <w:r>
        <w:rPr>
          <w:rFonts w:hint="default" w:ascii="Times New Roman" w:hAnsi="Times New Roman" w:cs="Times New Roman"/>
        </w:rPr>
        <w:t>万元，占</w:t>
      </w:r>
      <w:r>
        <w:rPr>
          <w:rFonts w:hint="eastAsia" w:ascii="Times New Roman" w:hAnsi="Times New Roman" w:cs="Times New Roman"/>
          <w:lang w:val="en-US" w:eastAsia="zh-CN"/>
        </w:rPr>
        <w:t>0</w:t>
      </w:r>
      <w:r>
        <w:rPr>
          <w:rFonts w:hint="default" w:ascii="Times New Roman" w:hAnsi="Times New Roman" w:cs="Times New Roman"/>
        </w:rPr>
        <w:t>%</w:t>
      </w:r>
      <w:r>
        <w:rPr>
          <w:rFonts w:hint="eastAsia" w:ascii="Times New Roman" w:hAnsi="Times New Roman" w:cs="Times New Roman"/>
          <w:lang w:eastAsia="zh-CN"/>
        </w:rPr>
        <w:t>。</w:t>
      </w:r>
    </w:p>
    <w:p>
      <w:pPr>
        <w:spacing w:line="600" w:lineRule="exact"/>
        <w:ind w:firstLine="640" w:firstLineChars="200"/>
        <w:rPr>
          <w:rFonts w:hint="default" w:ascii="Times New Roman" w:hAnsi="Times New Roman" w:eastAsia="黑体" w:cs="Times New Roman"/>
        </w:rPr>
      </w:pPr>
      <w:r>
        <w:rPr>
          <w:rFonts w:hint="eastAsia" w:eastAsia="黑体" w:cs="Times New Roman"/>
          <w:lang w:val="en-US" w:eastAsia="zh-CN"/>
        </w:rPr>
        <w:t>四</w:t>
      </w:r>
      <w:r>
        <w:rPr>
          <w:rFonts w:hint="eastAsia" w:ascii="Times New Roman" w:hAnsi="Times New Roman" w:eastAsia="黑体" w:cs="Times New Roman"/>
          <w:lang w:val="en-US" w:eastAsia="zh-CN"/>
        </w:rPr>
        <w:t>、</w:t>
      </w:r>
      <w:r>
        <w:rPr>
          <w:rFonts w:hint="default" w:ascii="Times New Roman" w:hAnsi="Times New Roman" w:eastAsia="黑体" w:cs="Times New Roman"/>
          <w:lang w:eastAsia="zh-CN"/>
        </w:rPr>
        <w:t>财政拨款收支预算情况说明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rPr>
        <w:t>市地方志编纂中心</w:t>
      </w:r>
      <w:r>
        <w:rPr>
          <w:rFonts w:hint="default" w:ascii="Times New Roman" w:hAnsi="Times New Roman" w:cs="Times New Roman"/>
        </w:rPr>
        <w:t>2022年财政拨款收支总预算</w:t>
      </w:r>
      <w:r>
        <w:rPr>
          <w:rFonts w:hint="eastAsia" w:ascii="Times New Roman" w:hAnsi="Times New Roman" w:cs="Times New Roman"/>
        </w:rPr>
        <w:t>228.61</w:t>
      </w:r>
      <w:r>
        <w:rPr>
          <w:rFonts w:hint="default" w:ascii="Times New Roman" w:hAnsi="Times New Roman" w:cs="Times New Roman"/>
        </w:rPr>
        <w:t>万元。收入包括：本年一般公共预算拨款收入</w:t>
      </w:r>
      <w:r>
        <w:rPr>
          <w:rFonts w:hint="eastAsia" w:ascii="Times New Roman" w:hAnsi="Times New Roman" w:cs="Times New Roman"/>
        </w:rPr>
        <w:t>228.61</w:t>
      </w:r>
      <w:r>
        <w:rPr>
          <w:rFonts w:hint="default" w:ascii="Times New Roman" w:hAnsi="Times New Roman" w:cs="Times New Roman"/>
        </w:rPr>
        <w:t>万元；支出包括：</w:t>
      </w:r>
      <w:r>
        <w:rPr>
          <w:rFonts w:hint="eastAsia" w:ascii="Times New Roman" w:hAnsi="Times New Roman" w:cs="Times New Roman"/>
        </w:rPr>
        <w:t>科学技术支出171.38</w:t>
      </w:r>
      <w:r>
        <w:rPr>
          <w:rFonts w:hint="default" w:ascii="Times New Roman" w:hAnsi="Times New Roman" w:cs="Times New Roman"/>
        </w:rPr>
        <w:t>万元</w:t>
      </w:r>
      <w:r>
        <w:rPr>
          <w:rFonts w:hint="eastAsia" w:ascii="Times New Roman" w:hAnsi="Times New Roman" w:cs="Times New Roman"/>
        </w:rPr>
        <w:t>、社会保障和就业支出38.59</w:t>
      </w:r>
      <w:r>
        <w:rPr>
          <w:rFonts w:hint="default" w:ascii="Times New Roman" w:hAnsi="Times New Roman" w:cs="Times New Roman"/>
        </w:rPr>
        <w:t>万元</w:t>
      </w:r>
      <w:r>
        <w:rPr>
          <w:rFonts w:hint="eastAsia" w:ascii="Times New Roman" w:hAnsi="Times New Roman" w:cs="Times New Roman"/>
        </w:rPr>
        <w:t>、住房保障支出18.65</w:t>
      </w:r>
      <w:r>
        <w:rPr>
          <w:rFonts w:hint="default" w:ascii="Times New Roman" w:hAnsi="Times New Roman" w:cs="Times New Roman"/>
        </w:rPr>
        <w:t>万元</w:t>
      </w:r>
      <w:r>
        <w:rPr>
          <w:rFonts w:hint="eastAsia" w:ascii="Times New Roman" w:hAnsi="Times New Roman" w:cs="Times New Roman"/>
        </w:rPr>
        <w:t>。</w:t>
      </w:r>
    </w:p>
    <w:p>
      <w:pPr>
        <w:spacing w:line="600" w:lineRule="exact"/>
        <w:ind w:firstLine="640" w:firstLineChars="200"/>
        <w:rPr>
          <w:rFonts w:hint="default" w:ascii="Times New Roman" w:hAnsi="Times New Roman" w:eastAsia="黑体" w:cs="Times New Roman"/>
        </w:rPr>
      </w:pPr>
      <w:r>
        <w:rPr>
          <w:rFonts w:hint="eastAsia" w:eastAsia="黑体" w:cs="Times New Roman"/>
          <w:lang w:val="en-US" w:eastAsia="zh-CN"/>
        </w:rPr>
        <w:t>五</w:t>
      </w:r>
      <w:r>
        <w:rPr>
          <w:rFonts w:hint="default" w:ascii="Times New Roman" w:hAnsi="Times New Roman" w:eastAsia="黑体" w:cs="Times New Roman"/>
        </w:rPr>
        <w:t>、一般公共预算当年拨款情况说明</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（一）一般公共预算当年拨款规模变化情况</w:t>
      </w:r>
    </w:p>
    <w:p>
      <w:pPr>
        <w:spacing w:line="600" w:lineRule="exact"/>
        <w:ind w:firstLine="640" w:firstLineChars="200"/>
        <w:rPr>
          <w:rFonts w:hint="default" w:ascii="Times New Roman" w:hAnsi="Times New Roman" w:cs="Times New Roman"/>
        </w:rPr>
      </w:pPr>
      <w:r>
        <w:rPr>
          <w:rFonts w:hint="eastAsia"/>
        </w:rPr>
        <w:t>市地方志编纂中心</w:t>
      </w:r>
      <w:r>
        <w:t>2022年一般公共预算当年拨款</w:t>
      </w:r>
      <w:r>
        <w:rPr>
          <w:rFonts w:hint="eastAsia"/>
        </w:rPr>
        <w:t>228.61</w:t>
      </w:r>
      <w:r>
        <w:t>万元，比2021年预算数增加</w:t>
      </w:r>
      <w:r>
        <w:rPr>
          <w:rFonts w:hint="eastAsia"/>
        </w:rPr>
        <w:t>28.51</w:t>
      </w:r>
      <w:r>
        <w:t>万元，主要是</w:t>
      </w:r>
      <w:r>
        <w:rPr>
          <w:rFonts w:hint="eastAsia"/>
        </w:rPr>
        <w:t>人员增加导致人员经费及公用经费增加。</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（二）一般公共预算当年拨款结构情况</w:t>
      </w:r>
    </w:p>
    <w:p>
      <w:pPr>
        <w:spacing w:line="600" w:lineRule="exact"/>
        <w:ind w:firstLine="640" w:firstLineChars="200"/>
        <w:rPr>
          <w:rFonts w:hint="default" w:ascii="Times New Roman" w:hAnsi="Times New Roman" w:cs="Times New Roman"/>
        </w:rPr>
      </w:pPr>
      <w:r>
        <w:rPr>
          <w:rFonts w:hint="eastAsia" w:ascii="仿宋_GB2312"/>
        </w:rPr>
        <w:t>科学技术支出171.38万元，占74.97%；社会保障和就业支出38.59万元，占16.88%；住房保障支出18.65万元，占8.15%。</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（三）一般公共预算当年拨款具体使用情况</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1.</w:t>
      </w:r>
      <w:r>
        <w:rPr>
          <w:rFonts w:hint="eastAsia" w:ascii="Times New Roman" w:hAnsi="Times New Roman" w:cs="Times New Roman"/>
        </w:rPr>
        <w:t>科学技术支出（类）科学技术管理事务（款）行政运行（项）2022年预算数为171.38万元，主要用于：单位人员工资、日常运转以及完成特定行政工作任务。</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2.</w:t>
      </w:r>
      <w:r>
        <w:rPr>
          <w:rFonts w:hint="eastAsia" w:ascii="Times New Roman" w:hAnsi="Times New Roman" w:cs="Times New Roman"/>
        </w:rPr>
        <w:t>社会保障和就业支出（类）行政事业单位养老支出（款）行政单位离退休（项）2022年预算数为24.38万元，主要用于：退休职工统筹外退休费支出。</w:t>
      </w:r>
    </w:p>
    <w:p>
      <w:pPr>
        <w:spacing w:line="600" w:lineRule="exact"/>
        <w:ind w:firstLine="640" w:firstLineChars="200"/>
        <w:rPr>
          <w:rFonts w:hint="eastAsia" w:ascii="Times New Roman" w:hAnsi="Times New Roman" w:cs="Times New Roman"/>
        </w:rPr>
      </w:pPr>
      <w:r>
        <w:rPr>
          <w:rFonts w:hint="default" w:ascii="Times New Roman" w:hAnsi="Times New Roman" w:cs="Times New Roman"/>
        </w:rPr>
        <w:t>3.</w:t>
      </w:r>
      <w:r>
        <w:rPr>
          <w:rFonts w:hint="eastAsia" w:ascii="Times New Roman" w:hAnsi="Times New Roman" w:cs="Times New Roman"/>
        </w:rPr>
        <w:t>社会保障和就业支出（类）行政事业单位离退休（款）机关事业单位基本养老保险缴费（项）2022年预算数为13.21万元，主要用于：在职职工的机关事业单位基本养老保险缴费。</w:t>
      </w:r>
    </w:p>
    <w:p>
      <w:pPr>
        <w:spacing w:line="600" w:lineRule="exact"/>
        <w:ind w:firstLine="640" w:firstLineChars="200"/>
        <w:rPr>
          <w:rFonts w:hint="eastAsia" w:ascii="Times New Roman" w:hAnsi="Times New Roman" w:cs="Times New Roman"/>
        </w:rPr>
      </w:pPr>
      <w:r>
        <w:rPr>
          <w:rFonts w:hint="eastAsia" w:ascii="Times New Roman" w:hAnsi="Times New Roman" w:cs="Times New Roman"/>
        </w:rPr>
        <w:t>4. 社会保障和就业支出（类）抚恤（款）死亡抚恤（项）2022年预算数为1万元，主要用于：遗属生活补助支出。</w:t>
      </w:r>
    </w:p>
    <w:p>
      <w:pPr>
        <w:spacing w:line="600" w:lineRule="exact"/>
        <w:ind w:firstLine="640" w:firstLineChars="200"/>
        <w:rPr>
          <w:rFonts w:hint="default" w:ascii="Times New Roman" w:hAnsi="Times New Roman" w:cs="Times New Roman"/>
          <w:u w:val="single"/>
        </w:rPr>
      </w:pPr>
      <w:r>
        <w:rPr>
          <w:rFonts w:hint="eastAsia" w:ascii="Times New Roman" w:hAnsi="Times New Roman" w:cs="Times New Roman"/>
        </w:rPr>
        <w:t>5. 住房保障支出（类）住房改革支出（款）住房公积金（项）2022年预算数为18.65万元，主要用于：按照规定标准为职工缴纳住房公积金的支出。</w:t>
      </w:r>
    </w:p>
    <w:p>
      <w:pPr>
        <w:spacing w:line="600" w:lineRule="exact"/>
        <w:ind w:firstLine="640" w:firstLineChars="200"/>
        <w:rPr>
          <w:rFonts w:hint="default" w:ascii="Times New Roman" w:hAnsi="Times New Roman" w:eastAsia="黑体" w:cs="Times New Roman"/>
        </w:rPr>
      </w:pPr>
      <w:r>
        <w:rPr>
          <w:rFonts w:hint="eastAsia" w:eastAsia="黑体" w:cs="Times New Roman"/>
          <w:lang w:val="en-US" w:eastAsia="zh-CN"/>
        </w:rPr>
        <w:t>六</w:t>
      </w:r>
      <w:r>
        <w:rPr>
          <w:rFonts w:hint="default" w:ascii="Times New Roman" w:hAnsi="Times New Roman" w:eastAsia="黑体" w:cs="Times New Roman"/>
        </w:rPr>
        <w:t>、一般公共预算基本支出情况说明</w:t>
      </w:r>
    </w:p>
    <w:p>
      <w:pPr>
        <w:spacing w:line="600" w:lineRule="exact"/>
        <w:ind w:firstLine="640" w:firstLineChars="200"/>
      </w:pPr>
      <w:r>
        <w:rPr>
          <w:rFonts w:hint="eastAsia"/>
        </w:rPr>
        <w:t>市地方志编纂中心</w:t>
      </w:r>
      <w:r>
        <w:t>2022年一般公共预算基本支出</w:t>
      </w:r>
      <w:r>
        <w:rPr>
          <w:rFonts w:hint="eastAsia"/>
        </w:rPr>
        <w:t>228.61</w:t>
      </w:r>
      <w:r>
        <w:t>万元，其中：</w:t>
      </w:r>
    </w:p>
    <w:p>
      <w:pPr>
        <w:spacing w:line="600" w:lineRule="exact"/>
        <w:ind w:firstLine="640" w:firstLineChars="200"/>
        <w:rPr>
          <w:rFonts w:hint="eastAsia" w:ascii="仿宋_GB2312"/>
        </w:rPr>
      </w:pPr>
      <w:r>
        <w:t>人员经费</w:t>
      </w:r>
      <w:r>
        <w:rPr>
          <w:rFonts w:hint="eastAsia"/>
        </w:rPr>
        <w:t>200.14</w:t>
      </w:r>
      <w:r>
        <w:t>万元，主要包括：基本工资</w:t>
      </w:r>
      <w:r>
        <w:rPr>
          <w:rFonts w:hint="eastAsia"/>
          <w:lang w:val="en-US" w:eastAsia="zh-CN"/>
        </w:rPr>
        <w:t>41.28</w:t>
      </w:r>
      <w:r>
        <w:t>万元、津贴补贴</w:t>
      </w:r>
      <w:r>
        <w:rPr>
          <w:rFonts w:hint="eastAsia"/>
          <w:lang w:val="en-US" w:eastAsia="zh-CN"/>
        </w:rPr>
        <w:t>77.84</w:t>
      </w:r>
      <w:r>
        <w:t>万元、奖金</w:t>
      </w:r>
      <w:r>
        <w:rPr>
          <w:rFonts w:hint="eastAsia"/>
          <w:lang w:val="en-US" w:eastAsia="zh-CN"/>
        </w:rPr>
        <w:t>3.44</w:t>
      </w:r>
      <w:r>
        <w:t>万元、机关事业单位基本养老保险缴费</w:t>
      </w:r>
      <w:r>
        <w:rPr>
          <w:rFonts w:hint="eastAsia"/>
          <w:lang w:val="en-US" w:eastAsia="zh-CN"/>
        </w:rPr>
        <w:t>13.21</w:t>
      </w:r>
      <w:r>
        <w:t>万元、职工基本医疗保险缴费</w:t>
      </w:r>
      <w:r>
        <w:rPr>
          <w:rFonts w:hint="eastAsia"/>
          <w:lang w:val="en-US" w:eastAsia="zh-CN"/>
        </w:rPr>
        <w:t>11.56</w:t>
      </w:r>
      <w:r>
        <w:t>万元、公务员医疗补助缴费</w:t>
      </w:r>
      <w:r>
        <w:rPr>
          <w:rFonts w:hint="eastAsia"/>
          <w:lang w:val="en-US" w:eastAsia="zh-CN"/>
        </w:rPr>
        <w:t>10.75</w:t>
      </w:r>
      <w:r>
        <w:t>万元、住房公积金</w:t>
      </w:r>
      <w:r>
        <w:rPr>
          <w:rFonts w:hint="eastAsia"/>
          <w:lang w:val="en-US" w:eastAsia="zh-CN"/>
        </w:rPr>
        <w:t>18.65</w:t>
      </w:r>
      <w:r>
        <w:t>万元、其他工资福利支出</w:t>
      </w:r>
      <w:r>
        <w:rPr>
          <w:rFonts w:hint="eastAsia"/>
          <w:lang w:val="en-US" w:eastAsia="zh-CN"/>
        </w:rPr>
        <w:t>5.2</w:t>
      </w:r>
      <w:r>
        <w:t>万元、退休费</w:t>
      </w:r>
      <w:r>
        <w:rPr>
          <w:rFonts w:hint="eastAsia"/>
          <w:lang w:val="en-US" w:eastAsia="zh-CN"/>
        </w:rPr>
        <w:t>16.41</w:t>
      </w:r>
      <w:r>
        <w:t>万元、</w:t>
      </w:r>
      <w:r>
        <w:rPr>
          <w:rFonts w:hint="eastAsia" w:ascii="仿宋_GB2312"/>
        </w:rPr>
        <w:t>生活补助</w:t>
      </w:r>
      <w:r>
        <w:rPr>
          <w:rFonts w:hint="eastAsia" w:ascii="仿宋_GB2312"/>
          <w:lang w:val="en-US" w:eastAsia="zh-CN"/>
        </w:rPr>
        <w:t>1万元、</w:t>
      </w:r>
      <w:r>
        <w:t>医疗费补助</w:t>
      </w:r>
      <w:r>
        <w:rPr>
          <w:rFonts w:hint="eastAsia"/>
          <w:lang w:val="en-US" w:eastAsia="zh-CN"/>
        </w:rPr>
        <w:t>0.8</w:t>
      </w:r>
      <w:r>
        <w:t>万元。</w:t>
      </w:r>
    </w:p>
    <w:p>
      <w:pPr>
        <w:spacing w:line="600" w:lineRule="exact"/>
        <w:ind w:firstLine="640" w:firstLineChars="200"/>
        <w:rPr>
          <w:rFonts w:hint="default" w:ascii="Times New Roman" w:hAnsi="Times New Roman" w:cs="Times New Roman"/>
        </w:rPr>
      </w:pPr>
      <w:r>
        <w:t>公用经费</w:t>
      </w:r>
      <w:r>
        <w:rPr>
          <w:rFonts w:hint="eastAsia"/>
        </w:rPr>
        <w:t>28.4</w:t>
      </w:r>
      <w:r>
        <w:rPr>
          <w:rFonts w:hint="eastAsia"/>
          <w:lang w:val="en-US" w:eastAsia="zh-CN"/>
        </w:rPr>
        <w:t>8</w:t>
      </w:r>
      <w:r>
        <w:t>万元，主要包括：办公费</w:t>
      </w:r>
      <w:r>
        <w:rPr>
          <w:rFonts w:hint="eastAsia"/>
          <w:lang w:val="en-US" w:eastAsia="zh-CN"/>
        </w:rPr>
        <w:t>1.53万元</w:t>
      </w:r>
      <w:r>
        <w:t>、水费</w:t>
      </w:r>
      <w:r>
        <w:rPr>
          <w:rFonts w:hint="eastAsia"/>
          <w:lang w:val="en-US" w:eastAsia="zh-CN"/>
        </w:rPr>
        <w:t>0.31</w:t>
      </w:r>
      <w:r>
        <w:t>万元、电费</w:t>
      </w:r>
      <w:r>
        <w:rPr>
          <w:rFonts w:hint="eastAsia"/>
          <w:lang w:val="en-US" w:eastAsia="zh-CN"/>
        </w:rPr>
        <w:t>0.77</w:t>
      </w:r>
      <w:r>
        <w:t>万元、邮电费</w:t>
      </w:r>
      <w:r>
        <w:rPr>
          <w:rFonts w:hint="eastAsia"/>
          <w:lang w:val="en-US" w:eastAsia="zh-CN"/>
        </w:rPr>
        <w:t>1.59</w:t>
      </w:r>
      <w:r>
        <w:t>万元、差旅费</w:t>
      </w:r>
      <w:r>
        <w:rPr>
          <w:rFonts w:hint="eastAsia"/>
          <w:lang w:val="en-US" w:eastAsia="zh-CN"/>
        </w:rPr>
        <w:t>6.12</w:t>
      </w:r>
      <w:r>
        <w:t>万元、公务接待</w:t>
      </w:r>
      <w:r>
        <w:rPr>
          <w:rFonts w:hint="eastAsia"/>
          <w:lang w:val="en-US" w:eastAsia="zh-CN"/>
        </w:rPr>
        <w:t>0.29</w:t>
      </w:r>
      <w:r>
        <w:t>万元、工会经费</w:t>
      </w:r>
      <w:r>
        <w:rPr>
          <w:rFonts w:hint="eastAsia"/>
          <w:lang w:val="en-US" w:eastAsia="zh-CN"/>
        </w:rPr>
        <w:t>2.45</w:t>
      </w:r>
      <w:r>
        <w:t>万元、福利费</w:t>
      </w:r>
      <w:r>
        <w:rPr>
          <w:rFonts w:hint="eastAsia"/>
          <w:lang w:val="en-US" w:eastAsia="zh-CN"/>
        </w:rPr>
        <w:t>1.9</w:t>
      </w:r>
      <w:r>
        <w:t>万元、其他交通费用</w:t>
      </w:r>
      <w:r>
        <w:rPr>
          <w:rFonts w:hint="eastAsia"/>
          <w:lang w:val="en-US" w:eastAsia="zh-CN"/>
        </w:rPr>
        <w:t>9.36</w:t>
      </w:r>
      <w:r>
        <w:t>万元、其他商品和服务支出</w:t>
      </w:r>
      <w:r>
        <w:rPr>
          <w:rFonts w:hint="eastAsia"/>
          <w:lang w:val="en-US" w:eastAsia="zh-CN"/>
        </w:rPr>
        <w:t>4.16</w:t>
      </w:r>
      <w:r>
        <w:t>万元。</w:t>
      </w:r>
    </w:p>
    <w:p>
      <w:pPr>
        <w:spacing w:line="600" w:lineRule="exact"/>
        <w:ind w:firstLine="640" w:firstLineChars="200"/>
        <w:rPr>
          <w:rFonts w:hint="default" w:ascii="Times New Roman" w:hAnsi="Times New Roman" w:eastAsia="黑体" w:cs="Times New Roman"/>
        </w:rPr>
      </w:pPr>
      <w:r>
        <w:rPr>
          <w:rFonts w:hint="eastAsia" w:eastAsia="黑体" w:cs="Times New Roman"/>
          <w:lang w:val="en-US" w:eastAsia="zh-CN"/>
        </w:rPr>
        <w:t>七</w:t>
      </w:r>
      <w:r>
        <w:rPr>
          <w:rFonts w:hint="default" w:ascii="Times New Roman" w:hAnsi="Times New Roman" w:eastAsia="黑体" w:cs="Times New Roman"/>
        </w:rPr>
        <w:t>、“三公”经费财政拨款预算安排情况说明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市地方志编纂中心</w:t>
      </w: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年“三公”经费财政拨款预算数</w:t>
      </w:r>
      <w:r>
        <w:rPr>
          <w:rFonts w:hint="eastAsia" w:ascii="Times New Roman" w:hAnsi="Times New Roman" w:cs="Times New Roman"/>
          <w:lang w:val="en-US" w:eastAsia="zh-CN"/>
        </w:rPr>
        <w:t>0.29</w:t>
      </w:r>
      <w:r>
        <w:rPr>
          <w:rFonts w:hint="default" w:ascii="Times New Roman" w:hAnsi="Times New Roman" w:cs="Times New Roman"/>
        </w:rPr>
        <w:t>万元，其中：因公出国（境）经费</w:t>
      </w:r>
      <w:r>
        <w:rPr>
          <w:rFonts w:hint="eastAsia" w:ascii="Times New Roman" w:hAnsi="Times New Roman" w:cs="Times New Roman"/>
          <w:lang w:val="en-US" w:eastAsia="zh-CN"/>
        </w:rPr>
        <w:t>0</w:t>
      </w:r>
      <w:r>
        <w:rPr>
          <w:rFonts w:hint="default" w:ascii="Times New Roman" w:hAnsi="Times New Roman" w:cs="Times New Roman"/>
        </w:rPr>
        <w:t>万元，公务接待费</w:t>
      </w:r>
      <w:r>
        <w:rPr>
          <w:rFonts w:hint="eastAsia" w:ascii="Times New Roman" w:hAnsi="Times New Roman" w:cs="Times New Roman"/>
          <w:lang w:val="en-US" w:eastAsia="zh-CN"/>
        </w:rPr>
        <w:t>0.29</w:t>
      </w:r>
      <w:r>
        <w:rPr>
          <w:rFonts w:hint="default" w:ascii="Times New Roman" w:hAnsi="Times New Roman" w:cs="Times New Roman"/>
        </w:rPr>
        <w:t>万元，公务用车购置及运行维护费</w:t>
      </w:r>
      <w:r>
        <w:rPr>
          <w:rFonts w:hint="eastAsia" w:ascii="Times New Roman" w:hAnsi="Times New Roman" w:cs="Times New Roman"/>
          <w:lang w:val="en-US" w:eastAsia="zh-CN"/>
        </w:rPr>
        <w:t>0</w:t>
      </w:r>
      <w:r>
        <w:rPr>
          <w:rFonts w:hint="default" w:ascii="Times New Roman" w:hAnsi="Times New Roman" w:cs="Times New Roman"/>
        </w:rPr>
        <w:t>万元。</w:t>
      </w:r>
    </w:p>
    <w:p>
      <w:pPr>
        <w:spacing w:line="600" w:lineRule="exact"/>
        <w:ind w:firstLine="640"/>
        <w:rPr>
          <w:rFonts w:hint="default" w:ascii="Times New Roman" w:hAnsi="Times New Roman" w:cs="Times New Roman"/>
        </w:rPr>
      </w:pPr>
      <w:r>
        <w:rPr>
          <w:rFonts w:hint="default" w:ascii="Times New Roman" w:hAnsi="Times New Roman" w:eastAsia="楷体_GB2312" w:cs="Times New Roman"/>
          <w:b/>
        </w:rPr>
        <w:t>（一）</w:t>
      </w:r>
      <w:r>
        <w:rPr>
          <w:rFonts w:eastAsia="楷体_GB2312"/>
          <w:b/>
        </w:rPr>
        <w:t>因公出国（境）经费与2021年预算持平。</w:t>
      </w:r>
      <w:r>
        <w:t>主要原因是</w:t>
      </w:r>
      <w:r>
        <w:rPr>
          <w:rFonts w:hint="eastAsia" w:ascii="仿宋_GB2312"/>
        </w:rPr>
        <w:t>我单位未发生因公出国</w:t>
      </w:r>
      <w:r>
        <w:t>。</w:t>
      </w:r>
    </w:p>
    <w:p>
      <w:pPr>
        <w:spacing w:line="600" w:lineRule="exact"/>
        <w:ind w:firstLine="640"/>
        <w:rPr>
          <w:rFonts w:hint="default" w:ascii="Times New Roman" w:hAnsi="Times New Roman" w:eastAsia="黑体" w:cs="Times New Roman"/>
          <w:b/>
        </w:rPr>
      </w:pPr>
      <w:r>
        <w:rPr>
          <w:rFonts w:hint="default" w:ascii="Times New Roman" w:hAnsi="Times New Roman" w:eastAsia="楷体_GB2312" w:cs="Times New Roman"/>
          <w:b/>
        </w:rPr>
        <w:t>（二）</w:t>
      </w:r>
      <w:r>
        <w:rPr>
          <w:rFonts w:eastAsia="楷体_GB2312"/>
          <w:b/>
        </w:rPr>
        <w:t>公务接待费</w:t>
      </w:r>
      <w:r>
        <w:rPr>
          <w:rFonts w:hint="eastAsia" w:eastAsia="楷体_GB2312"/>
          <w:b/>
          <w:lang w:eastAsia="zh-CN"/>
        </w:rPr>
        <w:t>与</w:t>
      </w:r>
      <w:r>
        <w:rPr>
          <w:rFonts w:eastAsia="楷体_GB2312"/>
          <w:b/>
        </w:rPr>
        <w:t>2021年预算持平。</w:t>
      </w:r>
      <w:r>
        <w:t>主要原因是</w:t>
      </w:r>
      <w:r>
        <w:rPr>
          <w:rFonts w:hint="eastAsia" w:ascii="仿宋_GB2312"/>
        </w:rPr>
        <w:t>公务接待</w:t>
      </w:r>
      <w:r>
        <w:rPr>
          <w:rFonts w:hint="eastAsia" w:ascii="仿宋_GB2312"/>
          <w:lang w:eastAsia="zh-CN"/>
        </w:rPr>
        <w:t>费用较少</w:t>
      </w:r>
      <w:r>
        <w:t>。</w:t>
      </w:r>
    </w:p>
    <w:p>
      <w:pPr>
        <w:spacing w:line="600" w:lineRule="exact"/>
        <w:ind w:firstLine="640"/>
        <w:rPr>
          <w:rFonts w:hint="default" w:ascii="Times New Roman" w:hAnsi="Times New Roman" w:cs="Times New Roman"/>
        </w:rPr>
      </w:pP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年公务接待费计划用于</w:t>
      </w:r>
      <w:r>
        <w:rPr>
          <w:rFonts w:hint="eastAsia" w:ascii="仿宋_GB2312"/>
        </w:rPr>
        <w:t>市地方志编纂中心工作会议接待。</w:t>
      </w:r>
    </w:p>
    <w:p>
      <w:pPr>
        <w:spacing w:line="600" w:lineRule="exact"/>
        <w:ind w:firstLine="640"/>
        <w:rPr>
          <w:rFonts w:hint="default" w:ascii="Times New Roman" w:hAnsi="Times New Roman" w:eastAsia="黑体" w:cs="Times New Roman"/>
          <w:b/>
        </w:rPr>
      </w:pPr>
      <w:r>
        <w:rPr>
          <w:rFonts w:hint="default" w:ascii="Times New Roman" w:hAnsi="Times New Roman" w:eastAsia="楷体_GB2312" w:cs="Times New Roman"/>
          <w:b/>
        </w:rPr>
        <w:t>（三）</w:t>
      </w:r>
      <w:r>
        <w:rPr>
          <w:rFonts w:eastAsia="楷体_GB2312"/>
          <w:b/>
        </w:rPr>
        <w:t>公务用车购置及运行维护费与2021年预算持平。</w:t>
      </w:r>
      <w:r>
        <w:t>主要原因是</w:t>
      </w:r>
      <w:r>
        <w:rPr>
          <w:rFonts w:hint="eastAsia"/>
          <w:lang w:eastAsia="zh-CN"/>
        </w:rPr>
        <w:t>本单位无公车，</w:t>
      </w:r>
      <w:r>
        <w:rPr>
          <w:rFonts w:hint="eastAsia" w:ascii="仿宋_GB2312"/>
        </w:rPr>
        <w:t>不产生公务用车运行维护费</w:t>
      </w:r>
      <w:r>
        <w:t>。</w:t>
      </w:r>
    </w:p>
    <w:p>
      <w:pPr>
        <w:spacing w:line="600" w:lineRule="exact"/>
        <w:ind w:firstLine="640"/>
        <w:rPr>
          <w:rFonts w:hint="default" w:ascii="Times New Roman" w:hAnsi="Times New Roman" w:cs="Times New Roman"/>
        </w:rPr>
      </w:pPr>
      <w:r>
        <w:rPr>
          <w:rFonts w:hint="default" w:ascii="Times New Roman" w:hAnsi="Times New Roman" w:cs="Times New Roman"/>
        </w:rPr>
        <w:t>单位现有公务用车</w:t>
      </w:r>
      <w:r>
        <w:rPr>
          <w:rFonts w:hint="eastAsia" w:ascii="Times New Roman" w:hAnsi="Times New Roman" w:cs="Times New Roman"/>
          <w:lang w:val="en-US" w:eastAsia="zh-CN"/>
        </w:rPr>
        <w:t>0</w:t>
      </w:r>
      <w:r>
        <w:rPr>
          <w:rFonts w:hint="default" w:ascii="Times New Roman" w:hAnsi="Times New Roman" w:cs="Times New Roman"/>
        </w:rPr>
        <w:t>辆，其中：轿车（含7座以下商务车、城市越野车）</w:t>
      </w:r>
      <w:r>
        <w:rPr>
          <w:rFonts w:hint="eastAsia" w:ascii="Times New Roman" w:hAnsi="Times New Roman" w:cs="Times New Roman"/>
          <w:lang w:val="en-US" w:eastAsia="zh-CN"/>
        </w:rPr>
        <w:t>0</w:t>
      </w:r>
      <w:r>
        <w:rPr>
          <w:rFonts w:hint="default" w:ascii="Times New Roman" w:hAnsi="Times New Roman" w:cs="Times New Roman"/>
        </w:rPr>
        <w:t>辆，7座以上19座（含19座）以下客车</w:t>
      </w:r>
      <w:r>
        <w:rPr>
          <w:rFonts w:hint="eastAsia" w:ascii="Times New Roman" w:hAnsi="Times New Roman" w:cs="Times New Roman"/>
          <w:lang w:val="en-US" w:eastAsia="zh-CN"/>
        </w:rPr>
        <w:t>0</w:t>
      </w:r>
      <w:r>
        <w:rPr>
          <w:rFonts w:hint="default" w:ascii="Times New Roman" w:hAnsi="Times New Roman" w:cs="Times New Roman"/>
        </w:rPr>
        <w:t>辆，越野车</w:t>
      </w:r>
      <w:r>
        <w:rPr>
          <w:rFonts w:hint="eastAsia" w:ascii="Times New Roman" w:hAnsi="Times New Roman" w:cs="Times New Roman"/>
          <w:lang w:val="en-US" w:eastAsia="zh-CN"/>
        </w:rPr>
        <w:t>0</w:t>
      </w:r>
      <w:r>
        <w:rPr>
          <w:rFonts w:hint="default" w:ascii="Times New Roman" w:hAnsi="Times New Roman" w:cs="Times New Roman"/>
        </w:rPr>
        <w:t>辆，货车及19座以上客车</w:t>
      </w:r>
      <w:r>
        <w:rPr>
          <w:rFonts w:hint="eastAsia" w:ascii="Times New Roman" w:hAnsi="Times New Roman" w:cs="Times New Roman"/>
          <w:lang w:val="en-US" w:eastAsia="zh-CN"/>
        </w:rPr>
        <w:t>0</w:t>
      </w:r>
      <w:r>
        <w:rPr>
          <w:rFonts w:hint="default" w:ascii="Times New Roman" w:hAnsi="Times New Roman" w:cs="Times New Roman"/>
        </w:rPr>
        <w:t>辆，摩托车</w:t>
      </w:r>
      <w:r>
        <w:rPr>
          <w:rFonts w:hint="eastAsia" w:ascii="Times New Roman" w:hAnsi="Times New Roman" w:cs="Times New Roman"/>
          <w:lang w:val="en-US" w:eastAsia="zh-CN"/>
        </w:rPr>
        <w:t>0</w:t>
      </w:r>
      <w:r>
        <w:rPr>
          <w:rFonts w:hint="default" w:ascii="Times New Roman" w:hAnsi="Times New Roman" w:cs="Times New Roman"/>
        </w:rPr>
        <w:t>辆。</w:t>
      </w:r>
    </w:p>
    <w:p>
      <w:pPr>
        <w:spacing w:line="600" w:lineRule="exact"/>
        <w:ind w:firstLine="640"/>
        <w:rPr>
          <w:rFonts w:hint="default" w:ascii="Times New Roman" w:hAnsi="Times New Roman" w:cs="Times New Roman"/>
        </w:rPr>
      </w:pP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年安排公务用车购置费</w:t>
      </w:r>
      <w:r>
        <w:rPr>
          <w:rFonts w:hint="eastAsia" w:ascii="Times New Roman" w:hAnsi="Times New Roman" w:cs="Times New Roman"/>
          <w:lang w:val="en-US" w:eastAsia="zh-CN"/>
        </w:rPr>
        <w:t>0</w:t>
      </w:r>
      <w:r>
        <w:rPr>
          <w:rFonts w:hint="default" w:ascii="Times New Roman" w:hAnsi="Times New Roman" w:cs="Times New Roman"/>
        </w:rPr>
        <w:t>万元，购置公务用车</w:t>
      </w:r>
      <w:r>
        <w:rPr>
          <w:rFonts w:hint="eastAsia" w:ascii="Times New Roman" w:hAnsi="Times New Roman" w:cs="Times New Roman"/>
          <w:lang w:val="en-US" w:eastAsia="zh-CN"/>
        </w:rPr>
        <w:t>0</w:t>
      </w:r>
      <w:r>
        <w:rPr>
          <w:rFonts w:hint="default" w:ascii="Times New Roman" w:hAnsi="Times New Roman" w:cs="Times New Roman"/>
        </w:rPr>
        <w:t>辆，其中：轿车（含7座以下商务车、城市越野车）</w:t>
      </w:r>
      <w:r>
        <w:rPr>
          <w:rFonts w:hint="eastAsia" w:ascii="Times New Roman" w:hAnsi="Times New Roman" w:cs="Times New Roman"/>
          <w:lang w:val="en-US" w:eastAsia="zh-CN"/>
        </w:rPr>
        <w:t>0</w:t>
      </w:r>
      <w:r>
        <w:rPr>
          <w:rFonts w:hint="default" w:ascii="Times New Roman" w:hAnsi="Times New Roman" w:cs="Times New Roman"/>
        </w:rPr>
        <w:t>辆，7座以上19座（含19座）以下客车</w:t>
      </w:r>
      <w:r>
        <w:rPr>
          <w:rFonts w:hint="eastAsia" w:ascii="Times New Roman" w:hAnsi="Times New Roman" w:cs="Times New Roman"/>
          <w:lang w:val="en-US" w:eastAsia="zh-CN"/>
        </w:rPr>
        <w:t>0</w:t>
      </w:r>
      <w:r>
        <w:rPr>
          <w:rFonts w:hint="default" w:ascii="Times New Roman" w:hAnsi="Times New Roman" w:cs="Times New Roman"/>
        </w:rPr>
        <w:t>辆，越野车</w:t>
      </w:r>
      <w:r>
        <w:rPr>
          <w:rFonts w:hint="eastAsia" w:ascii="Times New Roman" w:hAnsi="Times New Roman" w:cs="Times New Roman"/>
          <w:lang w:val="en-US" w:eastAsia="zh-CN"/>
        </w:rPr>
        <w:t>0</w:t>
      </w:r>
      <w:r>
        <w:rPr>
          <w:rFonts w:hint="default" w:ascii="Times New Roman" w:hAnsi="Times New Roman" w:cs="Times New Roman"/>
        </w:rPr>
        <w:t>辆，货车及19座以上客车</w:t>
      </w:r>
      <w:r>
        <w:rPr>
          <w:rFonts w:hint="eastAsia" w:ascii="Times New Roman" w:hAnsi="Times New Roman" w:cs="Times New Roman"/>
          <w:lang w:val="en-US" w:eastAsia="zh-CN"/>
        </w:rPr>
        <w:t>0</w:t>
      </w:r>
      <w:r>
        <w:rPr>
          <w:rFonts w:hint="default" w:ascii="Times New Roman" w:hAnsi="Times New Roman" w:cs="Times New Roman"/>
        </w:rPr>
        <w:t>辆，摩托车</w:t>
      </w:r>
      <w:r>
        <w:rPr>
          <w:rFonts w:hint="eastAsia" w:ascii="Times New Roman" w:hAnsi="Times New Roman" w:cs="Times New Roman"/>
          <w:lang w:val="en-US" w:eastAsia="zh-CN"/>
        </w:rPr>
        <w:t>0</w:t>
      </w:r>
      <w:r>
        <w:rPr>
          <w:rFonts w:hint="default" w:ascii="Times New Roman" w:hAnsi="Times New Roman" w:cs="Times New Roman"/>
        </w:rPr>
        <w:t>辆。</w:t>
      </w:r>
    </w:p>
    <w:p>
      <w:pPr>
        <w:spacing w:line="600" w:lineRule="exact"/>
        <w:ind w:firstLine="640"/>
        <w:rPr>
          <w:rFonts w:hint="default" w:ascii="Times New Roman" w:hAnsi="Times New Roman" w:cs="Times New Roman"/>
        </w:rPr>
      </w:pP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年安排公务用车运行维护费</w:t>
      </w:r>
      <w:r>
        <w:rPr>
          <w:rFonts w:hint="eastAsia" w:ascii="Times New Roman" w:hAnsi="Times New Roman" w:cs="Times New Roman"/>
          <w:lang w:val="en-US" w:eastAsia="zh-CN"/>
        </w:rPr>
        <w:t>0</w:t>
      </w:r>
      <w:r>
        <w:rPr>
          <w:rFonts w:hint="default" w:ascii="Times New Roman" w:hAnsi="Times New Roman" w:cs="Times New Roman"/>
        </w:rPr>
        <w:t>万元，用于</w:t>
      </w:r>
      <w:r>
        <w:rPr>
          <w:rFonts w:hint="eastAsia" w:ascii="Times New Roman" w:hAnsi="Times New Roman" w:cs="Times New Roman"/>
          <w:lang w:val="en-US" w:eastAsia="zh-CN"/>
        </w:rPr>
        <w:t>0</w:t>
      </w:r>
      <w:r>
        <w:rPr>
          <w:rFonts w:hint="default" w:ascii="Times New Roman" w:hAnsi="Times New Roman" w:cs="Times New Roman"/>
        </w:rPr>
        <w:t>辆公务用车。</w:t>
      </w:r>
    </w:p>
    <w:p>
      <w:pPr>
        <w:spacing w:line="600" w:lineRule="exact"/>
        <w:ind w:firstLine="640" w:firstLineChars="200"/>
        <w:rPr>
          <w:rFonts w:hint="default" w:ascii="Times New Roman" w:hAnsi="Times New Roman" w:eastAsia="黑体" w:cs="Times New Roman"/>
        </w:rPr>
      </w:pPr>
      <w:r>
        <w:rPr>
          <w:rFonts w:hint="eastAsia" w:eastAsia="黑体" w:cs="Times New Roman"/>
          <w:lang w:val="en-US" w:eastAsia="zh-CN"/>
        </w:rPr>
        <w:t>八</w:t>
      </w:r>
      <w:r>
        <w:rPr>
          <w:rFonts w:hint="default" w:ascii="Times New Roman" w:hAnsi="Times New Roman" w:eastAsia="黑体" w:cs="Times New Roman"/>
        </w:rPr>
        <w:t>、政府性基金预算支出情况说明</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eastAsia="zh-CN"/>
        </w:rPr>
        <w:t>市地方志编纂中心</w:t>
      </w: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年没有使用政府性基金预算拨款安排的支出。</w:t>
      </w:r>
    </w:p>
    <w:p>
      <w:pPr>
        <w:spacing w:line="600" w:lineRule="exact"/>
        <w:ind w:firstLine="640" w:firstLineChars="200"/>
        <w:rPr>
          <w:rFonts w:hint="default" w:ascii="Times New Roman" w:hAnsi="Times New Roman" w:cs="Times New Roman"/>
          <w:u w:val="single"/>
        </w:rPr>
      </w:pPr>
      <w:r>
        <w:rPr>
          <w:rFonts w:hint="eastAsia" w:eastAsia="黑体" w:cs="Times New Roman"/>
          <w:lang w:val="en-US" w:eastAsia="zh-CN"/>
        </w:rPr>
        <w:t>九</w:t>
      </w:r>
      <w:r>
        <w:rPr>
          <w:rFonts w:hint="default" w:ascii="Times New Roman" w:hAnsi="Times New Roman" w:eastAsia="黑体" w:cs="Times New Roman"/>
        </w:rPr>
        <w:t>、国有资本经营预算情况说明</w:t>
      </w:r>
    </w:p>
    <w:p>
      <w:pPr>
        <w:spacing w:line="600" w:lineRule="exact"/>
        <w:ind w:firstLine="640" w:firstLineChars="200"/>
        <w:rPr>
          <w:rFonts w:hint="default" w:ascii="Times New Roman" w:hAnsi="Times New Roman" w:cs="Times New Roman"/>
          <w:lang w:eastAsia="zh-CN"/>
        </w:rPr>
      </w:pPr>
      <w:r>
        <w:rPr>
          <w:rFonts w:hint="eastAsia" w:ascii="Times New Roman" w:hAnsi="Times New Roman" w:cs="Times New Roman"/>
          <w:lang w:eastAsia="zh-CN"/>
        </w:rPr>
        <w:t>市地方志编纂中心</w:t>
      </w:r>
      <w:r>
        <w:rPr>
          <w:rFonts w:hint="default" w:ascii="Times New Roman" w:hAnsi="Times New Roman" w:cs="Times New Roman"/>
          <w:lang w:eastAsia="zh-CN"/>
        </w:rPr>
        <w:t>2022年没有使用国有资本经营预算拨款安排的支出。</w:t>
      </w:r>
    </w:p>
    <w:p>
      <w:pPr>
        <w:spacing w:line="600" w:lineRule="exact"/>
        <w:ind w:firstLine="640" w:firstLineChars="200"/>
        <w:rPr>
          <w:rFonts w:hint="default" w:ascii="Times New Roman" w:hAnsi="Times New Roman" w:eastAsia="黑体" w:cs="Times New Roman"/>
        </w:rPr>
      </w:pPr>
      <w:r>
        <w:rPr>
          <w:rFonts w:hint="eastAsia" w:eastAsia="黑体" w:cs="Times New Roman"/>
          <w:lang w:val="en-US" w:eastAsia="zh-CN"/>
        </w:rPr>
        <w:t>十</w:t>
      </w:r>
      <w:r>
        <w:rPr>
          <w:rFonts w:hint="default" w:ascii="Times New Roman" w:hAnsi="Times New Roman" w:eastAsia="黑体" w:cs="Times New Roman"/>
        </w:rPr>
        <w:t>、其他重要事项的情况说明</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（一）</w:t>
      </w:r>
      <w:r>
        <w:rPr>
          <w:rFonts w:hint="default" w:ascii="Times New Roman" w:hAnsi="Times New Roman" w:eastAsia="楷体_GB2312" w:cs="Times New Roman"/>
          <w:b/>
          <w:lang w:eastAsia="zh-CN"/>
        </w:rPr>
        <w:t>机关</w:t>
      </w:r>
      <w:r>
        <w:rPr>
          <w:rFonts w:hint="default" w:ascii="Times New Roman" w:hAnsi="Times New Roman" w:eastAsia="楷体_GB2312" w:cs="Times New Roman"/>
          <w:b/>
        </w:rPr>
        <w:t>运行经费</w:t>
      </w:r>
    </w:p>
    <w:p>
      <w:pPr>
        <w:spacing w:line="600" w:lineRule="exact"/>
        <w:ind w:firstLine="640" w:firstLineChars="200"/>
        <w:rPr>
          <w:rFonts w:hint="eastAsia" w:ascii="Times New Roman" w:hAnsi="Times New Roman" w:eastAsia="仿宋_GB2312" w:cs="Times New Roman"/>
          <w:sz w:val="32"/>
          <w:szCs w:val="32"/>
          <w:highlight w:val="none"/>
        </w:rPr>
      </w:pPr>
      <w:r>
        <w:t>2022年，</w:t>
      </w:r>
      <w:r>
        <w:rPr>
          <w:rFonts w:hint="eastAsia"/>
        </w:rPr>
        <w:t>市地方志编纂中心</w:t>
      </w:r>
      <w:r>
        <w:t>的机关运行经费财政拨款预算为</w:t>
      </w:r>
      <w:r>
        <w:rPr>
          <w:rFonts w:hint="eastAsia"/>
        </w:rPr>
        <w:t>28.4</w:t>
      </w:r>
      <w:r>
        <w:rPr>
          <w:rFonts w:hint="eastAsia"/>
          <w:lang w:val="en-US" w:eastAsia="zh-CN"/>
        </w:rPr>
        <w:t>8</w:t>
      </w:r>
      <w:r>
        <w:t>万元，比2021年预算增加</w:t>
      </w:r>
      <w:r>
        <w:rPr>
          <w:rFonts w:hint="eastAsia"/>
        </w:rPr>
        <w:t>5.2</w:t>
      </w:r>
      <w:r>
        <w:rPr>
          <w:rFonts w:hint="eastAsia"/>
          <w:lang w:val="en-US" w:eastAsia="zh-CN"/>
        </w:rPr>
        <w:t>4</w:t>
      </w:r>
      <w:r>
        <w:t>万元，增长</w:t>
      </w:r>
      <w:r>
        <w:rPr>
          <w:rFonts w:hint="eastAsia"/>
        </w:rPr>
        <w:t>22.5</w:t>
      </w:r>
      <w:r>
        <w:t>%。</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二</w:t>
      </w:r>
      <w:r>
        <w:rPr>
          <w:rFonts w:hint="default" w:ascii="Times New Roman" w:hAnsi="Times New Roman" w:eastAsia="楷体_GB2312" w:cs="Times New Roman"/>
          <w:b/>
        </w:rPr>
        <w:t>）</w:t>
      </w:r>
      <w:r>
        <w:rPr>
          <w:rFonts w:hint="eastAsia" w:ascii="Times New Roman" w:hAnsi="Times New Roman" w:eastAsia="楷体_GB2312" w:cs="Times New Roman"/>
          <w:b/>
          <w:lang w:eastAsia="zh-CN"/>
        </w:rPr>
        <w:t>政府采购情况</w:t>
      </w:r>
    </w:p>
    <w:p>
      <w:pPr>
        <w:suppressAutoHyphens/>
        <w:bidi w:val="0"/>
        <w:spacing w:line="580" w:lineRule="exact"/>
        <w:ind w:firstLine="640" w:firstLineChars="200"/>
        <w:rPr>
          <w:rFonts w:hint="default" w:ascii="Times New Roman" w:hAnsi="Times New Roman" w:cs="Times New Roman"/>
          <w:u w:val="single"/>
        </w:rPr>
      </w:pPr>
      <w:r>
        <w:rPr>
          <w:rFonts w:hint="eastAsia"/>
        </w:rPr>
        <w:t>市地方志编纂中心</w:t>
      </w:r>
      <w:r>
        <w:rPr>
          <w:rFonts w:hint="eastAsia" w:ascii="Times New Roman" w:hAnsi="Times New Roman" w:eastAsia="仿宋_GB2312" w:cs="Times New Roman"/>
          <w:sz w:val="32"/>
          <w:szCs w:val="32"/>
          <w:highlight w:val="none"/>
          <w:lang w:eastAsia="zh-CN"/>
        </w:rPr>
        <w:t>2022年</w:t>
      </w:r>
      <w:r>
        <w:rPr>
          <w:rFonts w:hint="eastAsia" w:ascii="Times New Roman" w:hAnsi="Times New Roman" w:eastAsia="仿宋_GB2312" w:cs="Times New Roman"/>
          <w:sz w:val="32"/>
          <w:szCs w:val="32"/>
          <w:highlight w:val="none"/>
        </w:rPr>
        <w:t>无政府采购项目，未安排政府采购预算。</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三</w:t>
      </w:r>
      <w:r>
        <w:rPr>
          <w:rFonts w:hint="default" w:ascii="Times New Roman" w:hAnsi="Times New Roman" w:eastAsia="楷体_GB2312" w:cs="Times New Roman"/>
          <w:b/>
        </w:rPr>
        <w:t>）国有资产占有使用情况</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截至</w:t>
      </w:r>
      <w:r>
        <w:rPr>
          <w:rFonts w:hint="default" w:ascii="Times New Roman" w:hAnsi="Times New Roman" w:cs="Times New Roman"/>
          <w:lang w:eastAsia="zh-CN"/>
        </w:rPr>
        <w:t>20</w:t>
      </w:r>
      <w:r>
        <w:rPr>
          <w:rFonts w:hint="default" w:ascii="Times New Roman" w:hAnsi="Times New Roman" w:cs="Times New Roman"/>
          <w:lang w:val="en-US" w:eastAsia="zh-CN"/>
        </w:rPr>
        <w:t>2</w:t>
      </w:r>
      <w:r>
        <w:rPr>
          <w:rFonts w:hint="eastAsia" w:cs="Times New Roman"/>
          <w:lang w:val="en-US" w:eastAsia="zh-CN"/>
        </w:rPr>
        <w:t>1</w:t>
      </w:r>
      <w:r>
        <w:rPr>
          <w:rFonts w:hint="default" w:ascii="Times New Roman" w:hAnsi="Times New Roman" w:cs="Times New Roman"/>
        </w:rPr>
        <w:t>年底，</w:t>
      </w:r>
      <w:r>
        <w:rPr>
          <w:rFonts w:hint="eastAsia" w:ascii="Times New Roman" w:hAnsi="Times New Roman" w:cs="Times New Roman"/>
          <w:lang w:eastAsia="zh-CN"/>
        </w:rPr>
        <w:t>市地方志编纂中心</w:t>
      </w:r>
      <w:r>
        <w:rPr>
          <w:rFonts w:hint="default" w:ascii="Times New Roman" w:hAnsi="Times New Roman" w:cs="Times New Roman"/>
        </w:rPr>
        <w:t>共有车辆</w:t>
      </w:r>
      <w:r>
        <w:rPr>
          <w:rFonts w:hint="eastAsia" w:ascii="Times New Roman" w:hAnsi="Times New Roman" w:cs="Times New Roman"/>
          <w:lang w:val="en-US" w:eastAsia="zh-CN"/>
        </w:rPr>
        <w:t>0</w:t>
      </w:r>
      <w:r>
        <w:rPr>
          <w:rFonts w:hint="default" w:ascii="Times New Roman" w:hAnsi="Times New Roman" w:cs="Times New Roman"/>
        </w:rPr>
        <w:t>辆，其中，执法执勤用车</w:t>
      </w:r>
      <w:r>
        <w:rPr>
          <w:rFonts w:hint="eastAsia" w:ascii="Times New Roman" w:hAnsi="Times New Roman" w:cs="Times New Roman"/>
          <w:lang w:val="en-US" w:eastAsia="zh-CN"/>
        </w:rPr>
        <w:t>0</w:t>
      </w:r>
      <w:r>
        <w:rPr>
          <w:rFonts w:hint="default" w:ascii="Times New Roman" w:hAnsi="Times New Roman" w:cs="Times New Roman"/>
        </w:rPr>
        <w:t>辆。单位价值200万元以上大型设备</w:t>
      </w:r>
      <w:r>
        <w:rPr>
          <w:rFonts w:hint="eastAsia" w:ascii="Times New Roman" w:hAnsi="Times New Roman" w:cs="Times New Roman"/>
          <w:lang w:val="en-US" w:eastAsia="zh-CN"/>
        </w:rPr>
        <w:t>0</w:t>
      </w:r>
      <w:r>
        <w:rPr>
          <w:rFonts w:hint="default" w:ascii="Times New Roman" w:hAnsi="Times New Roman" w:cs="Times New Roman"/>
        </w:rPr>
        <w:t>台。</w:t>
      </w:r>
    </w:p>
    <w:p>
      <w:pPr>
        <w:spacing w:line="600" w:lineRule="exact"/>
        <w:ind w:firstLine="643" w:firstLineChars="200"/>
        <w:rPr>
          <w:rFonts w:hint="default" w:ascii="Times New Roman" w:hAnsi="Times New Roman" w:eastAsia="楷体_GB2312" w:cs="Times New Roman"/>
          <w:b/>
          <w:lang w:eastAsia="zh-CN"/>
        </w:rPr>
      </w:pPr>
      <w:r>
        <w:rPr>
          <w:rFonts w:hint="default" w:ascii="Times New Roman" w:hAnsi="Times New Roman" w:eastAsia="楷体_GB2312" w:cs="Times New Roman"/>
          <w:b/>
        </w:rPr>
        <w:t>（</w:t>
      </w:r>
      <w:r>
        <w:rPr>
          <w:rFonts w:hint="eastAsia" w:ascii="Times New Roman" w:hAnsi="Times New Roman" w:eastAsia="楷体_GB2312" w:cs="Times New Roman"/>
          <w:b/>
          <w:lang w:eastAsia="zh-CN"/>
        </w:rPr>
        <w:t>四</w:t>
      </w:r>
      <w:r>
        <w:rPr>
          <w:rFonts w:hint="default" w:ascii="Times New Roman" w:hAnsi="Times New Roman" w:eastAsia="楷体_GB2312" w:cs="Times New Roman"/>
          <w:b/>
        </w:rPr>
        <w:t>）绩效目标设置情况</w:t>
      </w:r>
      <w:bookmarkStart w:id="0" w:name="_GoBack"/>
      <w:bookmarkEnd w:id="0"/>
    </w:p>
    <w:p>
      <w:pPr>
        <w:spacing w:line="600" w:lineRule="exact"/>
        <w:ind w:firstLine="640" w:firstLineChars="200"/>
        <w:rPr>
          <w:rFonts w:hint="default" w:ascii="Times New Roman" w:hAnsi="Times New Roman" w:cs="Times New Roman"/>
        </w:rPr>
      </w:pPr>
      <w:r>
        <w:rPr>
          <w:rFonts w:hint="default" w:ascii="Times New Roman" w:hAnsi="Times New Roman" w:cs="Times New Roman"/>
          <w:lang w:eastAsia="zh-CN"/>
        </w:rPr>
        <w:t>202</w:t>
      </w:r>
      <w:r>
        <w:rPr>
          <w:rFonts w:hint="default" w:ascii="Times New Roman" w:hAnsi="Times New Roman" w:cs="Times New Roman"/>
          <w:lang w:val="en-US" w:eastAsia="zh-CN"/>
        </w:rPr>
        <w:t>2</w:t>
      </w:r>
      <w:r>
        <w:rPr>
          <w:rFonts w:hint="default" w:ascii="Times New Roman" w:hAnsi="Times New Roman" w:cs="Times New Roman"/>
        </w:rPr>
        <w:t>年</w:t>
      </w:r>
      <w:r>
        <w:rPr>
          <w:rFonts w:hint="eastAsia" w:ascii="Times New Roman" w:hAnsi="Times New Roman" w:cs="Times New Roman"/>
          <w:lang w:eastAsia="zh-CN"/>
        </w:rPr>
        <w:t>市地方志编纂中心</w:t>
      </w:r>
      <w:r>
        <w:rPr>
          <w:rFonts w:hint="default" w:ascii="Times New Roman" w:hAnsi="Times New Roman" w:cs="Times New Roman"/>
        </w:rPr>
        <w:t>部门通用项目和专用项目均按要求实行绩效目标管理，涉及一般公共预算当年拨款</w:t>
      </w:r>
      <w:r>
        <w:rPr>
          <w:rFonts w:hint="eastAsia" w:ascii="Times New Roman" w:hAnsi="Times New Roman" w:cs="Times New Roman"/>
          <w:lang w:val="en-US" w:eastAsia="zh-CN"/>
        </w:rPr>
        <w:t>0</w:t>
      </w:r>
      <w:r>
        <w:rPr>
          <w:rFonts w:hint="default" w:ascii="Times New Roman" w:hAnsi="Times New Roman" w:cs="Times New Roman"/>
        </w:rPr>
        <w:t>万元。</w:t>
      </w:r>
    </w:p>
    <w:p>
      <w:pPr>
        <w:spacing w:line="600" w:lineRule="exact"/>
        <w:ind w:firstLine="640" w:firstLineChars="200"/>
        <w:rPr>
          <w:rFonts w:hint="default" w:ascii="Times New Roman" w:hAnsi="Times New Roman" w:cs="Times New Roman"/>
        </w:rPr>
      </w:pPr>
    </w:p>
    <w:p>
      <w:pPr>
        <w:spacing w:line="60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十</w:t>
      </w:r>
      <w:r>
        <w:rPr>
          <w:rFonts w:hint="eastAsia" w:eastAsia="黑体" w:cs="Times New Roman"/>
          <w:lang w:val="en-US" w:eastAsia="zh-CN"/>
        </w:rPr>
        <w:t>一</w:t>
      </w:r>
      <w:r>
        <w:rPr>
          <w:rFonts w:hint="default" w:ascii="Times New Roman" w:hAnsi="Times New Roman" w:eastAsia="黑体" w:cs="Times New Roman"/>
        </w:rPr>
        <w:t>、名词解释</w:t>
      </w:r>
    </w:p>
    <w:p>
      <w:pPr>
        <w:spacing w:line="600" w:lineRule="exact"/>
        <w:ind w:firstLine="640" w:firstLineChars="200"/>
        <w:rPr>
          <w:rFonts w:hint="default" w:ascii="Times New Roman" w:hAnsi="Times New Roman" w:cs="Times New Roman"/>
          <w:u w:val="none"/>
          <w:lang w:eastAsia="zh-CN"/>
        </w:rPr>
      </w:pPr>
      <w:r>
        <w:rPr>
          <w:rFonts w:hint="default" w:ascii="Times New Roman" w:hAnsi="Times New Roman" w:cs="Times New Roman"/>
          <w:u w:val="none"/>
          <w:lang w:val="en-US" w:eastAsia="zh-CN"/>
        </w:rPr>
        <w:t>1.</w:t>
      </w:r>
      <w:r>
        <w:rPr>
          <w:rFonts w:hint="default" w:ascii="Times New Roman" w:hAnsi="Times New Roman" w:cs="Times New Roman"/>
          <w:u w:val="none"/>
          <w:lang w:eastAsia="zh-CN"/>
        </w:rPr>
        <w:t>一般公共预算拨款收入：指市级财政当年拨付的资金。</w:t>
      </w:r>
    </w:p>
    <w:p>
      <w:pPr>
        <w:spacing w:line="600" w:lineRule="exact"/>
        <w:ind w:firstLine="640" w:firstLineChars="200"/>
        <w:rPr>
          <w:rFonts w:ascii="仿宋_GB2312"/>
        </w:rPr>
      </w:pPr>
      <w:r>
        <w:rPr>
          <w:rFonts w:hint="default" w:ascii="Times New Roman" w:hAnsi="Times New Roman" w:cs="Times New Roman"/>
          <w:u w:val="none"/>
          <w:lang w:val="en-US" w:eastAsia="zh-CN"/>
        </w:rPr>
        <w:t>2.</w:t>
      </w:r>
      <w:r>
        <w:rPr>
          <w:rFonts w:hint="eastAsia" w:ascii="仿宋_GB2312"/>
        </w:rPr>
        <w:t>科学技术支出（类）科学技术管理事务（款）行政运行（项）：指行政单位（包括实行公务员管理的事业单位）的基本支出。</w:t>
      </w:r>
    </w:p>
    <w:p>
      <w:pPr>
        <w:spacing w:line="600" w:lineRule="exact"/>
        <w:ind w:firstLine="640" w:firstLineChars="200"/>
        <w:rPr>
          <w:rFonts w:ascii="仿宋_GB2312"/>
        </w:rPr>
      </w:pPr>
      <w:r>
        <w:rPr>
          <w:rFonts w:hint="eastAsia" w:ascii="仿宋_GB2312"/>
          <w:lang w:val="en-US" w:eastAsia="zh-CN"/>
        </w:rPr>
        <w:t>3.</w:t>
      </w:r>
      <w:r>
        <w:rPr>
          <w:rFonts w:hint="eastAsia" w:ascii="仿宋_GB2312"/>
        </w:rPr>
        <w:t>科学技术支出（类）科学技术管理事务（款）其他科学技术管理事务支出（项）：指行政单位（包括实行公务员管理的事业单位）其他用于科学管理事务方面的支出。</w:t>
      </w:r>
    </w:p>
    <w:p>
      <w:pPr>
        <w:spacing w:line="600" w:lineRule="exact"/>
        <w:ind w:firstLine="640" w:firstLineChars="200"/>
        <w:rPr>
          <w:rFonts w:ascii="仿宋_GB2312"/>
        </w:rPr>
      </w:pPr>
      <w:r>
        <w:rPr>
          <w:rFonts w:hint="eastAsia" w:ascii="仿宋_GB2312"/>
          <w:lang w:val="en-US" w:eastAsia="zh-CN"/>
        </w:rPr>
        <w:t>4.</w:t>
      </w:r>
      <w:r>
        <w:rPr>
          <w:rFonts w:hint="eastAsia" w:ascii="仿宋_GB2312"/>
        </w:rPr>
        <w:t>社会保障和就业支出（类）行政事业单位离退休（款）未归口管理的行政单位离退休（项）：指未实行归口管理的行政单位（包括实行公务员管理的事业单位）开支的离退休支出。</w:t>
      </w:r>
    </w:p>
    <w:p>
      <w:pPr>
        <w:spacing w:line="600" w:lineRule="exact"/>
        <w:ind w:firstLine="640" w:firstLineChars="200"/>
        <w:rPr>
          <w:rFonts w:ascii="仿宋_GB2312"/>
        </w:rPr>
      </w:pPr>
      <w:r>
        <w:rPr>
          <w:rFonts w:hint="eastAsia" w:ascii="仿宋_GB2312"/>
          <w:lang w:val="en-US" w:eastAsia="zh-CN"/>
        </w:rPr>
        <w:t>5.</w:t>
      </w:r>
      <w:r>
        <w:rPr>
          <w:rFonts w:hint="eastAsia" w:ascii="仿宋_GB2312"/>
        </w:rPr>
        <w:t>社会保障和就业支出（类）行政事业单位离退休（款）机关事业单位基本养老保险缴费支出（项）：指机关事业单位实施养老保险制度由单位缴纳的基本养老保险费支出。</w:t>
      </w:r>
    </w:p>
    <w:p>
      <w:pPr>
        <w:spacing w:line="600" w:lineRule="exact"/>
        <w:ind w:firstLine="640" w:firstLineChars="200"/>
        <w:rPr>
          <w:rFonts w:hint="default" w:ascii="Times New Roman" w:hAnsi="Times New Roman" w:cs="Times New Roman"/>
          <w:u w:val="none"/>
          <w:lang w:eastAsia="zh-CN"/>
        </w:rPr>
      </w:pPr>
      <w:r>
        <w:rPr>
          <w:rFonts w:hint="eastAsia" w:ascii="仿宋_GB2312"/>
          <w:lang w:val="en-US" w:eastAsia="zh-CN"/>
        </w:rPr>
        <w:t>6.</w:t>
      </w:r>
      <w:r>
        <w:rPr>
          <w:rFonts w:hint="eastAsia" w:ascii="仿宋_GB2312"/>
        </w:rPr>
        <w:t>住房保障支出（类）住房改革支出（款）住房公积金（项）：指行政事业单位按人力资源和社会保障部、财政部规定的基本工资和津贴补贴以及规定比例为职工缴纳的住房公积金。</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default" w:ascii="Times New Roman" w:hAnsi="Times New Roman" w:cs="Times New Roman"/>
        </w:rPr>
        <w:t>基本支出：指为保证机构正常运转，完成日常工作任务而发生的人员支出和公用支出。</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val="en-US" w:eastAsia="zh-CN"/>
        </w:rPr>
        <w:t>8</w:t>
      </w:r>
      <w:r>
        <w:rPr>
          <w:rFonts w:hint="default" w:ascii="Times New Roman" w:hAnsi="Times New Roman" w:cs="Times New Roman"/>
        </w:rPr>
        <w:t>.项目支出：指在基本支出之外为完成特定</w:t>
      </w:r>
      <w:r>
        <w:rPr>
          <w:rFonts w:hint="default" w:ascii="Times New Roman" w:hAnsi="Times New Roman" w:cs="Times New Roman"/>
          <w:lang w:eastAsia="zh-CN"/>
        </w:rPr>
        <w:t>的工作</w:t>
      </w:r>
      <w:r>
        <w:rPr>
          <w:rFonts w:hint="default" w:ascii="Times New Roman" w:hAnsi="Times New Roman" w:cs="Times New Roman"/>
        </w:rPr>
        <w:t>任务和事业发展目标所发生的支出。</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val="en-US" w:eastAsia="zh-CN"/>
        </w:rPr>
        <w:t>9</w:t>
      </w:r>
      <w:r>
        <w:rPr>
          <w:rFonts w:hint="default" w:ascii="Times New Roman" w:hAnsi="Times New Roman" w:cs="Times New Roman"/>
          <w:lang w:val="en-US" w:eastAsia="zh-CN"/>
        </w:rPr>
        <w:t>.</w:t>
      </w:r>
      <w:r>
        <w:rPr>
          <w:rFonts w:hint="default" w:ascii="Times New Roman" w:hAnsi="Times New Roman" w:cs="Times New Roman"/>
        </w:rPr>
        <w:t>“三公”经费：纳入预决算管理的“三公”经费，是指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维护费反映单位公务用车购置支出（含车辆购置税、牌照费）及按规定保留的公务用车燃料费、维修费、过路过桥费、保险费、安全奖励费用等支出；公务接待费反映单位按规定开支的各类公务接待（含外宾接待）费用。</w:t>
      </w:r>
    </w:p>
    <w:p>
      <w:pPr>
        <w:spacing w:line="600" w:lineRule="exact"/>
        <w:ind w:firstLine="640" w:firstLineChars="200"/>
        <w:rPr>
          <w:rFonts w:hint="default" w:ascii="Times New Roman" w:hAnsi="Times New Roman" w:cs="Times New Roman"/>
        </w:rPr>
      </w:pPr>
      <w:r>
        <w:rPr>
          <w:rFonts w:hint="eastAsia" w:ascii="Times New Roman" w:hAnsi="Times New Roman" w:cs="Times New Roman"/>
          <w:lang w:val="en-US" w:eastAsia="zh-CN"/>
        </w:rPr>
        <w:t>10</w:t>
      </w:r>
      <w:r>
        <w:rPr>
          <w:rFonts w:hint="default" w:ascii="Times New Roman" w:hAnsi="Times New Roman" w:cs="Times New Roman"/>
        </w:rPr>
        <w:t>.</w:t>
      </w:r>
      <w:r>
        <w:rPr>
          <w:rFonts w:hint="default" w:ascii="Times New Roman" w:hAnsi="Times New Roman" w:cs="Times New Roman"/>
          <w:lang w:eastAsia="zh-CN"/>
        </w:rPr>
        <w:t>机关</w:t>
      </w:r>
      <w:r>
        <w:rPr>
          <w:rFonts w:hint="default" w:ascii="Times New Roman" w:hAnsi="Times New Roman" w:cs="Times New Roman"/>
        </w:rPr>
        <w:t>运行</w:t>
      </w:r>
      <w:r>
        <w:rPr>
          <w:rFonts w:hint="default" w:ascii="Times New Roman" w:hAnsi="Times New Roman" w:cs="Times New Roman"/>
          <w:lang w:eastAsia="zh-CN"/>
        </w:rPr>
        <w:t>经</w:t>
      </w:r>
      <w:r>
        <w:rPr>
          <w:rFonts w:hint="default" w:ascii="Times New Roman" w:hAnsi="Times New Roman" w:cs="Times New Roman"/>
        </w:rPr>
        <w:t>费：为保障行政单位（包含参照公务员法管理的事业单位）运行用于购买货物和服务的各项资金。包括办公及办公费、水费、电费、印刷费、邮电费、差旅费、会议费等费用开支。</w:t>
      </w:r>
    </w:p>
    <w:p>
      <w:pPr>
        <w:spacing w:line="600" w:lineRule="exact"/>
        <w:ind w:firstLine="640" w:firstLineChars="200"/>
        <w:rPr>
          <w:rFonts w:hint="default" w:ascii="Times New Roman" w:hAnsi="Times New Roman" w:cs="Times New Roman"/>
        </w:rPr>
      </w:pPr>
      <w:r>
        <w:rPr>
          <w:rFonts w:hint="default" w:ascii="Times New Roman" w:hAnsi="Times New Roman" w:cs="Times New Roman"/>
        </w:rPr>
        <w:t>附件：表1.</w:t>
      </w:r>
      <w:r>
        <w:rPr>
          <w:rFonts w:hint="eastAsia" w:ascii="Times New Roman" w:hAnsi="Times New Roman" w:cs="Times New Roman"/>
          <w:lang w:eastAsia="zh-CN"/>
        </w:rPr>
        <w:t>单位</w:t>
      </w:r>
      <w:r>
        <w:rPr>
          <w:rFonts w:hint="default" w:ascii="Times New Roman" w:hAnsi="Times New Roman" w:cs="Times New Roman"/>
        </w:rPr>
        <w:t>收支总表</w:t>
      </w:r>
    </w:p>
    <w:p>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表1-1.</w:t>
      </w:r>
      <w:r>
        <w:rPr>
          <w:rFonts w:hint="eastAsia" w:ascii="Times New Roman" w:hAnsi="Times New Roman" w:cs="Times New Roman"/>
          <w:lang w:eastAsia="zh-CN"/>
        </w:rPr>
        <w:t>单位</w:t>
      </w:r>
      <w:r>
        <w:rPr>
          <w:rFonts w:hint="default" w:ascii="Times New Roman" w:hAnsi="Times New Roman" w:cs="Times New Roman"/>
        </w:rPr>
        <w:t>收入总表</w:t>
      </w:r>
    </w:p>
    <w:p>
      <w:pPr>
        <w:spacing w:line="600" w:lineRule="exact"/>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表1-2.</w:t>
      </w:r>
      <w:r>
        <w:rPr>
          <w:rFonts w:hint="eastAsia" w:ascii="Times New Roman" w:hAnsi="Times New Roman" w:cs="Times New Roman"/>
          <w:lang w:eastAsia="zh-CN"/>
        </w:rPr>
        <w:t>单位</w:t>
      </w:r>
      <w:r>
        <w:rPr>
          <w:rFonts w:hint="default" w:ascii="Times New Roman" w:hAnsi="Times New Roman" w:cs="Times New Roman"/>
        </w:rPr>
        <w:t>支出总表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表2.财政拨款收支预算总表</w:t>
      </w:r>
    </w:p>
    <w:p>
      <w:pPr>
        <w:spacing w:line="600" w:lineRule="exact"/>
        <w:ind w:firstLine="1600" w:firstLineChars="500"/>
        <w:rPr>
          <w:rFonts w:hint="default" w:ascii="Times New Roman" w:hAnsi="Times New Roman" w:eastAsia="仿宋_GB2312" w:cs="Times New Roman"/>
          <w:lang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2-1.财政拨款支出预算表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表3.一般公共预算支出预算表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表3-1.一般公共预算基本支出预算表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表3-2.一般公共预算项目支出预算表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表3-3.一般公共预算“三公”经费支出预算表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表4.政府性基金支出预算表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表4-1.政府性基金预算“三公”经费支出预算表</w:t>
      </w:r>
    </w:p>
    <w:p>
      <w:pPr>
        <w:spacing w:line="600" w:lineRule="exact"/>
        <w:ind w:firstLine="1600" w:firstLineChars="500"/>
        <w:rPr>
          <w:rFonts w:hint="default" w:ascii="Times New Roman" w:hAnsi="Times New Roman" w:cs="Times New Roman"/>
        </w:rPr>
      </w:pPr>
      <w:r>
        <w:rPr>
          <w:rFonts w:hint="default" w:ascii="Times New Roman" w:hAnsi="Times New Roman" w:cs="Times New Roman"/>
        </w:rPr>
        <w:t>表5.国有资本经营预算支出预算表</w:t>
      </w:r>
    </w:p>
    <w:p>
      <w:pPr>
        <w:spacing w:line="600" w:lineRule="exact"/>
        <w:ind w:firstLine="1600" w:firstLineChars="500"/>
        <w:rPr>
          <w:rFonts w:hint="default" w:ascii="Times New Roman" w:hAnsi="Times New Roman" w:cs="Times New Roman"/>
          <w:lang w:val="en-US" w:eastAsia="zh-CN"/>
        </w:rPr>
      </w:pPr>
      <w:r>
        <w:rPr>
          <w:rFonts w:hint="default" w:ascii="Times New Roman" w:hAnsi="Times New Roman" w:cs="Times New Roman"/>
          <w:lang w:eastAsia="zh-CN"/>
        </w:rPr>
        <w:t>表</w:t>
      </w:r>
      <w:r>
        <w:rPr>
          <w:rFonts w:hint="default" w:ascii="Times New Roman" w:hAnsi="Times New Roman" w:cs="Times New Roman"/>
          <w:lang w:val="en-US" w:eastAsia="zh-CN"/>
        </w:rPr>
        <w:t>6.</w:t>
      </w:r>
      <w:r>
        <w:rPr>
          <w:rFonts w:hint="eastAsia" w:ascii="Times New Roman" w:hAnsi="Times New Roman" w:cs="Times New Roman"/>
          <w:lang w:val="en-US" w:eastAsia="zh-CN"/>
        </w:rPr>
        <w:t>单位</w:t>
      </w:r>
      <w:r>
        <w:rPr>
          <w:rFonts w:hint="default" w:ascii="Times New Roman" w:hAnsi="Times New Roman" w:cs="Times New Roman"/>
          <w:lang w:val="en-US" w:eastAsia="zh-CN"/>
        </w:rPr>
        <w:t>整体支出绩效目标表</w:t>
      </w:r>
    </w:p>
    <w:p>
      <w:pPr>
        <w:spacing w:line="600" w:lineRule="exact"/>
        <w:ind w:firstLine="1600" w:firstLineChars="500"/>
        <w:rPr>
          <w:rFonts w:hint="default" w:ascii="Times New Roman" w:hAnsi="Times New Roman" w:cs="Times New Roman"/>
          <w:lang w:val="en-US" w:eastAsia="zh-CN"/>
        </w:rPr>
      </w:pPr>
      <w:r>
        <w:rPr>
          <w:rFonts w:hint="default" w:ascii="Times New Roman" w:hAnsi="Times New Roman" w:cs="Times New Roman"/>
          <w:lang w:val="en-US" w:eastAsia="zh-CN"/>
        </w:rPr>
        <w:t>表7.单位预算项目绩效目标表</w:t>
      </w:r>
    </w:p>
    <w:p>
      <w:pPr>
        <w:spacing w:line="600" w:lineRule="exact"/>
        <w:ind w:firstLine="640" w:firstLineChars="200"/>
        <w:rPr>
          <w:rFonts w:hint="default" w:ascii="Times New Roman" w:hAnsi="Times New Roman" w:eastAsia="仿宋_GB2312" w:cs="Times New Roman"/>
          <w:u w:val="single"/>
          <w:lang w:eastAsia="zh-CN"/>
        </w:rPr>
      </w:pPr>
    </w:p>
    <w:p/>
    <w:sectPr>
      <w:footerReference r:id="rId3" w:type="default"/>
      <w:pgSz w:w="11906" w:h="16838"/>
      <w:pgMar w:top="1247" w:right="1542" w:bottom="1247" w:left="2098" w:header="851" w:footer="992" w:gutter="0"/>
      <w:pgNumType w:fmt="numberInDash"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Fonts w:ascii="宋体" w:hAnsi="宋体"/>
        <w:sz w:val="30"/>
        <w:szCs w:val="30"/>
      </w:rPr>
    </w:pPr>
    <w:r>
      <w:rPr>
        <w:rFonts w:ascii="宋体" w:hAnsi="宋体"/>
        <w:sz w:val="30"/>
        <w:szCs w:val="30"/>
      </w:rPr>
      <w:fldChar w:fldCharType="begin"/>
    </w:r>
    <w:r>
      <w:rPr>
        <w:rStyle w:val="8"/>
        <w:rFonts w:ascii="宋体" w:hAnsi="宋体"/>
        <w:sz w:val="30"/>
        <w:szCs w:val="30"/>
      </w:rPr>
      <w:instrText xml:space="preserve">PAGE  </w:instrText>
    </w:r>
    <w:r>
      <w:rPr>
        <w:rFonts w:ascii="宋体" w:hAnsi="宋体"/>
        <w:sz w:val="30"/>
        <w:szCs w:val="30"/>
      </w:rPr>
      <w:fldChar w:fldCharType="separate"/>
    </w:r>
    <w:r>
      <w:rPr>
        <w:rStyle w:val="8"/>
        <w:rFonts w:ascii="宋体" w:hAnsi="宋体"/>
        <w:sz w:val="30"/>
        <w:szCs w:val="30"/>
      </w:rPr>
      <w:t>- 4 -</w:t>
    </w:r>
    <w:r>
      <w:rPr>
        <w:rFonts w:ascii="宋体" w:hAnsi="宋体"/>
        <w:sz w:val="30"/>
        <w:szCs w:val="30"/>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ZTIxMTgxMTgxZjEzYjFkMzE1MTlkMzQ0ODIyNmQifQ=="/>
  </w:docVars>
  <w:rsids>
    <w:rsidRoot w:val="31011338"/>
    <w:rsid w:val="03B13A9E"/>
    <w:rsid w:val="12961171"/>
    <w:rsid w:val="25A9340C"/>
    <w:rsid w:val="2B132BD3"/>
    <w:rsid w:val="31011338"/>
    <w:rsid w:val="36DB27E6"/>
    <w:rsid w:val="36FD3E6E"/>
    <w:rsid w:val="4D2D2C40"/>
    <w:rsid w:val="53512D98"/>
    <w:rsid w:val="5471674C"/>
    <w:rsid w:val="5AFB6CC6"/>
    <w:rsid w:val="605C3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ascii="Calibri" w:hAnsi="Calibri" w:eastAsia="宋体"/>
      <w:kern w:val="0"/>
      <w:sz w:val="24"/>
      <w:szCs w:val="24"/>
    </w:rPr>
  </w:style>
  <w:style w:type="character" w:styleId="7">
    <w:name w:val="Strong"/>
    <w:basedOn w:val="6"/>
    <w:qFormat/>
    <w:uiPriority w:val="0"/>
    <w:rPr>
      <w:b/>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3549</Words>
  <Characters>5121</Characters>
  <Lines>0</Lines>
  <Paragraphs>0</Paragraphs>
  <TotalTime>4</TotalTime>
  <ScaleCrop>false</ScaleCrop>
  <LinksUpToDate>false</LinksUpToDate>
  <CharactersWithSpaces>5147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2023-07-17T01:35:00Z</dcterms:created>
  <dc:creator>Administrator</dc:creator>
  <cp:lastModifiedBy>Administrator</cp:lastModifiedBy>
  <dcterms:modified xsi:type="dcterms:W3CDTF">2023-10-13T03:31:25Z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9040E39810D248388673550EF0CE12B8_13</vt:lpwstr>
  </property>
</Properties>
</file>