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方正小标宋简体" w:hAnsi="宋体" w:eastAsia="方正小标宋简体"/>
          <w:sz w:val="44"/>
          <w:szCs w:val="44"/>
        </w:rPr>
      </w:pPr>
    </w:p>
    <w:p>
      <w:pPr>
        <w:spacing w:line="600" w:lineRule="exact"/>
        <w:jc w:val="center"/>
        <w:rPr>
          <w:rFonts w:ascii="方正小标宋简体" w:hAnsi="宋体" w:eastAsia="方正小标宋简体"/>
          <w:sz w:val="44"/>
          <w:szCs w:val="44"/>
        </w:rPr>
      </w:pPr>
    </w:p>
    <w:p>
      <w:pPr>
        <w:spacing w:line="600" w:lineRule="exact"/>
        <w:jc w:val="center"/>
        <w:rPr>
          <w:rFonts w:ascii="方正小标宋简体" w:hAnsi="宋体" w:eastAsia="方正小标宋简体"/>
          <w:sz w:val="44"/>
          <w:szCs w:val="44"/>
          <w:u w:val="none"/>
        </w:rPr>
      </w:pPr>
      <w:r>
        <w:rPr>
          <w:rFonts w:hint="eastAsia" w:ascii="方正小标宋简体" w:hAnsi="宋体" w:eastAsia="方正小标宋简体"/>
          <w:sz w:val="44"/>
          <w:szCs w:val="44"/>
          <w:u w:val="none"/>
        </w:rPr>
        <w:t>中共攀枝花市委统战部</w:t>
      </w:r>
    </w:p>
    <w:p>
      <w:pPr>
        <w:spacing w:line="600" w:lineRule="exact"/>
        <w:jc w:val="center"/>
        <w:rPr>
          <w:rFonts w:ascii="方正小标宋简体" w:hAnsi="宋体" w:eastAsia="方正小标宋简体"/>
          <w:sz w:val="44"/>
          <w:szCs w:val="44"/>
          <w:u w:val="none"/>
        </w:rPr>
      </w:pPr>
      <w:r>
        <w:rPr>
          <w:rFonts w:hint="eastAsia" w:ascii="方正小标宋简体" w:hAnsi="宋体" w:eastAsia="方正小标宋简体"/>
          <w:sz w:val="44"/>
          <w:szCs w:val="44"/>
          <w:u w:val="none"/>
        </w:rPr>
        <w:t>2021年部门预算编制说明</w:t>
      </w:r>
    </w:p>
    <w:p>
      <w:pPr>
        <w:pStyle w:val="2"/>
        <w:adjustRightInd w:val="0"/>
        <w:spacing w:beforeLines="0" w:line="600" w:lineRule="exact"/>
        <w:rPr>
          <w:rFonts w:ascii="宋体" w:hAnsi="宋体" w:eastAsia="宋体"/>
          <w:b/>
          <w:sz w:val="32"/>
          <w:u w:val="none"/>
        </w:rPr>
      </w:pPr>
      <w:r>
        <w:rPr>
          <w:rFonts w:hint="eastAsia" w:ascii="宋体" w:hAnsi="宋体" w:eastAsia="宋体"/>
          <w:b/>
          <w:sz w:val="32"/>
          <w:u w:val="none"/>
        </w:rPr>
        <w:t xml:space="preserve">    </w:t>
      </w:r>
    </w:p>
    <w:p>
      <w:pPr>
        <w:adjustRightInd w:val="0"/>
        <w:snapToGrid w:val="0"/>
        <w:spacing w:line="600" w:lineRule="exact"/>
        <w:ind w:firstLine="640" w:firstLineChars="200"/>
        <w:rPr>
          <w:rFonts w:ascii="黑体" w:eastAsia="黑体"/>
          <w:u w:val="none"/>
        </w:rPr>
      </w:pPr>
      <w:r>
        <w:rPr>
          <w:rFonts w:hint="eastAsia" w:ascii="黑体" w:eastAsia="黑体"/>
          <w:u w:val="none"/>
        </w:rPr>
        <w:t>一、基本职能及主要工作</w:t>
      </w:r>
    </w:p>
    <w:p>
      <w:pPr>
        <w:adjustRightInd w:val="0"/>
        <w:snapToGrid w:val="0"/>
        <w:spacing w:line="600" w:lineRule="exact"/>
        <w:ind w:firstLine="643" w:firstLineChars="200"/>
        <w:rPr>
          <w:rFonts w:ascii="仿宋_GB2312" w:hAnsi="仿宋"/>
          <w:u w:val="none"/>
        </w:rPr>
      </w:pPr>
      <w:r>
        <w:rPr>
          <w:rFonts w:hint="eastAsia" w:ascii="楷体_GB2312" w:eastAsia="楷体_GB2312"/>
          <w:b/>
          <w:u w:val="none"/>
        </w:rPr>
        <w:t>（一）</w:t>
      </w:r>
      <w:r>
        <w:rPr>
          <w:rFonts w:hint="eastAsia" w:ascii="仿宋_GB2312" w:hAnsi="仿宋"/>
          <w:u w:val="none"/>
        </w:rPr>
        <w:t>统战部工作职责：市委统战部是市委主管统一战线工作的职能部门，是市委在统战工作方面的参谋和助手。一是负责协调、监督、检查全市统一战线工作，调研、执行中央关于统战的方针、政策，并反映工作意见和建议，协调处理统战工作中的问题。二是负责联系各民主党派和无党派人士，反映他们的意见和建议；研究贯彻中国共产党领导的多党合作和政治协商制度以及对民主党派的方针、政策；落实中央、省、市委关于发挥民主党派和无党派代表人士参政议政和民主监督作用的工作，为市委同民主党派、无党派人士进行政治协商做好组织联系工作；支持、帮助各民主党派加强自身建设，改善工作条件和生活条件。三是调研、监督检查有关民族和宗教工作重大方针、政策的贯彻执行情况；联系少数民族和宗教界的代表人物；协助有关部门做好少数民族干部的培养和举荐工作。四是负责开展以祖国统一为重点的海外统战工作。联系香港澳门和海外有关代表人士；做好台胞、台属的有关工作。五是负责党外人士的政治安排。会同有关部门做好培养、选拔、推荐、安排党外人士担任政府、政府部门和司法机关领导职务的工作；做好党外后备干部和新的代表人物队伍的工作；受市委委托，领导市工商联党组，指导工商联工作；协调指导市民族宗教委员会的工作；联系、管理黄埔军校成员；指导有关统战团体和人民团体的统战工作；协助有关部门管理县（区）委统战部长。六是调查研究我是非公有制经济代表人士的情况，提出相应政策建议，团结、帮助、引导、教育非公有制经济代表人士。七是调查研究党外知识分子和新社会阶层人士的情况，提出相应政策建议；联系并培养党外知识分子代表人物。八是做好港澳台工作，积极加强与港澳爱国社团的联系，进一步壮大爱国力量；深化港澳经贸文化交流合作，进一步加强对港澳同胞的协调服务工作。九是负责开展海内外统战宣传工作和统战系统干部培训工作；协调政府各有关部门的统战工作；指导地方党委统战工作。</w:t>
      </w:r>
    </w:p>
    <w:p>
      <w:pPr>
        <w:adjustRightInd w:val="0"/>
        <w:snapToGrid w:val="0"/>
        <w:spacing w:line="600" w:lineRule="exact"/>
        <w:ind w:firstLine="800" w:firstLineChars="250"/>
        <w:rPr>
          <w:rFonts w:ascii="仿宋_GB2312" w:hAnsi="仿宋"/>
          <w:u w:val="none"/>
        </w:rPr>
      </w:pPr>
      <w:r>
        <w:rPr>
          <w:rFonts w:hint="eastAsia" w:ascii="仿宋_GB2312" w:hAnsi="仿宋"/>
          <w:u w:val="none"/>
        </w:rPr>
        <w:t>民主党派工作职责：发挥参政党民主监督和参政议政作用。一是民主监督，二是参政议政，三是建言献策，四是社会服务，五是队伍建设和后备干部培养。</w:t>
      </w:r>
    </w:p>
    <w:p>
      <w:pPr>
        <w:adjustRightInd w:val="0"/>
        <w:snapToGrid w:val="0"/>
        <w:spacing w:line="600" w:lineRule="exact"/>
        <w:ind w:firstLine="640" w:firstLineChars="200"/>
        <w:rPr>
          <w:rFonts w:ascii="仿宋_GB2312" w:hAnsi="仿宋"/>
          <w:u w:val="none"/>
        </w:rPr>
      </w:pPr>
      <w:r>
        <w:rPr>
          <w:rFonts w:hint="eastAsia" w:ascii="仿宋_GB2312" w:hAnsi="仿宋"/>
          <w:u w:val="none"/>
        </w:rPr>
        <w:t>工商联的工作职责：工商联是委和政府联系非公经济人士的桥梁纽带，是政府管理非公有制经济的助手。一是参与大政方针和重大问题的政治协商，发挥民主监督作用，积极参政议政。二是密切联系会员，畅通反映渠道，表彰先进典型，做好代表人士政治安排的推荐工作。三是加强和改进非公有制经济人士思想思想政治工作。四是引导非公有制人士按照科学发展观的要求，转变经济发展方式，加强能源资源节约，重视生态环境保护，建立和谐劳动关系。五是代表并维护会员的合法权益，反映会员的意见、要求和建议，参与经济纠纷的调解、仲裁。六是为会员培训、融资、科技、法律、信息咨询等服务，提供对内、对外经贸交流服务，提供沟通协调服务，帮助会员增强自主创新能力，提高核心竞争力和可持续发展能力。七是增强与港澳台工商界人士和国外工商社团的联系与交往，促进经贸合作。八是加强自身建设，提高履行职责和发挥作用的能力。</w:t>
      </w:r>
    </w:p>
    <w:p>
      <w:pPr>
        <w:pStyle w:val="2"/>
        <w:adjustRightInd w:val="0"/>
        <w:snapToGrid w:val="0"/>
        <w:spacing w:beforeLines="0" w:line="600" w:lineRule="exact"/>
        <w:ind w:firstLine="675" w:firstLineChars="210"/>
        <w:rPr>
          <w:bCs/>
          <w:sz w:val="32"/>
          <w:u w:val="none"/>
        </w:rPr>
      </w:pPr>
      <w:r>
        <w:rPr>
          <w:rFonts w:hint="eastAsia" w:ascii="楷体_GB2312" w:eastAsia="楷体_GB2312"/>
          <w:b/>
          <w:sz w:val="32"/>
          <w:u w:val="none"/>
        </w:rPr>
        <w:t>（二）市委统战部及民主党派工商联2021年重点工作。</w:t>
      </w:r>
    </w:p>
    <w:p>
      <w:pPr>
        <w:adjustRightInd w:val="0"/>
        <w:snapToGrid w:val="0"/>
        <w:spacing w:line="600" w:lineRule="exact"/>
        <w:ind w:firstLine="640" w:firstLineChars="200"/>
        <w:rPr>
          <w:u w:val="none"/>
        </w:rPr>
      </w:pPr>
      <w:r>
        <w:rPr>
          <w:u w:val="none"/>
        </w:rPr>
        <w:t>2021年是中国共产党成立100周年</w:t>
      </w:r>
      <w:r>
        <w:rPr>
          <w:rFonts w:hint="eastAsia"/>
          <w:u w:val="none"/>
        </w:rPr>
        <w:t>，</w:t>
      </w:r>
      <w:r>
        <w:rPr>
          <w:u w:val="none"/>
        </w:rPr>
        <w:t>是开启全面建设社会主义现代化</w:t>
      </w:r>
      <w:r>
        <w:rPr>
          <w:rFonts w:hint="eastAsia"/>
          <w:u w:val="none"/>
        </w:rPr>
        <w:t>攀枝花</w:t>
      </w:r>
      <w:r>
        <w:rPr>
          <w:u w:val="none"/>
        </w:rPr>
        <w:t>新征程的第一年，是“十四五”规划的开局之年。全</w:t>
      </w:r>
      <w:r>
        <w:rPr>
          <w:rFonts w:hint="eastAsia"/>
          <w:u w:val="none"/>
        </w:rPr>
        <w:t>市</w:t>
      </w:r>
      <w:r>
        <w:rPr>
          <w:u w:val="none"/>
        </w:rPr>
        <w:t>统战工作总体思路是</w:t>
      </w:r>
      <w:r>
        <w:rPr>
          <w:rFonts w:hint="eastAsia"/>
          <w:u w:val="none"/>
        </w:rPr>
        <w:t>：</w:t>
      </w:r>
      <w:r>
        <w:rPr>
          <w:u w:val="none"/>
        </w:rPr>
        <w:t>以习近平新时代中国特色社会主义思想为指导</w:t>
      </w:r>
      <w:r>
        <w:rPr>
          <w:rFonts w:hint="eastAsia"/>
          <w:u w:val="none"/>
        </w:rPr>
        <w:t>，</w:t>
      </w:r>
      <w:r>
        <w:rPr>
          <w:u w:val="none"/>
        </w:rPr>
        <w:t>全面贯彻党的十九大和十九届二中、三中、四中、五中全会精神</w:t>
      </w:r>
      <w:r>
        <w:rPr>
          <w:rFonts w:hint="eastAsia"/>
          <w:u w:val="none"/>
        </w:rPr>
        <w:t>，以及</w:t>
      </w:r>
      <w:r>
        <w:rPr>
          <w:u w:val="none"/>
        </w:rPr>
        <w:t>省委十一届</w:t>
      </w:r>
      <w:r>
        <w:rPr>
          <w:rFonts w:hint="eastAsia"/>
          <w:u w:val="none"/>
        </w:rPr>
        <w:t>七次、八</w:t>
      </w:r>
      <w:r>
        <w:rPr>
          <w:u w:val="none"/>
        </w:rPr>
        <w:t>次全会</w:t>
      </w:r>
      <w:r>
        <w:rPr>
          <w:rFonts w:hint="eastAsia"/>
          <w:u w:val="none"/>
        </w:rPr>
        <w:t>和市委十届九次、十次全会</w:t>
      </w:r>
      <w:r>
        <w:rPr>
          <w:u w:val="none"/>
        </w:rPr>
        <w:t>决策部署</w:t>
      </w:r>
      <w:r>
        <w:rPr>
          <w:rFonts w:hint="eastAsia"/>
          <w:u w:val="none"/>
        </w:rPr>
        <w:t>，</w:t>
      </w:r>
      <w:r>
        <w:rPr>
          <w:u w:val="none"/>
        </w:rPr>
        <w:t>以学习宣传贯彻习近平总书记关于加强和改进统一战线工作的重要思想为主线，以学习宣传贯彻《中国共产党统一战线工作条例》为重点，以进一步发挥新时代统一战线法宝作用为目标</w:t>
      </w:r>
      <w:r>
        <w:rPr>
          <w:rFonts w:hint="eastAsia"/>
          <w:u w:val="none"/>
        </w:rPr>
        <w:t>，</w:t>
      </w:r>
      <w:r>
        <w:rPr>
          <w:u w:val="none"/>
        </w:rPr>
        <w:t>坚持“四心”定位</w:t>
      </w:r>
      <w:r>
        <w:rPr>
          <w:rFonts w:hint="eastAsia"/>
          <w:u w:val="none"/>
        </w:rPr>
        <w:t>，</w:t>
      </w:r>
      <w:r>
        <w:rPr>
          <w:rFonts w:eastAsia="方正仿宋_GBK"/>
          <w:sz w:val="33"/>
          <w:szCs w:val="33"/>
          <w:u w:val="none"/>
        </w:rPr>
        <w:t>坚持</w:t>
      </w:r>
      <w:r>
        <w:rPr>
          <w:rFonts w:hint="eastAsia" w:eastAsia="方正仿宋_GBK"/>
          <w:sz w:val="33"/>
          <w:szCs w:val="33"/>
          <w:u w:val="none"/>
        </w:rPr>
        <w:t>效果</w:t>
      </w:r>
      <w:r>
        <w:rPr>
          <w:rFonts w:eastAsia="方正仿宋_GBK"/>
          <w:sz w:val="33"/>
          <w:szCs w:val="33"/>
          <w:u w:val="none"/>
        </w:rPr>
        <w:t>导向、问题导向，</w:t>
      </w:r>
      <w:r>
        <w:rPr>
          <w:u w:val="none"/>
        </w:rPr>
        <w:t>着力抓思想引领、抓服务大局、抓风险防范、抓能力提升</w:t>
      </w:r>
      <w:r>
        <w:rPr>
          <w:rFonts w:hint="eastAsia"/>
          <w:u w:val="none"/>
        </w:rPr>
        <w:t>、抓短板弥补，</w:t>
      </w:r>
      <w:r>
        <w:rPr>
          <w:u w:val="none"/>
        </w:rPr>
        <w:t>推动新时代统战工作高质量发展</w:t>
      </w:r>
      <w:r>
        <w:rPr>
          <w:rFonts w:hint="eastAsia"/>
          <w:u w:val="none"/>
        </w:rPr>
        <w:t>，</w:t>
      </w:r>
      <w:r>
        <w:rPr>
          <w:u w:val="none"/>
        </w:rPr>
        <w:t>以优异成绩庆祝中国共产党成立100周年。</w:t>
      </w:r>
    </w:p>
    <w:p>
      <w:pPr>
        <w:adjustRightInd w:val="0"/>
        <w:snapToGrid w:val="0"/>
        <w:spacing w:line="600" w:lineRule="exact"/>
        <w:ind w:firstLine="640" w:firstLineChars="200"/>
        <w:rPr>
          <w:rFonts w:ascii="方正黑体_GBK" w:hAnsi="方正黑体_GBK" w:eastAsia="方正黑体_GBK" w:cs="方正黑体_GBK"/>
          <w:u w:val="none"/>
        </w:rPr>
      </w:pPr>
      <w:r>
        <w:rPr>
          <w:rFonts w:hint="eastAsia" w:ascii="方正黑体_GBK" w:hAnsi="方正黑体_GBK" w:eastAsia="方正黑体_GBK" w:cs="方正黑体_GBK"/>
          <w:u w:val="none"/>
          <w:lang w:val="en-US" w:eastAsia="zh-CN"/>
        </w:rPr>
        <w:t>1.</w:t>
      </w:r>
      <w:r>
        <w:rPr>
          <w:rFonts w:hint="eastAsia" w:ascii="方正黑体_GBK" w:hAnsi="方正黑体_GBK" w:eastAsia="方正黑体_GBK" w:cs="方正黑体_GBK"/>
          <w:u w:val="none"/>
        </w:rPr>
        <w:t>深入学习贯彻习近平新时代中国特色社会主义思想、党的十九届五中全会和省委十一届七次、八次全会以及市委十届九次、十次全会精神</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rPr>
        <w:t>1</w:t>
      </w:r>
      <w:r>
        <w:rPr>
          <w:rFonts w:hint="eastAsia"/>
          <w:b/>
          <w:bCs/>
          <w:u w:val="none"/>
          <w:lang w:eastAsia="zh-CN"/>
        </w:rPr>
        <w:t>）</w:t>
      </w:r>
      <w:r>
        <w:rPr>
          <w:b/>
          <w:bCs/>
          <w:u w:val="none"/>
        </w:rPr>
        <w:t>持续深入学习贯彻习近平新时代中国特色社会主义思想特别是习近平总书记关于加强和改进统一战线工作的重要思想。</w:t>
      </w:r>
      <w:r>
        <w:rPr>
          <w:u w:val="none"/>
        </w:rPr>
        <w:t>把习近平总书记的重要思想作为谋划推进各领域统战工作的科学指南</w:t>
      </w:r>
      <w:r>
        <w:rPr>
          <w:rFonts w:hint="eastAsia"/>
          <w:u w:val="none"/>
        </w:rPr>
        <w:t>，</w:t>
      </w:r>
      <w:r>
        <w:rPr>
          <w:u w:val="none"/>
        </w:rPr>
        <w:t>将《习近平关于统一战线工作论述摘编》《习近平总书记关于加强和改进统一战线工作的重要思想学习辅导读本》作为全</w:t>
      </w:r>
      <w:r>
        <w:rPr>
          <w:rFonts w:hint="eastAsia"/>
          <w:u w:val="none"/>
        </w:rPr>
        <w:t>市</w:t>
      </w:r>
      <w:r>
        <w:rPr>
          <w:u w:val="none"/>
        </w:rPr>
        <w:t>统战干部2021年必读书目，广泛组织学习研究。深化拓展统一战线理论创新和实践创新的广度深度</w:t>
      </w:r>
      <w:r>
        <w:rPr>
          <w:rFonts w:hint="eastAsia"/>
          <w:u w:val="none"/>
        </w:rPr>
        <w:t>，</w:t>
      </w:r>
      <w:r>
        <w:rPr>
          <w:u w:val="none"/>
        </w:rPr>
        <w:t>不断提高政治判断力、政治领悟力、政治执行力</w:t>
      </w:r>
      <w:r>
        <w:rPr>
          <w:rFonts w:hint="eastAsia"/>
          <w:u w:val="none"/>
        </w:rPr>
        <w:t>，</w:t>
      </w:r>
      <w:r>
        <w:rPr>
          <w:u w:val="none"/>
        </w:rPr>
        <w:t>进一步增强“四个意识”、坚定“四个自信”、做到“两个维护”。</w:t>
      </w:r>
    </w:p>
    <w:p>
      <w:pPr>
        <w:adjustRightInd w:val="0"/>
        <w:snapToGrid w:val="0"/>
        <w:spacing w:line="600" w:lineRule="exact"/>
        <w:ind w:firstLine="643" w:firstLineChars="200"/>
        <w:rPr>
          <w:rFonts w:eastAsia="方正仿宋_GBK"/>
          <w:u w:val="none"/>
        </w:rPr>
      </w:pPr>
      <w:r>
        <w:rPr>
          <w:rFonts w:hint="eastAsia"/>
          <w:b/>
          <w:bCs/>
          <w:u w:val="none"/>
          <w:lang w:eastAsia="zh-CN"/>
        </w:rPr>
        <w:t>（</w:t>
      </w:r>
      <w:r>
        <w:rPr>
          <w:rFonts w:hint="eastAsia"/>
          <w:b/>
          <w:bCs/>
          <w:u w:val="none"/>
          <w:lang w:val="en-US" w:eastAsia="zh-CN"/>
        </w:rPr>
        <w:t>2</w:t>
      </w:r>
      <w:r>
        <w:rPr>
          <w:rFonts w:hint="eastAsia"/>
          <w:b/>
          <w:bCs/>
          <w:u w:val="none"/>
          <w:lang w:eastAsia="zh-CN"/>
        </w:rPr>
        <w:t>）</w:t>
      </w:r>
      <w:r>
        <w:rPr>
          <w:b/>
          <w:bCs/>
          <w:u w:val="none"/>
        </w:rPr>
        <w:t>全面学习宣传贯彻《中国共产党统一战线工作条例》</w:t>
      </w:r>
      <w:r>
        <w:rPr>
          <w:rFonts w:hint="eastAsia"/>
          <w:b/>
          <w:bCs/>
          <w:u w:val="none"/>
        </w:rPr>
        <w:t>。</w:t>
      </w:r>
      <w:r>
        <w:rPr>
          <w:u w:val="none"/>
        </w:rPr>
        <w:t>将学习贯彻《条例》作为我</w:t>
      </w:r>
      <w:r>
        <w:rPr>
          <w:rFonts w:hint="eastAsia"/>
          <w:u w:val="none"/>
        </w:rPr>
        <w:t>市</w:t>
      </w:r>
      <w:r>
        <w:rPr>
          <w:u w:val="none"/>
        </w:rPr>
        <w:t>各级统战部门当前和今后一个时期的重要任务</w:t>
      </w:r>
      <w:r>
        <w:rPr>
          <w:rFonts w:hint="eastAsia"/>
          <w:u w:val="none"/>
        </w:rPr>
        <w:t>，</w:t>
      </w:r>
      <w:r>
        <w:rPr>
          <w:u w:val="none"/>
        </w:rPr>
        <w:t>制定落实我</w:t>
      </w:r>
      <w:r>
        <w:rPr>
          <w:rFonts w:hint="eastAsia"/>
          <w:u w:val="none"/>
        </w:rPr>
        <w:t>市</w:t>
      </w:r>
      <w:r>
        <w:rPr>
          <w:u w:val="none"/>
        </w:rPr>
        <w:t>学习宣传贯彻《条例》</w:t>
      </w:r>
      <w:r>
        <w:rPr>
          <w:rFonts w:hint="eastAsia"/>
          <w:u w:val="none"/>
        </w:rPr>
        <w:t>的</w:t>
      </w:r>
      <w:r>
        <w:rPr>
          <w:u w:val="none"/>
        </w:rPr>
        <w:t>实施方案及重点任务分工方案</w:t>
      </w:r>
      <w:r>
        <w:rPr>
          <w:rFonts w:hint="eastAsia"/>
          <w:u w:val="none"/>
        </w:rPr>
        <w:t>，</w:t>
      </w:r>
      <w:r>
        <w:rPr>
          <w:u w:val="none"/>
        </w:rPr>
        <w:t>深入宣传解读、细化落实举措、加强督促检查</w:t>
      </w:r>
      <w:r>
        <w:rPr>
          <w:rFonts w:hint="eastAsia"/>
          <w:u w:val="none"/>
        </w:rPr>
        <w:t>，</w:t>
      </w:r>
      <w:r>
        <w:rPr>
          <w:u w:val="none"/>
        </w:rPr>
        <w:t>推动《条例》进机关、进企业、进学校、进社区、进园区、进团体、进宗教场所等。对</w:t>
      </w:r>
      <w:r>
        <w:rPr>
          <w:rFonts w:hint="eastAsia"/>
          <w:u w:val="none"/>
        </w:rPr>
        <w:t>市、县两级党委</w:t>
      </w:r>
      <w:r>
        <w:rPr>
          <w:u w:val="none"/>
        </w:rPr>
        <w:t>统战工作领导小组成员、</w:t>
      </w:r>
      <w:r>
        <w:rPr>
          <w:rFonts w:hint="eastAsia"/>
          <w:u w:val="none"/>
        </w:rPr>
        <w:t>县（区）</w:t>
      </w:r>
      <w:r>
        <w:rPr>
          <w:u w:val="none"/>
        </w:rPr>
        <w:t>党委统战部副部长、高校和国企党委统战</w:t>
      </w:r>
      <w:r>
        <w:rPr>
          <w:rFonts w:hint="eastAsia"/>
          <w:u w:val="none"/>
        </w:rPr>
        <w:t>干部</w:t>
      </w:r>
      <w:r>
        <w:rPr>
          <w:u w:val="none"/>
        </w:rPr>
        <w:t>、乡镇统战委员、党外代表人士进行《条例》“大培训”。</w:t>
      </w:r>
      <w:r>
        <w:rPr>
          <w:rFonts w:eastAsia="方正仿宋_GBK"/>
          <w:sz w:val="33"/>
          <w:szCs w:val="33"/>
          <w:u w:val="none"/>
        </w:rPr>
        <w:t>以市委统战工作领导小组名义</w:t>
      </w:r>
      <w:r>
        <w:rPr>
          <w:rFonts w:hint="eastAsia"/>
          <w:u w:val="none"/>
        </w:rPr>
        <w:t>对各县（区）党委、部分市直部门开展《条例》落实情况督查。</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3</w:t>
      </w:r>
      <w:r>
        <w:rPr>
          <w:rFonts w:hint="eastAsia"/>
          <w:b/>
          <w:bCs/>
          <w:u w:val="none"/>
          <w:lang w:eastAsia="zh-CN"/>
        </w:rPr>
        <w:t>）</w:t>
      </w:r>
      <w:r>
        <w:rPr>
          <w:b/>
          <w:bCs/>
          <w:u w:val="none"/>
        </w:rPr>
        <w:t>开展</w:t>
      </w:r>
      <w:r>
        <w:rPr>
          <w:rFonts w:hint="eastAsia"/>
          <w:b/>
          <w:bCs/>
          <w:u w:val="none"/>
        </w:rPr>
        <w:t>庆祝</w:t>
      </w:r>
      <w:r>
        <w:rPr>
          <w:b/>
          <w:bCs/>
          <w:u w:val="none"/>
        </w:rPr>
        <w:t>中国共产党成立100周年系列活动。</w:t>
      </w:r>
      <w:r>
        <w:rPr>
          <w:rFonts w:hint="eastAsia"/>
          <w:u w:val="none"/>
        </w:rPr>
        <w:t>围绕坚定“四个自信”，在全市统战干部中广泛开展学党史活动，从党的百年伟大奋斗历程中汲取继续前进的智慧和力量。</w:t>
      </w:r>
      <w:r>
        <w:rPr>
          <w:u w:val="none"/>
        </w:rPr>
        <w:t>围绕爱党爱国爱社会主义主题</w:t>
      </w:r>
      <w:r>
        <w:rPr>
          <w:rFonts w:hint="eastAsia"/>
          <w:u w:val="none"/>
        </w:rPr>
        <w:t>，在全市统一战线</w:t>
      </w:r>
      <w:r>
        <w:rPr>
          <w:u w:val="none"/>
        </w:rPr>
        <w:t>举办庆祝中国共产党成立100周年系列政治引领活动，广泛凝聚政治共识。开展多渠道、立体化主题宣传报道</w:t>
      </w:r>
      <w:r>
        <w:rPr>
          <w:rFonts w:hint="eastAsia"/>
          <w:u w:val="none"/>
        </w:rPr>
        <w:t>，</w:t>
      </w:r>
      <w:r>
        <w:rPr>
          <w:u w:val="none"/>
        </w:rPr>
        <w:t>营造浓厚氛围。</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4</w:t>
      </w:r>
      <w:r>
        <w:rPr>
          <w:rFonts w:hint="eastAsia"/>
          <w:b/>
          <w:bCs/>
          <w:u w:val="none"/>
          <w:lang w:eastAsia="zh-CN"/>
        </w:rPr>
        <w:t>）</w:t>
      </w:r>
      <w:r>
        <w:rPr>
          <w:b/>
          <w:bCs/>
          <w:u w:val="none"/>
        </w:rPr>
        <w:t>认真贯彻落实中央和省委</w:t>
      </w:r>
      <w:r>
        <w:rPr>
          <w:rFonts w:hint="eastAsia"/>
          <w:b/>
          <w:bCs/>
          <w:u w:val="none"/>
        </w:rPr>
        <w:t>、市委</w:t>
      </w:r>
      <w:r>
        <w:rPr>
          <w:b/>
          <w:bCs/>
          <w:u w:val="none"/>
        </w:rPr>
        <w:t>系列重大决策部署。</w:t>
      </w:r>
      <w:r>
        <w:rPr>
          <w:u w:val="none"/>
        </w:rPr>
        <w:t>围绕落实党的十九届五中全会</w:t>
      </w:r>
      <w:r>
        <w:rPr>
          <w:rFonts w:hint="eastAsia"/>
          <w:u w:val="none"/>
        </w:rPr>
        <w:t>，</w:t>
      </w:r>
      <w:r>
        <w:rPr>
          <w:u w:val="none"/>
        </w:rPr>
        <w:t>省委十一届七次、八次全会</w:t>
      </w:r>
      <w:r>
        <w:rPr>
          <w:rFonts w:hint="eastAsia"/>
          <w:u w:val="none"/>
        </w:rPr>
        <w:t>以及市委十届九次、十次全会</w:t>
      </w:r>
      <w:r>
        <w:rPr>
          <w:u w:val="none"/>
        </w:rPr>
        <w:t>精神</w:t>
      </w:r>
      <w:r>
        <w:rPr>
          <w:rFonts w:hint="eastAsia"/>
          <w:u w:val="none"/>
        </w:rPr>
        <w:t>，</w:t>
      </w:r>
      <w:r>
        <w:rPr>
          <w:u w:val="none"/>
        </w:rPr>
        <w:t>把握新发展阶段、贯彻新发展理念、融入新发展格局</w:t>
      </w:r>
      <w:r>
        <w:rPr>
          <w:rFonts w:hint="eastAsia"/>
          <w:u w:val="none"/>
        </w:rPr>
        <w:t>，</w:t>
      </w:r>
      <w:r>
        <w:rPr>
          <w:u w:val="none"/>
        </w:rPr>
        <w:t>广泛凝心聚力、发挥作用。聚焦“十四五”规划制定实施和高质量发展</w:t>
      </w:r>
      <w:r>
        <w:rPr>
          <w:rFonts w:hint="eastAsia"/>
          <w:u w:val="none"/>
        </w:rPr>
        <w:t>，</w:t>
      </w:r>
      <w:r>
        <w:rPr>
          <w:u w:val="none"/>
        </w:rPr>
        <w:t>引导广大统战成员加强对经济社会发展重点问题的调研</w:t>
      </w:r>
      <w:r>
        <w:rPr>
          <w:rFonts w:hint="eastAsia"/>
          <w:u w:val="none"/>
        </w:rPr>
        <w:t>，</w:t>
      </w:r>
      <w:r>
        <w:rPr>
          <w:u w:val="none"/>
        </w:rPr>
        <w:t>提出有价值、有分量的意见和建议。</w:t>
      </w:r>
      <w:r>
        <w:rPr>
          <w:rFonts w:hint="eastAsia"/>
          <w:u w:val="none"/>
        </w:rPr>
        <w:t>聚焦做精“直通车”工作品牌，</w:t>
      </w:r>
      <w:r>
        <w:rPr>
          <w:rFonts w:eastAsia="方正仿宋_GBK"/>
          <w:sz w:val="33"/>
          <w:szCs w:val="33"/>
          <w:u w:val="none"/>
        </w:rPr>
        <w:t>继续跟进“金沙江干热河谷水资源合理利用与保护”课题调研，精选新的“直通车”课题，争取民主党派中央来我市调研，助推我市高质量发展。</w:t>
      </w:r>
      <w:r>
        <w:rPr>
          <w:u w:val="none"/>
        </w:rPr>
        <w:t>聚焦</w:t>
      </w:r>
      <w:r>
        <w:rPr>
          <w:rFonts w:hint="eastAsia"/>
          <w:u w:val="none"/>
        </w:rPr>
        <w:t>推动</w:t>
      </w:r>
      <w:r>
        <w:rPr>
          <w:u w:val="none"/>
        </w:rPr>
        <w:t>成渝地区双城经济圈建设</w:t>
      </w:r>
      <w:r>
        <w:rPr>
          <w:rFonts w:hint="eastAsia"/>
          <w:u w:val="none"/>
        </w:rPr>
        <w:t>，与</w:t>
      </w:r>
      <w:r>
        <w:rPr>
          <w:u w:val="none"/>
        </w:rPr>
        <w:t>重庆市</w:t>
      </w:r>
      <w:r>
        <w:rPr>
          <w:rFonts w:hint="eastAsia"/>
          <w:u w:val="none"/>
        </w:rPr>
        <w:t>部分县（区）</w:t>
      </w:r>
      <w:r>
        <w:rPr>
          <w:u w:val="none"/>
        </w:rPr>
        <w:t>统一战线</w:t>
      </w:r>
      <w:r>
        <w:rPr>
          <w:rFonts w:hint="eastAsia"/>
          <w:u w:val="none"/>
        </w:rPr>
        <w:t>建立合作</w:t>
      </w:r>
      <w:r>
        <w:rPr>
          <w:u w:val="none"/>
        </w:rPr>
        <w:t>机制平台</w:t>
      </w:r>
      <w:r>
        <w:rPr>
          <w:rFonts w:hint="eastAsia"/>
          <w:u w:val="none"/>
        </w:rPr>
        <w:t>，并</w:t>
      </w:r>
      <w:r>
        <w:rPr>
          <w:u w:val="none"/>
        </w:rPr>
        <w:t>有效彰显</w:t>
      </w:r>
      <w:r>
        <w:rPr>
          <w:rFonts w:hint="eastAsia"/>
          <w:u w:val="none"/>
        </w:rPr>
        <w:t>发挥</w:t>
      </w:r>
      <w:r>
        <w:rPr>
          <w:u w:val="none"/>
        </w:rPr>
        <w:t>作用。聚焦全</w:t>
      </w:r>
      <w:r>
        <w:rPr>
          <w:rFonts w:hint="eastAsia"/>
          <w:u w:val="none"/>
        </w:rPr>
        <w:t>市</w:t>
      </w:r>
      <w:r>
        <w:rPr>
          <w:u w:val="none"/>
        </w:rPr>
        <w:t>开放发展</w:t>
      </w:r>
      <w:r>
        <w:rPr>
          <w:rFonts w:hint="eastAsia"/>
          <w:u w:val="none"/>
        </w:rPr>
        <w:t>，</w:t>
      </w:r>
      <w:r>
        <w:rPr>
          <w:rFonts w:eastAsia="方正仿宋_GBK"/>
          <w:spacing w:val="-8"/>
          <w:sz w:val="33"/>
          <w:szCs w:val="33"/>
          <w:u w:val="none"/>
        </w:rPr>
        <w:t>充分发挥港澳台优势，积极搭建招商引资平台，</w:t>
      </w:r>
      <w:r>
        <w:rPr>
          <w:rFonts w:hint="eastAsia"/>
          <w:spacing w:val="-8"/>
          <w:sz w:val="33"/>
          <w:szCs w:val="33"/>
          <w:u w:val="none"/>
        </w:rPr>
        <w:t>积极参与</w:t>
      </w:r>
      <w:r>
        <w:rPr>
          <w:u w:val="none"/>
        </w:rPr>
        <w:t>海科会、四川华侨华人社团大会等重大</w:t>
      </w:r>
      <w:r>
        <w:rPr>
          <w:rFonts w:hint="eastAsia"/>
          <w:u w:val="none"/>
        </w:rPr>
        <w:t>活动，</w:t>
      </w:r>
      <w:r>
        <w:rPr>
          <w:rFonts w:eastAsia="方正仿宋_GBK"/>
          <w:spacing w:val="-8"/>
          <w:sz w:val="33"/>
          <w:szCs w:val="33"/>
          <w:u w:val="none"/>
        </w:rPr>
        <w:t>全年力争项目落地1个、签约1个</w:t>
      </w:r>
      <w:r>
        <w:rPr>
          <w:u w:val="none"/>
        </w:rPr>
        <w:t>。聚焦全</w:t>
      </w:r>
      <w:r>
        <w:rPr>
          <w:rFonts w:hint="eastAsia"/>
          <w:u w:val="none"/>
        </w:rPr>
        <w:t>市</w:t>
      </w:r>
      <w:r>
        <w:rPr>
          <w:u w:val="none"/>
        </w:rPr>
        <w:t>创新发展</w:t>
      </w:r>
      <w:r>
        <w:rPr>
          <w:rFonts w:hint="eastAsia"/>
          <w:u w:val="none"/>
        </w:rPr>
        <w:t>，</w:t>
      </w:r>
      <w:r>
        <w:rPr>
          <w:u w:val="none"/>
        </w:rPr>
        <w:t>鼓励民主党派、无党派人士和党外知识分子等统战成员弘扬报国之志、投身科技创新，激发民</w:t>
      </w:r>
      <w:r>
        <w:rPr>
          <w:rFonts w:hint="eastAsia"/>
          <w:u w:val="none"/>
        </w:rPr>
        <w:t>营企业创新活力和创造潜能。聚焦巩固拓展脱贫攻坚成果同乡村振兴有效衔接，</w:t>
      </w:r>
      <w:r>
        <w:rPr>
          <w:rFonts w:eastAsia="方正仿宋_GBK"/>
          <w:sz w:val="33"/>
          <w:szCs w:val="33"/>
          <w:u w:val="none"/>
        </w:rPr>
        <w:t>进一步完善助力仁和区大龙潭乡混撒拉村、米易县草场乡龙华村、盐边县</w:t>
      </w:r>
      <w:r>
        <w:rPr>
          <w:rFonts w:hint="eastAsia" w:eastAsia="方正仿宋_GBK"/>
          <w:sz w:val="33"/>
          <w:szCs w:val="33"/>
          <w:u w:val="none"/>
        </w:rPr>
        <w:t>红格镇金沙村</w:t>
      </w:r>
      <w:r>
        <w:rPr>
          <w:rFonts w:eastAsia="方正仿宋_GBK"/>
          <w:sz w:val="33"/>
          <w:szCs w:val="33"/>
          <w:u w:val="none"/>
        </w:rPr>
        <w:t>等3个村</w:t>
      </w:r>
      <w:r>
        <w:rPr>
          <w:rFonts w:hint="eastAsia" w:eastAsia="方正仿宋_GBK"/>
          <w:sz w:val="33"/>
          <w:szCs w:val="33"/>
          <w:u w:val="none"/>
        </w:rPr>
        <w:t>的</w:t>
      </w:r>
      <w:r>
        <w:rPr>
          <w:rFonts w:eastAsia="方正仿宋_GBK"/>
          <w:sz w:val="33"/>
          <w:szCs w:val="33"/>
          <w:u w:val="none"/>
        </w:rPr>
        <w:t>乡村振兴工作任务清单，细化助力乡村五大振兴工作事项，扎实开展人才智力支持、教育医疗帮扶、科技法律援助、创业就业带动、民俗文化遗产挖掘、农文旅融合发展等助力活动。</w:t>
      </w:r>
      <w:r>
        <w:rPr>
          <w:rFonts w:hint="eastAsia"/>
          <w:u w:val="none"/>
        </w:rPr>
        <w:t>聚焦常态化疫情防控，从严从紧做好统一战线各领域特别是宗教领域疫情防控工作，扎实做好对口联系东区疫情防控工作。</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5</w:t>
      </w:r>
      <w:r>
        <w:rPr>
          <w:rFonts w:hint="eastAsia"/>
          <w:b/>
          <w:bCs/>
          <w:u w:val="none"/>
          <w:lang w:eastAsia="zh-CN"/>
        </w:rPr>
        <w:t>）</w:t>
      </w:r>
      <w:r>
        <w:rPr>
          <w:rFonts w:hint="eastAsia"/>
          <w:b/>
          <w:bCs/>
          <w:u w:val="none"/>
        </w:rPr>
        <w:t>持续深化大统战工作格局。</w:t>
      </w:r>
      <w:r>
        <w:rPr>
          <w:rFonts w:hint="eastAsia"/>
          <w:u w:val="none"/>
        </w:rPr>
        <w:t>充分发挥统战工作领导小组职能作用，研究解决我市统一战线领域重大问题，探索完善我市统一战线制度体系。健全完善民营经济统战工作协调会议制度。促进宗教工作、港澳台统战工作、海外统战工作等领域专项工作机制规范化运行。修订市委统一战线工作领导小组运行规则和领导小组办公室运行细则，举办各县（区）党委统一战线工作领导小组经验交流会。</w:t>
      </w:r>
    </w:p>
    <w:p>
      <w:pPr>
        <w:adjustRightInd w:val="0"/>
        <w:snapToGrid w:val="0"/>
        <w:spacing w:line="600" w:lineRule="exact"/>
        <w:ind w:firstLine="640" w:firstLineChars="200"/>
        <w:rPr>
          <w:rFonts w:ascii="方正黑体_GBK" w:hAnsi="方正黑体_GBK" w:eastAsia="方正黑体_GBK" w:cs="方正黑体_GBK"/>
          <w:u w:val="none"/>
        </w:rPr>
      </w:pPr>
      <w:r>
        <w:rPr>
          <w:rFonts w:hint="eastAsia" w:ascii="方正黑体_GBK" w:hAnsi="方正黑体_GBK" w:eastAsia="方正黑体_GBK" w:cs="方正黑体_GBK"/>
          <w:u w:val="none"/>
          <w:lang w:val="en-US" w:eastAsia="zh-CN"/>
        </w:rPr>
        <w:t>2.</w:t>
      </w:r>
      <w:r>
        <w:rPr>
          <w:rFonts w:hint="eastAsia" w:ascii="方正黑体_GBK" w:hAnsi="方正黑体_GBK" w:eastAsia="方正黑体_GBK" w:cs="方正黑体_GBK"/>
          <w:u w:val="none"/>
        </w:rPr>
        <w:t>坚持和完善新型政党制度</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6</w:t>
      </w:r>
      <w:r>
        <w:rPr>
          <w:rFonts w:hint="eastAsia"/>
          <w:b/>
          <w:bCs/>
          <w:u w:val="none"/>
          <w:lang w:eastAsia="zh-CN"/>
        </w:rPr>
        <w:t>）</w:t>
      </w:r>
      <w:r>
        <w:rPr>
          <w:rFonts w:hint="eastAsia"/>
          <w:b/>
          <w:bCs/>
          <w:u w:val="none"/>
        </w:rPr>
        <w:t>深入推进中国特色社会主义参政党建设。</w:t>
      </w:r>
      <w:r>
        <w:rPr>
          <w:rFonts w:hint="eastAsia"/>
          <w:u w:val="none"/>
        </w:rPr>
        <w:t>对标“四新”“三好”要求，持续加力贯彻落实三个文件精神，建立我市进一步支持协助民主党派地方组织加强自身建设工作运行机制，推进中国特色社会主义参政党建设提档升级。健全思想政治工作长效机制，</w:t>
      </w:r>
      <w:r>
        <w:rPr>
          <w:rFonts w:eastAsia="方正仿宋_GBK"/>
          <w:sz w:val="33"/>
          <w:szCs w:val="33"/>
          <w:u w:val="none"/>
        </w:rPr>
        <w:t>举办暑期学习活动、骨干成员培训班等</w:t>
      </w:r>
      <w:r>
        <w:rPr>
          <w:rFonts w:hint="eastAsia"/>
          <w:sz w:val="33"/>
          <w:szCs w:val="33"/>
          <w:u w:val="none"/>
        </w:rPr>
        <w:t>，</w:t>
      </w:r>
      <w:r>
        <w:rPr>
          <w:rFonts w:hint="eastAsia"/>
          <w:u w:val="none"/>
        </w:rPr>
        <w:t>进一步夯实共同思想政治基础。支持民主党派加强履职能力建设，提升服务中心大局贡献率。</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7</w:t>
      </w:r>
      <w:r>
        <w:rPr>
          <w:rFonts w:hint="eastAsia"/>
          <w:b/>
          <w:bCs/>
          <w:u w:val="none"/>
          <w:lang w:eastAsia="zh-CN"/>
        </w:rPr>
        <w:t>）</w:t>
      </w:r>
      <w:r>
        <w:rPr>
          <w:rFonts w:hint="eastAsia"/>
          <w:b/>
          <w:bCs/>
          <w:u w:val="none"/>
        </w:rPr>
        <w:t>协助做好换届有关工作。</w:t>
      </w:r>
      <w:r>
        <w:rPr>
          <w:rFonts w:hint="eastAsia"/>
          <w:u w:val="none"/>
        </w:rPr>
        <w:t>把政治交接贯穿换届工作始终，贯彻落实省委统战部《关于协助民主党派市级组织做好换届工作的意见》，规范换届工作流程，严肃换届纪律，选好配强民主党派市级组织新一届领导班子。按照省委统战部部署要求，在4月底前完成民主党派市级组织换届有关工作。以换届为契机，持续加强全市民主党派代表人士队伍建设，</w:t>
      </w:r>
      <w:r>
        <w:rPr>
          <w:rFonts w:eastAsia="方正仿宋_GBK"/>
          <w:sz w:val="33"/>
          <w:szCs w:val="33"/>
          <w:u w:val="none"/>
        </w:rPr>
        <w:t>重点做好换届后</w:t>
      </w:r>
      <w:r>
        <w:rPr>
          <w:rFonts w:hint="eastAsia"/>
          <w:sz w:val="33"/>
          <w:szCs w:val="33"/>
          <w:u w:val="none"/>
        </w:rPr>
        <w:t>民主党派</w:t>
      </w:r>
      <w:r>
        <w:rPr>
          <w:rFonts w:hint="eastAsia"/>
          <w:u w:val="none"/>
        </w:rPr>
        <w:t>市级组织</w:t>
      </w:r>
      <w:r>
        <w:rPr>
          <w:rFonts w:eastAsia="方正仿宋_GBK"/>
          <w:sz w:val="33"/>
          <w:szCs w:val="33"/>
          <w:u w:val="none"/>
        </w:rPr>
        <w:t>领导班子建设工作</w:t>
      </w:r>
      <w:r>
        <w:rPr>
          <w:rFonts w:hint="eastAsia"/>
          <w:u w:val="none"/>
        </w:rPr>
        <w:t>。</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8</w:t>
      </w:r>
      <w:r>
        <w:rPr>
          <w:rFonts w:hint="eastAsia"/>
          <w:b/>
          <w:bCs/>
          <w:u w:val="none"/>
          <w:lang w:eastAsia="zh-CN"/>
        </w:rPr>
        <w:t>）</w:t>
      </w:r>
      <w:r>
        <w:rPr>
          <w:rFonts w:hint="eastAsia"/>
          <w:b/>
          <w:bCs/>
          <w:u w:val="none"/>
        </w:rPr>
        <w:t>指导各民主党派市委健全完善制度机制。</w:t>
      </w:r>
      <w:r>
        <w:rPr>
          <w:rFonts w:hint="eastAsia"/>
          <w:u w:val="none"/>
        </w:rPr>
        <w:t>支持各民主党派市委加强制度建设和作风建设，贯彻落实“加强内部监督”“领导班子民主生活会”“纪律处分”“领导班子述职和民主评议”4个纪要</w:t>
      </w:r>
      <w:r>
        <w:rPr>
          <w:rFonts w:eastAsia="方正仿宋_GBK"/>
          <w:sz w:val="33"/>
          <w:szCs w:val="33"/>
          <w:u w:val="none"/>
        </w:rPr>
        <w:t>，逐步构建一套适合自身特点、系统规范、运行有效的制度体系，并严格维护执行。</w:t>
      </w:r>
      <w:r>
        <w:rPr>
          <w:rFonts w:hint="eastAsia"/>
          <w:u w:val="none"/>
        </w:rPr>
        <w:t>加强机关建设，全面提升干部政治素质和业务能力，建设高效运行、团结和谐的民主党派机关。</w:t>
      </w:r>
      <w:r>
        <w:rPr>
          <w:rFonts w:eastAsia="方正仿宋_GBK"/>
          <w:color w:val="000000"/>
          <w:kern w:val="0"/>
          <w:sz w:val="33"/>
          <w:szCs w:val="33"/>
          <w:u w:val="none"/>
        </w:rPr>
        <w:t>以打造“民主党派之家”为抓手，</w:t>
      </w:r>
      <w:r>
        <w:rPr>
          <w:rFonts w:eastAsia="方正仿宋_GBK"/>
          <w:sz w:val="33"/>
          <w:szCs w:val="33"/>
          <w:u w:val="none"/>
        </w:rPr>
        <w:t>强化</w:t>
      </w:r>
      <w:r>
        <w:rPr>
          <w:rFonts w:hint="eastAsia"/>
          <w:sz w:val="33"/>
          <w:szCs w:val="33"/>
          <w:u w:val="none"/>
        </w:rPr>
        <w:t>民主党派</w:t>
      </w:r>
      <w:r>
        <w:rPr>
          <w:rFonts w:eastAsia="方正仿宋_GBK"/>
          <w:sz w:val="33"/>
          <w:szCs w:val="33"/>
          <w:u w:val="none"/>
        </w:rPr>
        <w:t>基层组织建设，力争打造</w:t>
      </w:r>
      <w:r>
        <w:rPr>
          <w:rFonts w:eastAsia="方正仿宋_GBK"/>
          <w:color w:val="000000"/>
          <w:kern w:val="0"/>
          <w:sz w:val="33"/>
          <w:szCs w:val="33"/>
          <w:u w:val="none"/>
        </w:rPr>
        <w:t>民主党派之家2个以上</w:t>
      </w:r>
      <w:r>
        <w:rPr>
          <w:rFonts w:eastAsia="方正仿宋_GBK"/>
          <w:sz w:val="33"/>
          <w:szCs w:val="33"/>
          <w:u w:val="none"/>
        </w:rPr>
        <w:t>。加强联谊交友和工作沟通</w:t>
      </w:r>
      <w:r>
        <w:rPr>
          <w:rFonts w:hint="eastAsia" w:eastAsia="方正仿宋_GBK"/>
          <w:sz w:val="33"/>
          <w:szCs w:val="33"/>
          <w:u w:val="none"/>
        </w:rPr>
        <w:t>，坚持落实每季度一次的民主党派秘书长联席会议制度，</w:t>
      </w:r>
      <w:r>
        <w:rPr>
          <w:rFonts w:eastAsia="方正仿宋_GBK"/>
          <w:sz w:val="33"/>
          <w:szCs w:val="33"/>
          <w:u w:val="none"/>
        </w:rPr>
        <w:t>分管副部长每季度至少走访调研2家民主党派。</w:t>
      </w:r>
    </w:p>
    <w:p>
      <w:pPr>
        <w:adjustRightInd w:val="0"/>
        <w:snapToGrid w:val="0"/>
        <w:spacing w:line="600" w:lineRule="exact"/>
        <w:ind w:firstLine="640" w:firstLineChars="200"/>
        <w:rPr>
          <w:rFonts w:ascii="方正黑体_GBK" w:hAnsi="方正黑体_GBK" w:eastAsia="方正黑体_GBK" w:cs="方正黑体_GBK"/>
          <w:u w:val="none"/>
        </w:rPr>
      </w:pPr>
      <w:r>
        <w:rPr>
          <w:rFonts w:hint="eastAsia" w:ascii="方正黑体_GBK" w:hAnsi="方正黑体_GBK" w:eastAsia="方正黑体_GBK" w:cs="方正黑体_GBK"/>
          <w:u w:val="none"/>
          <w:lang w:val="en-US" w:eastAsia="zh-CN"/>
        </w:rPr>
        <w:t>3.</w:t>
      </w:r>
      <w:r>
        <w:rPr>
          <w:rFonts w:hint="eastAsia" w:ascii="方正黑体_GBK" w:hAnsi="方正黑体_GBK" w:eastAsia="方正黑体_GBK" w:cs="方正黑体_GBK"/>
          <w:u w:val="none"/>
        </w:rPr>
        <w:t>做好无党派人士和党外知识分子统战工作</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9</w:t>
      </w:r>
      <w:r>
        <w:rPr>
          <w:rFonts w:hint="eastAsia"/>
          <w:b/>
          <w:bCs/>
          <w:u w:val="none"/>
          <w:lang w:eastAsia="zh-CN"/>
        </w:rPr>
        <w:t>）</w:t>
      </w:r>
      <w:r>
        <w:rPr>
          <w:rFonts w:hint="eastAsia"/>
          <w:b/>
          <w:bCs/>
          <w:u w:val="none"/>
        </w:rPr>
        <w:t>抓好中央文件精神的贯彻落实。</w:t>
      </w:r>
      <w:r>
        <w:rPr>
          <w:rFonts w:hint="eastAsia"/>
          <w:u w:val="none"/>
        </w:rPr>
        <w:t>贯彻落实中央《关于加强新时代党外知识分子思想政治工作和无党派代表人士队伍建设的意见》和省委《分工方案》；</w:t>
      </w:r>
      <w:r>
        <w:rPr>
          <w:rFonts w:hint="eastAsia" w:eastAsia="方正仿宋_GBK"/>
          <w:sz w:val="33"/>
          <w:szCs w:val="33"/>
          <w:u w:val="none"/>
        </w:rPr>
        <w:t>完善</w:t>
      </w:r>
      <w:r>
        <w:rPr>
          <w:rFonts w:eastAsia="方正仿宋_GBK"/>
          <w:sz w:val="33"/>
          <w:szCs w:val="33"/>
          <w:u w:val="none"/>
        </w:rPr>
        <w:t>“四大班子”、部领导与党外代表</w:t>
      </w:r>
      <w:r>
        <w:rPr>
          <w:rFonts w:hint="eastAsia" w:eastAsia="方正仿宋_GBK"/>
          <w:sz w:val="33"/>
          <w:szCs w:val="33"/>
          <w:u w:val="none"/>
        </w:rPr>
        <w:t>人士</w:t>
      </w:r>
      <w:r>
        <w:rPr>
          <w:rFonts w:eastAsia="方正仿宋_GBK"/>
          <w:sz w:val="33"/>
          <w:szCs w:val="33"/>
          <w:u w:val="none"/>
        </w:rPr>
        <w:t>联谊交友制度，探索打造特色品牌</w:t>
      </w:r>
      <w:r>
        <w:rPr>
          <w:rFonts w:hint="eastAsia"/>
          <w:u w:val="none"/>
        </w:rPr>
        <w:t>，推动联谊交友、交心谈心广泛</w:t>
      </w:r>
      <w:r>
        <w:rPr>
          <w:rFonts w:eastAsia="方正仿宋_GBK"/>
          <w:sz w:val="33"/>
          <w:szCs w:val="33"/>
          <w:u w:val="none"/>
        </w:rPr>
        <w:t>常态化</w:t>
      </w:r>
      <w:r>
        <w:rPr>
          <w:rFonts w:hint="eastAsia"/>
          <w:u w:val="none"/>
        </w:rPr>
        <w:t>多层深入开展。</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10</w:t>
      </w:r>
      <w:r>
        <w:rPr>
          <w:rFonts w:hint="eastAsia"/>
          <w:b/>
          <w:bCs/>
          <w:u w:val="none"/>
          <w:lang w:eastAsia="zh-CN"/>
        </w:rPr>
        <w:t>）</w:t>
      </w:r>
      <w:r>
        <w:rPr>
          <w:rFonts w:hint="eastAsia"/>
          <w:b/>
          <w:bCs/>
          <w:u w:val="none"/>
        </w:rPr>
        <w:t>加强载体机制建设。</w:t>
      </w:r>
      <w:r>
        <w:rPr>
          <w:rFonts w:eastAsia="方正仿宋_GBK"/>
          <w:sz w:val="33"/>
          <w:szCs w:val="33"/>
          <w:u w:val="none"/>
        </w:rPr>
        <w:t>指导推动</w:t>
      </w:r>
      <w:r>
        <w:rPr>
          <w:rFonts w:hint="eastAsia" w:eastAsia="方正仿宋_GBK"/>
          <w:sz w:val="33"/>
          <w:szCs w:val="33"/>
          <w:u w:val="none"/>
        </w:rPr>
        <w:t>市</w:t>
      </w:r>
      <w:r>
        <w:rPr>
          <w:rFonts w:eastAsia="方正仿宋_GBK"/>
          <w:sz w:val="33"/>
          <w:szCs w:val="33"/>
          <w:u w:val="none"/>
        </w:rPr>
        <w:t>知联会工作，聚焦时事热点、专业领域、社会痛点难点堵点，开展“攀知新语”同心大讲堂活动；围绕双城经济圈建设等重大战略，组织开展专题调研，形成有质量的调研报告；积极参加助力乡</w:t>
      </w:r>
      <w:r>
        <w:rPr>
          <w:rFonts w:hint="eastAsia" w:eastAsia="方正仿宋_GBK"/>
          <w:sz w:val="33"/>
          <w:szCs w:val="33"/>
          <w:u w:val="none"/>
        </w:rPr>
        <w:t>村</w:t>
      </w:r>
      <w:r>
        <w:rPr>
          <w:rFonts w:eastAsia="方正仿宋_GBK"/>
          <w:sz w:val="33"/>
          <w:szCs w:val="33"/>
          <w:u w:val="none"/>
        </w:rPr>
        <w:t>振兴等社会服务。</w:t>
      </w:r>
      <w:r>
        <w:rPr>
          <w:rFonts w:hint="eastAsia"/>
          <w:u w:val="none"/>
        </w:rPr>
        <w:t>修订完善国企联席会议制度，调整充实成员单位，强化考核落实指标，推动国企统战工作高质量发展。发挥示范引领作用，</w:t>
      </w:r>
      <w:r>
        <w:rPr>
          <w:rFonts w:eastAsia="方正仿宋_GBK"/>
          <w:sz w:val="33"/>
          <w:szCs w:val="33"/>
          <w:u w:val="none"/>
        </w:rPr>
        <w:t>着力在国企、高校打造2个党外知识分子创新实践基地。</w:t>
      </w:r>
    </w:p>
    <w:p>
      <w:pPr>
        <w:adjustRightInd w:val="0"/>
        <w:snapToGrid w:val="0"/>
        <w:spacing w:line="600" w:lineRule="exact"/>
        <w:ind w:firstLine="640" w:firstLineChars="200"/>
        <w:rPr>
          <w:rFonts w:ascii="方正黑体_GBK" w:hAnsi="方正黑体_GBK" w:eastAsia="方正黑体_GBK" w:cs="方正黑体_GBK"/>
          <w:u w:val="none"/>
        </w:rPr>
      </w:pPr>
      <w:r>
        <w:rPr>
          <w:rFonts w:hint="eastAsia" w:ascii="方正黑体_GBK" w:hAnsi="方正黑体_GBK" w:eastAsia="方正黑体_GBK" w:cs="方正黑体_GBK"/>
          <w:u w:val="none"/>
          <w:lang w:val="en-US" w:eastAsia="zh-CN"/>
        </w:rPr>
        <w:t>4.</w:t>
      </w:r>
      <w:r>
        <w:rPr>
          <w:rFonts w:hint="eastAsia" w:ascii="方正黑体_GBK" w:hAnsi="方正黑体_GBK" w:eastAsia="方正黑体_GBK" w:cs="方正黑体_GBK"/>
          <w:u w:val="none"/>
        </w:rPr>
        <w:t>加强新时代民营经济统战工作</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11</w:t>
      </w:r>
      <w:r>
        <w:rPr>
          <w:rFonts w:hint="eastAsia"/>
          <w:b/>
          <w:bCs/>
          <w:u w:val="none"/>
          <w:lang w:eastAsia="zh-CN"/>
        </w:rPr>
        <w:t>）</w:t>
      </w:r>
      <w:r>
        <w:rPr>
          <w:rFonts w:hint="eastAsia"/>
          <w:b/>
          <w:bCs/>
          <w:u w:val="none"/>
        </w:rPr>
        <w:t>助推民营经济健康发展。</w:t>
      </w:r>
      <w:r>
        <w:rPr>
          <w:rFonts w:hint="eastAsia"/>
          <w:u w:val="none"/>
        </w:rPr>
        <w:t>深入贯彻落实《关于加强新时代民营经济统战工作的意见》和全国、全省民营经济统战工作会议精神，持续构建亲清政商关系，召开全市民营经济统战工作会议，抓好重点任务分工督查。</w:t>
      </w:r>
      <w:r>
        <w:rPr>
          <w:rFonts w:eastAsia="方正仿宋_GBK"/>
          <w:color w:val="000000"/>
          <w:spacing w:val="-4"/>
          <w:sz w:val="33"/>
          <w:szCs w:val="33"/>
          <w:u w:val="none"/>
        </w:rPr>
        <w:t>召开民营企业家新春座谈会，发挥促进非公企业发展联席会议制度、政企沟通协商机制、民营企业家建言资政机制的作用，协调解决民营企业发展中的困难问题。</w:t>
      </w:r>
      <w:r>
        <w:rPr>
          <w:rFonts w:hint="eastAsia"/>
          <w:u w:val="none"/>
        </w:rPr>
        <w:t>探索建立重大政策落实后评估机制。深化推进商会改革与发展，加强商会组织培育和商会党建工作。</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12</w:t>
      </w:r>
      <w:r>
        <w:rPr>
          <w:rFonts w:hint="eastAsia"/>
          <w:b/>
          <w:bCs/>
          <w:u w:val="none"/>
          <w:lang w:eastAsia="zh-CN"/>
        </w:rPr>
        <w:t>）</w:t>
      </w:r>
      <w:r>
        <w:rPr>
          <w:rFonts w:hint="eastAsia"/>
          <w:b/>
          <w:bCs/>
          <w:u w:val="none"/>
        </w:rPr>
        <w:t>促进民营经济代表人士健康成长</w:t>
      </w:r>
      <w:r>
        <w:rPr>
          <w:rFonts w:hint="eastAsia"/>
          <w:u w:val="none"/>
        </w:rPr>
        <w:t>。深入开展民营经济代表人士理想信念教育实践活动，举办代表人士培训班，</w:t>
      </w:r>
      <w:r>
        <w:rPr>
          <w:rFonts w:eastAsia="方正仿宋_GBK"/>
          <w:color w:val="000000"/>
          <w:spacing w:val="-4"/>
          <w:sz w:val="33"/>
          <w:szCs w:val="33"/>
          <w:u w:val="none"/>
        </w:rPr>
        <w:t>邀请专家、教授</w:t>
      </w:r>
      <w:r>
        <w:rPr>
          <w:rFonts w:eastAsia="方正仿宋_GBK"/>
          <w:sz w:val="33"/>
          <w:szCs w:val="33"/>
          <w:u w:val="none"/>
        </w:rPr>
        <w:t>和知名企业家到攀开展各类培训</w:t>
      </w:r>
      <w:r>
        <w:rPr>
          <w:rFonts w:hint="eastAsia"/>
          <w:u w:val="none"/>
        </w:rPr>
        <w:t>。完成市工商联换届、市光彩会换届工作。</w:t>
      </w:r>
      <w:r>
        <w:rPr>
          <w:rFonts w:eastAsia="方正仿宋_GBK"/>
          <w:color w:val="000000"/>
          <w:sz w:val="33"/>
          <w:szCs w:val="33"/>
          <w:u w:val="none"/>
        </w:rPr>
        <w:t>组织民营企业家奉献爱心，持续开展光彩事业、</w:t>
      </w:r>
      <w:r>
        <w:rPr>
          <w:rFonts w:hint="eastAsia"/>
          <w:u w:val="none"/>
        </w:rPr>
        <w:t>万企兴万村</w:t>
      </w:r>
      <w:r>
        <w:rPr>
          <w:rFonts w:eastAsia="方正仿宋_GBK"/>
          <w:color w:val="000000"/>
          <w:sz w:val="33"/>
          <w:szCs w:val="33"/>
          <w:u w:val="none"/>
        </w:rPr>
        <w:t>、乡村振兴等活动</w:t>
      </w:r>
      <w:r>
        <w:rPr>
          <w:rFonts w:hint="eastAsia"/>
          <w:u w:val="none"/>
        </w:rPr>
        <w:t>。</w:t>
      </w:r>
      <w:r>
        <w:rPr>
          <w:rFonts w:eastAsia="方正仿宋_GBK"/>
          <w:color w:val="000000"/>
          <w:sz w:val="33"/>
          <w:szCs w:val="33"/>
          <w:u w:val="none"/>
        </w:rPr>
        <w:t>开展“民营企业50强”“优秀民营企业家”“光彩事业先进单位”等民营经济先进典型的评选认定工作。</w:t>
      </w:r>
    </w:p>
    <w:p>
      <w:pPr>
        <w:adjustRightInd w:val="0"/>
        <w:snapToGrid w:val="0"/>
        <w:spacing w:line="600" w:lineRule="exact"/>
        <w:ind w:firstLine="640" w:firstLineChars="200"/>
        <w:rPr>
          <w:rFonts w:ascii="方正黑体_GBK" w:hAnsi="方正黑体_GBK" w:eastAsia="方正黑体_GBK" w:cs="方正黑体_GBK"/>
          <w:u w:val="none"/>
        </w:rPr>
      </w:pPr>
      <w:r>
        <w:rPr>
          <w:rFonts w:hint="eastAsia" w:ascii="方正黑体_GBK" w:hAnsi="方正黑体_GBK" w:eastAsia="方正黑体_GBK" w:cs="方正黑体_GBK"/>
          <w:u w:val="none"/>
          <w:lang w:val="en-US" w:eastAsia="zh-CN"/>
        </w:rPr>
        <w:t>5.</w:t>
      </w:r>
      <w:r>
        <w:rPr>
          <w:rFonts w:hint="eastAsia" w:ascii="方正黑体_GBK" w:hAnsi="方正黑体_GBK" w:eastAsia="方正黑体_GBK" w:cs="方正黑体_GBK"/>
          <w:u w:val="none"/>
        </w:rPr>
        <w:t>持续深化新的社会阶层人士统战工作</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13</w:t>
      </w:r>
      <w:r>
        <w:rPr>
          <w:rFonts w:hint="eastAsia"/>
          <w:b/>
          <w:bCs/>
          <w:u w:val="none"/>
          <w:lang w:eastAsia="zh-CN"/>
        </w:rPr>
        <w:t>）</w:t>
      </w:r>
      <w:r>
        <w:rPr>
          <w:rFonts w:hint="eastAsia"/>
          <w:b/>
          <w:bCs/>
          <w:u w:val="none"/>
        </w:rPr>
        <w:t>推进新的社会阶层人士统战工作纵深发展。</w:t>
      </w:r>
      <w:r>
        <w:rPr>
          <w:rFonts w:hint="eastAsia"/>
          <w:u w:val="none"/>
        </w:rPr>
        <w:t>开展新一轮新阶人士摸底调查，完善代表人士分级分类管理信息库，制定《新阶人士五年培训计划》。重点探索新媒体从业人员、自由职业人员中的新阶代表人士培养途径。</w:t>
      </w:r>
    </w:p>
    <w:p>
      <w:pPr>
        <w:adjustRightInd w:val="0"/>
        <w:snapToGrid w:val="0"/>
        <w:spacing w:line="600" w:lineRule="exact"/>
        <w:ind w:firstLine="643" w:firstLineChars="200"/>
        <w:rPr>
          <w:rFonts w:eastAsia="方正仿宋_GBK"/>
          <w:u w:val="none"/>
        </w:rPr>
      </w:pPr>
      <w:r>
        <w:rPr>
          <w:rFonts w:hint="eastAsia"/>
          <w:b/>
          <w:bCs/>
          <w:u w:val="none"/>
          <w:lang w:eastAsia="zh-CN"/>
        </w:rPr>
        <w:t>（</w:t>
      </w:r>
      <w:r>
        <w:rPr>
          <w:rFonts w:hint="eastAsia"/>
          <w:b/>
          <w:bCs/>
          <w:u w:val="none"/>
          <w:lang w:val="en-US" w:eastAsia="zh-CN"/>
        </w:rPr>
        <w:t>14</w:t>
      </w:r>
      <w:r>
        <w:rPr>
          <w:rFonts w:hint="eastAsia"/>
          <w:b/>
          <w:bCs/>
          <w:u w:val="none"/>
          <w:lang w:eastAsia="zh-CN"/>
        </w:rPr>
        <w:t>）</w:t>
      </w:r>
      <w:r>
        <w:rPr>
          <w:rFonts w:hint="eastAsia"/>
          <w:b/>
          <w:bCs/>
          <w:u w:val="none"/>
        </w:rPr>
        <w:t>切实加强机制平台建设。</w:t>
      </w:r>
      <w:r>
        <w:rPr>
          <w:rFonts w:hint="eastAsia"/>
          <w:u w:val="none"/>
        </w:rPr>
        <w:t>贯彻落实省委统战部《关于贯彻落实（关于2021-2025年推动新的社会阶层人士统战工作发展的实施意见）重要任务分工方案》。加强新阶统战工作联席会议制度和新联会规范化建设，</w:t>
      </w:r>
      <w:r>
        <w:rPr>
          <w:rFonts w:eastAsia="方正仿宋_GBK"/>
          <w:u w:val="none"/>
        </w:rPr>
        <w:t>召开新阶工作联席会议，开展新阶工作市级部门学习交流活动</w:t>
      </w:r>
      <w:r>
        <w:rPr>
          <w:rFonts w:hint="eastAsia"/>
          <w:u w:val="none"/>
        </w:rPr>
        <w:t>。</w:t>
      </w:r>
      <w:r>
        <w:rPr>
          <w:rFonts w:eastAsia="方正仿宋_GBK"/>
          <w:u w:val="none"/>
        </w:rPr>
        <w:t>加大</w:t>
      </w:r>
      <w:r>
        <w:rPr>
          <w:rFonts w:hint="eastAsia"/>
          <w:u w:val="none"/>
        </w:rPr>
        <w:t>新联会</w:t>
      </w:r>
      <w:r>
        <w:rPr>
          <w:rFonts w:eastAsia="方正仿宋_GBK"/>
          <w:u w:val="none"/>
        </w:rPr>
        <w:t>联谊交流力度，与1</w:t>
      </w:r>
      <w:r>
        <w:rPr>
          <w:rFonts w:hint="eastAsia" w:eastAsia="方正仿宋_GBK"/>
          <w:u w:val="none"/>
        </w:rPr>
        <w:t>~</w:t>
      </w:r>
      <w:r>
        <w:rPr>
          <w:rFonts w:eastAsia="方正仿宋_GBK"/>
          <w:u w:val="none"/>
        </w:rPr>
        <w:t>2个地区缔结友好互助联谊会</w:t>
      </w:r>
      <w:r>
        <w:rPr>
          <w:rFonts w:hint="eastAsia"/>
          <w:u w:val="none"/>
        </w:rPr>
        <w:t>。</w:t>
      </w:r>
      <w:r>
        <w:rPr>
          <w:rFonts w:eastAsia="方正仿宋_GBK"/>
          <w:u w:val="none"/>
        </w:rPr>
        <w:t>加强新阶联谊组织建立、指导和管理，筹划成立社会组织从业人员联谊会，在有条件的县</w:t>
      </w:r>
      <w:r>
        <w:rPr>
          <w:rFonts w:hint="eastAsia" w:eastAsia="方正仿宋_GBK"/>
          <w:u w:val="none"/>
        </w:rPr>
        <w:t>（</w:t>
      </w:r>
      <w:r>
        <w:rPr>
          <w:rFonts w:eastAsia="方正仿宋_GBK"/>
          <w:u w:val="none"/>
        </w:rPr>
        <w:t>区</w:t>
      </w:r>
      <w:r>
        <w:rPr>
          <w:rFonts w:hint="eastAsia" w:eastAsia="方正仿宋_GBK"/>
          <w:u w:val="none"/>
        </w:rPr>
        <w:t>）</w:t>
      </w:r>
      <w:r>
        <w:rPr>
          <w:rFonts w:eastAsia="方正仿宋_GBK"/>
          <w:u w:val="none"/>
        </w:rPr>
        <w:t>筹备成立新乡贤</w:t>
      </w:r>
      <w:r>
        <w:rPr>
          <w:rFonts w:eastAsia="方正仿宋_GBK"/>
          <w:spacing w:val="-8"/>
          <w:sz w:val="33"/>
          <w:szCs w:val="33"/>
          <w:u w:val="none"/>
        </w:rPr>
        <w:t>联谊</w:t>
      </w:r>
      <w:r>
        <w:rPr>
          <w:rFonts w:eastAsia="方正仿宋_GBK"/>
          <w:u w:val="none"/>
        </w:rPr>
        <w:t>组织，整合或重组作用发挥不好的新阶组织，试行新联会理事述职测评制。加强社区统战工作，推广运用“新巢·聚创联盟”云平台模式，发挥社区新阶人士作用。持续打造新阶“五送”品牌，丰富活动形式与载体。</w:t>
      </w:r>
      <w:r>
        <w:rPr>
          <w:rFonts w:hint="eastAsia"/>
          <w:u w:val="none"/>
        </w:rPr>
        <w:t>举办</w:t>
      </w:r>
      <w:r>
        <w:rPr>
          <w:rFonts w:eastAsia="方正仿宋_GBK"/>
          <w:u w:val="none"/>
        </w:rPr>
        <w:t>民法典研讨会。</w:t>
      </w:r>
    </w:p>
    <w:p>
      <w:pPr>
        <w:adjustRightInd w:val="0"/>
        <w:snapToGrid w:val="0"/>
        <w:spacing w:line="600" w:lineRule="exact"/>
        <w:ind w:firstLine="640" w:firstLineChars="200"/>
        <w:rPr>
          <w:rFonts w:ascii="方正黑体_GBK" w:hAnsi="方正黑体_GBK" w:eastAsia="方正黑体_GBK" w:cs="方正黑体_GBK"/>
          <w:u w:val="none"/>
        </w:rPr>
      </w:pPr>
      <w:r>
        <w:rPr>
          <w:rFonts w:hint="eastAsia" w:ascii="方正黑体_GBK" w:hAnsi="方正黑体_GBK" w:eastAsia="方正黑体_GBK" w:cs="方正黑体_GBK"/>
          <w:u w:val="none"/>
          <w:lang w:val="en-US" w:eastAsia="zh-CN"/>
        </w:rPr>
        <w:t>6.</w:t>
      </w:r>
      <w:r>
        <w:rPr>
          <w:rFonts w:hint="eastAsia" w:ascii="方正黑体_GBK" w:hAnsi="方正黑体_GBK" w:eastAsia="方正黑体_GBK" w:cs="方正黑体_GBK"/>
          <w:u w:val="none"/>
        </w:rPr>
        <w:t>铸牢中华民族共同体意识</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15</w:t>
      </w:r>
      <w:r>
        <w:rPr>
          <w:rFonts w:hint="eastAsia"/>
          <w:b/>
          <w:bCs/>
          <w:u w:val="none"/>
          <w:lang w:eastAsia="zh-CN"/>
        </w:rPr>
        <w:t>）</w:t>
      </w:r>
      <w:r>
        <w:rPr>
          <w:rFonts w:hint="eastAsia"/>
          <w:b/>
          <w:bCs/>
          <w:u w:val="none"/>
        </w:rPr>
        <w:t>广泛开展铸牢中华民族共同体意识宣传教育。</w:t>
      </w:r>
      <w:r>
        <w:rPr>
          <w:rFonts w:hint="eastAsia"/>
          <w:u w:val="none"/>
        </w:rPr>
        <w:t>推动将铸牢中华民族共同体意识教育纳入国民教育、干部培训，纳入宣传工作计划。组织开展铸牢中华民族共同体意识大培训。贯彻落实《四川省铸牢中华民族共同体意识工作方案》，制定我市贯彻落实措施。协调推进国家通用语言文字教育。</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16</w:t>
      </w:r>
      <w:r>
        <w:rPr>
          <w:rFonts w:hint="eastAsia"/>
          <w:b/>
          <w:bCs/>
          <w:u w:val="none"/>
          <w:lang w:eastAsia="zh-CN"/>
        </w:rPr>
        <w:t>）</w:t>
      </w:r>
      <w:r>
        <w:rPr>
          <w:rFonts w:hint="eastAsia"/>
          <w:b/>
          <w:bCs/>
          <w:u w:val="none"/>
        </w:rPr>
        <w:t>进一步深化民族团结进步示范创建</w:t>
      </w:r>
      <w:r>
        <w:rPr>
          <w:rFonts w:hint="eastAsia"/>
          <w:u w:val="none"/>
        </w:rPr>
        <w:t>。贯彻落实省委统战部《关于进一步深化民族团结进步创建工作指导意见》，制定我市贯彻落实措施。</w:t>
      </w:r>
      <w:r>
        <w:rPr>
          <w:rFonts w:eastAsia="方正仿宋_GBK"/>
          <w:sz w:val="33"/>
          <w:szCs w:val="33"/>
          <w:u w:val="none"/>
        </w:rPr>
        <w:t>深化民族团结进步示范创建，</w:t>
      </w:r>
      <w:r>
        <w:rPr>
          <w:rFonts w:hint="eastAsia" w:eastAsia="方正仿宋_GBK"/>
          <w:sz w:val="33"/>
          <w:szCs w:val="33"/>
          <w:u w:val="none"/>
        </w:rPr>
        <w:t>争创更多国家、省级民族团结进步示范单位</w:t>
      </w:r>
      <w:r>
        <w:rPr>
          <w:rFonts w:eastAsia="方正仿宋_GBK"/>
          <w:sz w:val="33"/>
          <w:szCs w:val="33"/>
          <w:u w:val="none"/>
        </w:rPr>
        <w:t>。</w:t>
      </w:r>
      <w:r>
        <w:rPr>
          <w:rFonts w:hint="eastAsia"/>
          <w:u w:val="none"/>
        </w:rPr>
        <w:t>促进民族文化传承保护与创新融合，大力加强民族团结进步示范村建设。</w:t>
      </w:r>
      <w:r>
        <w:rPr>
          <w:rFonts w:eastAsia="方正仿宋_GBK"/>
          <w:sz w:val="33"/>
          <w:szCs w:val="33"/>
          <w:u w:val="none"/>
        </w:rPr>
        <w:t>加强民族事务服务体系建设，</w:t>
      </w:r>
      <w:r>
        <w:rPr>
          <w:rFonts w:hint="eastAsia" w:eastAsia="方正仿宋_GBK"/>
          <w:sz w:val="33"/>
          <w:szCs w:val="33"/>
          <w:u w:val="none"/>
        </w:rPr>
        <w:t>持续</w:t>
      </w:r>
      <w:r>
        <w:rPr>
          <w:rFonts w:eastAsia="方正仿宋_GBK"/>
          <w:sz w:val="33"/>
          <w:szCs w:val="33"/>
          <w:u w:val="none"/>
        </w:rPr>
        <w:t>推进少数民族流动人口管理服务示范市创建工作，</w:t>
      </w:r>
      <w:r>
        <w:rPr>
          <w:rFonts w:hint="eastAsia"/>
          <w:u w:val="none"/>
        </w:rPr>
        <w:t>深化城市民族工作试点，</w:t>
      </w:r>
      <w:r>
        <w:rPr>
          <w:rFonts w:hint="eastAsia" w:eastAsia="方正仿宋_GBK"/>
          <w:sz w:val="33"/>
          <w:szCs w:val="33"/>
          <w:u w:val="none"/>
        </w:rPr>
        <w:t>改进</w:t>
      </w:r>
      <w:r>
        <w:rPr>
          <w:rFonts w:eastAsia="方正仿宋_GBK"/>
          <w:sz w:val="33"/>
          <w:szCs w:val="33"/>
          <w:u w:val="none"/>
        </w:rPr>
        <w:t>社区民族工作和企业民族工作</w:t>
      </w:r>
      <w:r>
        <w:rPr>
          <w:rFonts w:hint="eastAsia"/>
          <w:u w:val="none"/>
        </w:rPr>
        <w:t>。做好新疆籍流动人口服务管理工作。筹备市委民族工作会议。</w:t>
      </w:r>
    </w:p>
    <w:p>
      <w:pPr>
        <w:adjustRightInd w:val="0"/>
        <w:snapToGrid w:val="0"/>
        <w:spacing w:line="600" w:lineRule="exact"/>
        <w:ind w:firstLine="640" w:firstLineChars="200"/>
        <w:rPr>
          <w:rFonts w:ascii="方正黑体_GBK" w:hAnsi="方正黑体_GBK" w:eastAsia="方正黑体_GBK" w:cs="方正黑体_GBK"/>
          <w:u w:val="none"/>
        </w:rPr>
      </w:pPr>
      <w:r>
        <w:rPr>
          <w:rFonts w:hint="eastAsia" w:ascii="方正黑体_GBK" w:hAnsi="方正黑体_GBK" w:eastAsia="方正黑体_GBK" w:cs="方正黑体_GBK"/>
          <w:u w:val="none"/>
          <w:lang w:val="en-US" w:eastAsia="zh-CN"/>
        </w:rPr>
        <w:t>7.</w:t>
      </w:r>
      <w:r>
        <w:rPr>
          <w:rFonts w:hint="eastAsia" w:ascii="方正黑体_GBK" w:hAnsi="方正黑体_GBK" w:eastAsia="方正黑体_GBK" w:cs="方正黑体_GBK"/>
          <w:u w:val="none"/>
        </w:rPr>
        <w:t>坚持我国宗教中国化方向</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17</w:t>
      </w:r>
      <w:r>
        <w:rPr>
          <w:rFonts w:hint="eastAsia"/>
          <w:b/>
          <w:bCs/>
          <w:u w:val="none"/>
          <w:lang w:eastAsia="zh-CN"/>
        </w:rPr>
        <w:t>）</w:t>
      </w:r>
      <w:r>
        <w:rPr>
          <w:rFonts w:hint="eastAsia"/>
          <w:b/>
          <w:bCs/>
          <w:u w:val="none"/>
        </w:rPr>
        <w:t>提升宗教治理法治化水平</w:t>
      </w:r>
      <w:r>
        <w:rPr>
          <w:rFonts w:hint="eastAsia"/>
          <w:u w:val="none"/>
        </w:rPr>
        <w:t>。探索制定宗教事务依法管理源头治理长效机制，完善互联网宗教和农村宗教管理制度，贯彻落实四川省《&lt;宗教团体管理办法&gt;实施细则》。推进重点难点问题治理，开展佛道教商业化“回头看”、持续深入治理基督教私设聚会点和未登记组织。</w:t>
      </w:r>
      <w:r>
        <w:rPr>
          <w:rFonts w:hint="eastAsia" w:eastAsia="方正仿宋_GBK"/>
          <w:sz w:val="33"/>
          <w:szCs w:val="33"/>
          <w:u w:val="none"/>
        </w:rPr>
        <w:t>进一步</w:t>
      </w:r>
      <w:r>
        <w:rPr>
          <w:rFonts w:eastAsia="方正仿宋_GBK"/>
          <w:sz w:val="33"/>
          <w:szCs w:val="33"/>
          <w:u w:val="none"/>
        </w:rPr>
        <w:t>查漏补缺，强化宗教工作“三级网络”“两级责任制”落实，</w:t>
      </w:r>
      <w:r>
        <w:rPr>
          <w:rFonts w:hint="eastAsia"/>
          <w:sz w:val="33"/>
          <w:szCs w:val="33"/>
          <w:u w:val="none"/>
        </w:rPr>
        <w:t>狠抓殡葬问题整治、宗教场所迁建等重点难点问题解决，</w:t>
      </w:r>
      <w:r>
        <w:rPr>
          <w:rFonts w:eastAsia="方正仿宋_GBK"/>
          <w:sz w:val="33"/>
          <w:szCs w:val="33"/>
          <w:u w:val="none"/>
        </w:rPr>
        <w:t>持续巩固宗教工作督查整改成果。</w:t>
      </w:r>
      <w:r>
        <w:rPr>
          <w:rFonts w:hint="eastAsia"/>
          <w:u w:val="none"/>
        </w:rPr>
        <w:t>筹备全市宗教工作会议。</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18</w:t>
      </w:r>
      <w:r>
        <w:rPr>
          <w:rFonts w:hint="eastAsia"/>
          <w:b/>
          <w:bCs/>
          <w:u w:val="none"/>
          <w:lang w:eastAsia="zh-CN"/>
        </w:rPr>
        <w:t>）</w:t>
      </w:r>
      <w:r>
        <w:rPr>
          <w:rFonts w:hint="eastAsia"/>
          <w:b/>
          <w:bCs/>
          <w:u w:val="none"/>
        </w:rPr>
        <w:t>加强宗教界自身建设</w:t>
      </w:r>
      <w:r>
        <w:rPr>
          <w:rFonts w:hint="eastAsia"/>
          <w:u w:val="none"/>
        </w:rPr>
        <w:t>。加强对宗教界政治引领，指导宗教团体落实我国宗教中国化五年规划纲要，指导宗教界正确讲经解经。</w:t>
      </w:r>
      <w:r>
        <w:rPr>
          <w:rFonts w:hint="eastAsia" w:eastAsia="方正仿宋_GBK"/>
          <w:sz w:val="33"/>
          <w:szCs w:val="33"/>
          <w:u w:val="none"/>
        </w:rPr>
        <w:t>持续推进坚持我国宗教中国化方向工作，引导和助推宗教界持续开展好“读史学名著·助力中国化”“</w:t>
      </w:r>
      <w:bookmarkStart w:id="0" w:name="_GoBack"/>
      <w:bookmarkEnd w:id="0"/>
      <w:r>
        <w:rPr>
          <w:rFonts w:hint="eastAsia" w:eastAsia="方正仿宋_GBK"/>
          <w:sz w:val="33"/>
          <w:szCs w:val="33"/>
          <w:u w:val="none"/>
        </w:rPr>
        <w:t>爱国爱教爱家乡”等活动。</w:t>
      </w:r>
      <w:r>
        <w:rPr>
          <w:rFonts w:hint="eastAsia"/>
          <w:u w:val="none"/>
        </w:rPr>
        <w:t>持续推进中国化示范场所创建、</w:t>
      </w:r>
      <w:r>
        <w:rPr>
          <w:rFonts w:eastAsia="方正仿宋_GBK"/>
          <w:sz w:val="33"/>
          <w:szCs w:val="33"/>
          <w:u w:val="none"/>
        </w:rPr>
        <w:t>宗教活动场所规范化管理创建和安全宗教场所标准化建设</w:t>
      </w:r>
      <w:r>
        <w:rPr>
          <w:rFonts w:hint="eastAsia"/>
          <w:u w:val="none"/>
        </w:rPr>
        <w:t>。贯彻落实四川省《宗教团体换届工作办法》，扎实做好宗教团体换届基础工作。</w:t>
      </w:r>
    </w:p>
    <w:p>
      <w:pPr>
        <w:adjustRightInd w:val="0"/>
        <w:snapToGrid w:val="0"/>
        <w:spacing w:line="600" w:lineRule="exact"/>
        <w:ind w:firstLine="640" w:firstLineChars="200"/>
        <w:rPr>
          <w:rFonts w:ascii="方正黑体_GBK" w:hAnsi="方正黑体_GBK" w:eastAsia="方正黑体_GBK" w:cs="方正黑体_GBK"/>
          <w:u w:val="none"/>
        </w:rPr>
      </w:pPr>
      <w:r>
        <w:rPr>
          <w:rFonts w:hint="eastAsia" w:ascii="方正黑体_GBK" w:hAnsi="方正黑体_GBK" w:eastAsia="方正黑体_GBK" w:cs="方正黑体_GBK"/>
          <w:u w:val="none"/>
          <w:lang w:val="en-US" w:eastAsia="zh-CN"/>
        </w:rPr>
        <w:t>8.</w:t>
      </w:r>
      <w:r>
        <w:rPr>
          <w:rFonts w:hint="eastAsia" w:ascii="方正黑体_GBK" w:hAnsi="方正黑体_GBK" w:eastAsia="方正黑体_GBK" w:cs="方正黑体_GBK"/>
          <w:u w:val="none"/>
        </w:rPr>
        <w:t>扎实做好港澳台争取人心工作</w:t>
      </w:r>
    </w:p>
    <w:p>
      <w:pPr>
        <w:adjustRightInd w:val="0"/>
        <w:snapToGrid w:val="0"/>
        <w:spacing w:line="600" w:lineRule="exact"/>
        <w:ind w:firstLine="663"/>
        <w:rPr>
          <w:u w:val="none"/>
        </w:rPr>
      </w:pPr>
      <w:r>
        <w:rPr>
          <w:rFonts w:hint="eastAsia"/>
          <w:b/>
          <w:bCs/>
          <w:u w:val="none"/>
          <w:lang w:eastAsia="zh-CN"/>
        </w:rPr>
        <w:t>（</w:t>
      </w:r>
      <w:r>
        <w:rPr>
          <w:rFonts w:hint="eastAsia"/>
          <w:b/>
          <w:bCs/>
          <w:u w:val="none"/>
          <w:lang w:val="en-US" w:eastAsia="zh-CN"/>
        </w:rPr>
        <w:t>19</w:t>
      </w:r>
      <w:r>
        <w:rPr>
          <w:rFonts w:hint="eastAsia"/>
          <w:b/>
          <w:bCs/>
          <w:u w:val="none"/>
          <w:lang w:eastAsia="zh-CN"/>
        </w:rPr>
        <w:t>）</w:t>
      </w:r>
      <w:r>
        <w:rPr>
          <w:rFonts w:hint="eastAsia"/>
          <w:b/>
          <w:bCs/>
          <w:u w:val="none"/>
        </w:rPr>
        <w:t>完善港澳台工作布局</w:t>
      </w:r>
      <w:r>
        <w:rPr>
          <w:rFonts w:hint="eastAsia"/>
          <w:u w:val="none"/>
        </w:rPr>
        <w:t>。全面落实《关于支持爱国爱港力量发展壮大的意见》和《关于推进港澳台海外反“独”促统运动发展的意见（2021-2025年）》；推动成立我市统促会，发展壮大反“独”促统力量。</w:t>
      </w:r>
      <w:r>
        <w:rPr>
          <w:rFonts w:eastAsia="方正仿宋_GBK"/>
          <w:spacing w:val="-8"/>
          <w:sz w:val="33"/>
          <w:szCs w:val="33"/>
          <w:u w:val="none"/>
        </w:rPr>
        <w:t>通过各种途径进行入岛宣传，不断提升“英雄攀枝花 阳光康养地”在岛内的知名度和影响力。</w:t>
      </w:r>
      <w:r>
        <w:rPr>
          <w:rFonts w:hint="eastAsia"/>
          <w:spacing w:val="-8"/>
          <w:sz w:val="33"/>
          <w:szCs w:val="33"/>
          <w:u w:val="none"/>
        </w:rPr>
        <w:t>举办</w:t>
      </w:r>
      <w:r>
        <w:rPr>
          <w:rFonts w:eastAsia="方正仿宋_GBK"/>
          <w:spacing w:val="-8"/>
          <w:sz w:val="33"/>
          <w:szCs w:val="33"/>
          <w:u w:val="none"/>
        </w:rPr>
        <w:t>市、县换届后港澳台统战工作人员培训</w:t>
      </w:r>
      <w:r>
        <w:rPr>
          <w:rFonts w:hint="eastAsia"/>
          <w:spacing w:val="-8"/>
          <w:sz w:val="33"/>
          <w:szCs w:val="33"/>
          <w:u w:val="none"/>
        </w:rPr>
        <w:t>班</w:t>
      </w:r>
      <w:r>
        <w:rPr>
          <w:rFonts w:eastAsia="方正仿宋_GBK"/>
          <w:spacing w:val="-8"/>
          <w:sz w:val="33"/>
          <w:szCs w:val="33"/>
          <w:u w:val="none"/>
        </w:rPr>
        <w:t>。</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20</w:t>
      </w:r>
      <w:r>
        <w:rPr>
          <w:rFonts w:hint="eastAsia"/>
          <w:b/>
          <w:bCs/>
          <w:u w:val="none"/>
          <w:lang w:eastAsia="zh-CN"/>
        </w:rPr>
        <w:t>）</w:t>
      </w:r>
      <w:r>
        <w:rPr>
          <w:rFonts w:hint="eastAsia"/>
          <w:b/>
          <w:bCs/>
          <w:u w:val="none"/>
        </w:rPr>
        <w:t>抓好平台建设。</w:t>
      </w:r>
      <w:r>
        <w:rPr>
          <w:rFonts w:hint="eastAsia"/>
          <w:u w:val="none"/>
        </w:rPr>
        <w:t>开展市海联会换届。加大港澳台青年工作力度。</w:t>
      </w:r>
      <w:r>
        <w:rPr>
          <w:rFonts w:eastAsia="方正仿宋_GBK"/>
          <w:spacing w:val="-8"/>
          <w:sz w:val="33"/>
          <w:szCs w:val="33"/>
          <w:u w:val="none"/>
        </w:rPr>
        <w:t>切实加强现有经贸合作平台建设，推进“盐边台湾农民创业园”“川台农业合作示范基地”“川台文旅交流合作示范基地”建设。切实推进“健康中国—攀西红棉国际康养旅游度假区”建设，积极对接、协助并解决相关事宜。</w:t>
      </w:r>
    </w:p>
    <w:p>
      <w:pPr>
        <w:adjustRightInd w:val="0"/>
        <w:snapToGrid w:val="0"/>
        <w:spacing w:line="600" w:lineRule="exact"/>
        <w:ind w:firstLine="640" w:firstLineChars="200"/>
        <w:rPr>
          <w:rFonts w:ascii="方正黑体_GBK" w:hAnsi="方正黑体_GBK" w:eastAsia="方正黑体_GBK" w:cs="方正黑体_GBK"/>
          <w:u w:val="none"/>
        </w:rPr>
      </w:pPr>
      <w:r>
        <w:rPr>
          <w:rFonts w:hint="eastAsia" w:ascii="方正黑体_GBK" w:hAnsi="方正黑体_GBK" w:eastAsia="方正黑体_GBK" w:cs="方正黑体_GBK"/>
          <w:u w:val="none"/>
          <w:lang w:val="en-US" w:eastAsia="zh-CN"/>
        </w:rPr>
        <w:t>9.</w:t>
      </w:r>
      <w:r>
        <w:rPr>
          <w:rFonts w:hint="eastAsia" w:ascii="方正黑体_GBK" w:hAnsi="方正黑体_GBK" w:eastAsia="方正黑体_GBK" w:cs="方正黑体_GBK"/>
          <w:u w:val="none"/>
        </w:rPr>
        <w:t>推进海外统一战线工作和侨务工作创新发展</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21</w:t>
      </w:r>
      <w:r>
        <w:rPr>
          <w:rFonts w:hint="eastAsia"/>
          <w:b/>
          <w:bCs/>
          <w:u w:val="none"/>
          <w:lang w:eastAsia="zh-CN"/>
        </w:rPr>
        <w:t>）</w:t>
      </w:r>
      <w:r>
        <w:rPr>
          <w:rFonts w:hint="eastAsia"/>
          <w:b/>
          <w:bCs/>
          <w:u w:val="none"/>
        </w:rPr>
        <w:t>抓好海外统战工作制度建设。</w:t>
      </w:r>
      <w:r>
        <w:rPr>
          <w:rFonts w:hint="eastAsia"/>
          <w:u w:val="none"/>
        </w:rPr>
        <w:t>深入贯彻《中共中央关于加强新时代海外统战工作的意见》，健全联系重点人士工作制度，探索建立侨界代表人士评价培养机制。完善为侨服务体系，积极稳妥开展华侨“双稳”工作和“暖侨行动”。贯彻落实《四川省华侨权益保护条例》，切实维护华侨、归侨、侨眷合法权益。</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22</w:t>
      </w:r>
      <w:r>
        <w:rPr>
          <w:rFonts w:hint="eastAsia"/>
          <w:b/>
          <w:bCs/>
          <w:u w:val="none"/>
          <w:lang w:eastAsia="zh-CN"/>
        </w:rPr>
        <w:t>）</w:t>
      </w:r>
      <w:r>
        <w:rPr>
          <w:rFonts w:hint="eastAsia"/>
          <w:b/>
          <w:bCs/>
          <w:u w:val="none"/>
        </w:rPr>
        <w:t>以侨为媒推动我市经济社会发展。</w:t>
      </w:r>
      <w:r>
        <w:rPr>
          <w:rFonts w:eastAsia="方正仿宋_GBK"/>
          <w:spacing w:val="-8"/>
          <w:sz w:val="33"/>
          <w:szCs w:val="33"/>
          <w:u w:val="none"/>
        </w:rPr>
        <w:t>做好上级侨务部门举办的2021年“海科会”“华侨华人社团大会</w:t>
      </w:r>
      <w:r>
        <w:rPr>
          <w:rFonts w:eastAsia="方正仿宋_GBK"/>
          <w:color w:val="000000"/>
          <w:sz w:val="33"/>
          <w:szCs w:val="33"/>
          <w:u w:val="none"/>
        </w:rPr>
        <w:t>”等重大涉侨活动的组团参会工作。</w:t>
      </w:r>
      <w:r>
        <w:rPr>
          <w:rFonts w:eastAsia="方正仿宋_GBK"/>
          <w:spacing w:val="-8"/>
          <w:sz w:val="33"/>
          <w:szCs w:val="33"/>
          <w:u w:val="none"/>
        </w:rPr>
        <w:t>与市侨联摸清我市涉侨人员底数，分类建立数据库。加强与昆明、楚雄、丽江、大理等市州的统战部门联系，加强合作，共同涵养、利用好海外侨务资源。</w:t>
      </w:r>
      <w:r>
        <w:rPr>
          <w:rFonts w:eastAsia="方正仿宋_GBK"/>
          <w:color w:val="000000"/>
          <w:sz w:val="33"/>
          <w:szCs w:val="33"/>
          <w:u w:val="none"/>
        </w:rPr>
        <w:t>争取“侨爱（心）工程”，积极引导海外侨胞帮助我市各项公益事业建设。</w:t>
      </w:r>
    </w:p>
    <w:p>
      <w:pPr>
        <w:adjustRightInd w:val="0"/>
        <w:snapToGrid w:val="0"/>
        <w:spacing w:line="600" w:lineRule="exact"/>
        <w:ind w:firstLine="640" w:firstLineChars="200"/>
        <w:rPr>
          <w:rFonts w:ascii="方正黑体_GBK" w:hAnsi="方正黑体_GBK" w:eastAsia="方正黑体_GBK" w:cs="方正黑体_GBK"/>
          <w:u w:val="none"/>
        </w:rPr>
      </w:pPr>
      <w:r>
        <w:rPr>
          <w:rFonts w:hint="eastAsia" w:ascii="方正黑体_GBK" w:hAnsi="方正黑体_GBK" w:eastAsia="方正黑体_GBK" w:cs="方正黑体_GBK"/>
          <w:u w:val="none"/>
          <w:lang w:val="en-US" w:eastAsia="zh-CN"/>
        </w:rPr>
        <w:t>10.</w:t>
      </w:r>
      <w:r>
        <w:rPr>
          <w:rFonts w:hint="eastAsia" w:ascii="方正黑体_GBK" w:hAnsi="方正黑体_GBK" w:eastAsia="方正黑体_GBK" w:cs="方正黑体_GBK"/>
          <w:u w:val="none"/>
        </w:rPr>
        <w:t>全面推动基层统战工作</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23</w:t>
      </w:r>
      <w:r>
        <w:rPr>
          <w:rFonts w:hint="eastAsia"/>
          <w:b/>
          <w:bCs/>
          <w:u w:val="none"/>
          <w:lang w:eastAsia="zh-CN"/>
        </w:rPr>
        <w:t>）</w:t>
      </w:r>
      <w:r>
        <w:rPr>
          <w:rFonts w:hint="eastAsia"/>
          <w:b/>
          <w:bCs/>
          <w:u w:val="none"/>
        </w:rPr>
        <w:t>深入贯彻《关于加强基层统战工作的意见（试行）》。</w:t>
      </w:r>
      <w:r>
        <w:rPr>
          <w:rFonts w:hint="eastAsia"/>
          <w:u w:val="none"/>
        </w:rPr>
        <w:t>开展“基层统战工作质量年”活动，</w:t>
      </w:r>
      <w:r>
        <w:rPr>
          <w:rFonts w:eastAsia="方正仿宋_GBK"/>
          <w:sz w:val="33"/>
          <w:szCs w:val="33"/>
          <w:u w:val="none"/>
        </w:rPr>
        <w:t>制定2021年工作方案</w:t>
      </w:r>
      <w:r>
        <w:rPr>
          <w:rFonts w:hint="eastAsia"/>
          <w:sz w:val="33"/>
          <w:szCs w:val="33"/>
          <w:u w:val="none"/>
        </w:rPr>
        <w:t>，坚持一手抓基层统战工作创新实践基地这一有形品牌打造，一手抓特色工作制度、工作机制等无形品牌打造。制定</w:t>
      </w:r>
      <w:r>
        <w:rPr>
          <w:rFonts w:eastAsia="方正仿宋_GBK"/>
          <w:sz w:val="33"/>
          <w:szCs w:val="33"/>
          <w:u w:val="none"/>
        </w:rPr>
        <w:t>基层统战工作创新实践基地进退</w:t>
      </w:r>
      <w:r>
        <w:rPr>
          <w:rFonts w:hint="eastAsia"/>
          <w:sz w:val="33"/>
          <w:szCs w:val="33"/>
          <w:u w:val="none"/>
        </w:rPr>
        <w:t>办法</w:t>
      </w:r>
      <w:r>
        <w:rPr>
          <w:rFonts w:eastAsia="方正仿宋_GBK"/>
          <w:sz w:val="33"/>
          <w:szCs w:val="33"/>
          <w:u w:val="none"/>
        </w:rPr>
        <w:t>，并将进退情况作为年底考核依据。</w:t>
      </w:r>
    </w:p>
    <w:p>
      <w:pPr>
        <w:adjustRightInd w:val="0"/>
        <w:snapToGrid w:val="0"/>
        <w:spacing w:line="600" w:lineRule="exact"/>
        <w:ind w:firstLine="640" w:firstLineChars="200"/>
        <w:rPr>
          <w:rFonts w:ascii="方正黑体_GBK" w:hAnsi="方正黑体_GBK" w:eastAsia="方正黑体_GBK" w:cs="方正黑体_GBK"/>
          <w:u w:val="none"/>
        </w:rPr>
      </w:pPr>
      <w:r>
        <w:rPr>
          <w:rFonts w:hint="eastAsia" w:ascii="方正黑体_GBK" w:hAnsi="方正黑体_GBK" w:eastAsia="方正黑体_GBK" w:cs="方正黑体_GBK"/>
          <w:u w:val="none"/>
          <w:lang w:val="en-US" w:eastAsia="zh-CN"/>
        </w:rPr>
        <w:t>11.</w:t>
      </w:r>
      <w:r>
        <w:rPr>
          <w:rFonts w:hint="eastAsia" w:ascii="方正黑体_GBK" w:hAnsi="方正黑体_GBK" w:eastAsia="方正黑体_GBK" w:cs="方正黑体_GBK"/>
          <w:u w:val="none"/>
        </w:rPr>
        <w:t>加强统一战线宣传文化工作和数字统战工作</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24</w:t>
      </w:r>
      <w:r>
        <w:rPr>
          <w:rFonts w:hint="eastAsia"/>
          <w:b/>
          <w:bCs/>
          <w:u w:val="none"/>
          <w:lang w:eastAsia="zh-CN"/>
        </w:rPr>
        <w:t>）</w:t>
      </w:r>
      <w:r>
        <w:rPr>
          <w:rFonts w:hint="eastAsia"/>
          <w:b/>
          <w:bCs/>
          <w:u w:val="none"/>
        </w:rPr>
        <w:t>维护统战领域意识形态安全。</w:t>
      </w:r>
      <w:r>
        <w:rPr>
          <w:rFonts w:hint="eastAsia"/>
          <w:u w:val="none"/>
        </w:rPr>
        <w:t>落实意识形态工作责任制，防范化解风险隐患。</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25</w:t>
      </w:r>
      <w:r>
        <w:rPr>
          <w:rFonts w:hint="eastAsia"/>
          <w:b/>
          <w:bCs/>
          <w:u w:val="none"/>
          <w:lang w:eastAsia="zh-CN"/>
        </w:rPr>
        <w:t>）</w:t>
      </w:r>
      <w:r>
        <w:rPr>
          <w:rFonts w:hint="eastAsia"/>
          <w:b/>
          <w:bCs/>
          <w:u w:val="none"/>
        </w:rPr>
        <w:t>提升统战宣传文化和数字统战工作效能。</w:t>
      </w:r>
      <w:r>
        <w:rPr>
          <w:rFonts w:hint="eastAsia"/>
          <w:u w:val="none"/>
        </w:rPr>
        <w:t>坚持正确方向导向，坚持壮大主流舆论，深化运用省委统战部数字统战平台，提升攀枝花统一战线影响力。推广西区数字统战工作经验。</w:t>
      </w:r>
    </w:p>
    <w:p>
      <w:pPr>
        <w:adjustRightInd w:val="0"/>
        <w:snapToGrid w:val="0"/>
        <w:spacing w:line="600" w:lineRule="exact"/>
        <w:ind w:firstLine="640" w:firstLineChars="200"/>
        <w:rPr>
          <w:rFonts w:ascii="方正黑体_GBK" w:hAnsi="方正黑体_GBK" w:eastAsia="方正黑体_GBK" w:cs="方正黑体_GBK"/>
          <w:u w:val="none"/>
        </w:rPr>
      </w:pPr>
      <w:r>
        <w:rPr>
          <w:rFonts w:hint="eastAsia" w:ascii="方正黑体_GBK" w:hAnsi="方正黑体_GBK" w:eastAsia="方正黑体_GBK" w:cs="方正黑体_GBK"/>
          <w:u w:val="none"/>
          <w:lang w:val="en-US" w:eastAsia="zh-CN"/>
        </w:rPr>
        <w:t>12.</w:t>
      </w:r>
      <w:r>
        <w:rPr>
          <w:rFonts w:hint="eastAsia" w:ascii="方正黑体_GBK" w:hAnsi="方正黑体_GBK" w:eastAsia="方正黑体_GBK" w:cs="方正黑体_GBK"/>
          <w:u w:val="none"/>
        </w:rPr>
        <w:t>持续推动两支队伍建设</w:t>
      </w:r>
    </w:p>
    <w:p>
      <w:pPr>
        <w:adjustRightInd w:val="0"/>
        <w:snapToGrid w:val="0"/>
        <w:spacing w:line="600" w:lineRule="exact"/>
        <w:ind w:firstLine="643" w:firstLineChars="200"/>
        <w:rPr>
          <w:rFonts w:eastAsia="方正仿宋_GBK"/>
          <w:sz w:val="33"/>
          <w:szCs w:val="33"/>
          <w:u w:val="none"/>
        </w:rPr>
      </w:pPr>
      <w:r>
        <w:rPr>
          <w:rFonts w:hint="eastAsia"/>
          <w:b/>
          <w:bCs/>
          <w:u w:val="none"/>
          <w:lang w:eastAsia="zh-CN"/>
        </w:rPr>
        <w:t>（</w:t>
      </w:r>
      <w:r>
        <w:rPr>
          <w:rFonts w:hint="eastAsia"/>
          <w:b/>
          <w:bCs/>
          <w:u w:val="none"/>
          <w:lang w:val="en-US" w:eastAsia="zh-CN"/>
        </w:rPr>
        <w:t>26</w:t>
      </w:r>
      <w:r>
        <w:rPr>
          <w:rFonts w:hint="eastAsia"/>
          <w:b/>
          <w:bCs/>
          <w:u w:val="none"/>
          <w:lang w:eastAsia="zh-CN"/>
        </w:rPr>
        <w:t>）</w:t>
      </w:r>
      <w:r>
        <w:rPr>
          <w:rFonts w:hint="eastAsia"/>
          <w:b/>
          <w:bCs/>
          <w:u w:val="none"/>
        </w:rPr>
        <w:t>持续加强党外代表人士队伍建设。</w:t>
      </w:r>
      <w:r>
        <w:rPr>
          <w:rFonts w:hint="eastAsia"/>
          <w:u w:val="none"/>
        </w:rPr>
        <w:t>加大党外代表人士安排使用力度，配合做好市县乡领导班子换届工作。推动党外干部在各级人大、政府及其部门、政协、司法机关、群团组织、科研院所、国有企业领导班子中应配尽配。</w:t>
      </w:r>
      <w:r>
        <w:rPr>
          <w:rFonts w:eastAsia="方正仿宋_GBK"/>
          <w:sz w:val="33"/>
          <w:szCs w:val="33"/>
          <w:u w:val="none"/>
        </w:rPr>
        <w:t>加强党外干部实践锻炼、岗位历练，落实挂职干部“有实职、有实权、有实责”；探索建立来攀挂职党外干部</w:t>
      </w:r>
      <w:r>
        <w:rPr>
          <w:rFonts w:hint="eastAsia" w:eastAsia="方正仿宋_GBK"/>
          <w:sz w:val="33"/>
          <w:szCs w:val="33"/>
          <w:u w:val="none"/>
        </w:rPr>
        <w:t>挂职结束后</w:t>
      </w:r>
      <w:r>
        <w:rPr>
          <w:rFonts w:eastAsia="方正仿宋_GBK"/>
          <w:sz w:val="33"/>
          <w:szCs w:val="33"/>
          <w:u w:val="none"/>
        </w:rPr>
        <w:t>跟踪回访和联系工作机制，以情感为纽带，</w:t>
      </w:r>
      <w:r>
        <w:rPr>
          <w:rFonts w:hint="eastAsia" w:eastAsia="方正仿宋_GBK"/>
          <w:sz w:val="33"/>
          <w:szCs w:val="33"/>
          <w:u w:val="none"/>
        </w:rPr>
        <w:t>使其</w:t>
      </w:r>
      <w:r>
        <w:rPr>
          <w:rFonts w:eastAsia="方正仿宋_GBK"/>
          <w:sz w:val="33"/>
          <w:szCs w:val="33"/>
          <w:u w:val="none"/>
        </w:rPr>
        <w:t>继续关心支持攀枝花发展</w:t>
      </w:r>
      <w:r>
        <w:rPr>
          <w:rFonts w:hint="eastAsia" w:eastAsia="方正仿宋_GBK"/>
          <w:sz w:val="33"/>
          <w:szCs w:val="33"/>
          <w:u w:val="none"/>
        </w:rPr>
        <w:t>。</w:t>
      </w:r>
      <w:r>
        <w:rPr>
          <w:rFonts w:hint="eastAsia"/>
          <w:u w:val="none"/>
        </w:rPr>
        <w:t>加强党外代表人士培训培养，</w:t>
      </w:r>
      <w:r>
        <w:rPr>
          <w:rFonts w:eastAsia="方正仿宋_GBK"/>
          <w:sz w:val="33"/>
          <w:szCs w:val="33"/>
          <w:u w:val="none"/>
        </w:rPr>
        <w:t>建立“识别人才”“综合评价”“履职能力”标3个“标准体系”。</w:t>
      </w:r>
    </w:p>
    <w:p>
      <w:pPr>
        <w:adjustRightInd w:val="0"/>
        <w:snapToGrid w:val="0"/>
        <w:spacing w:line="600" w:lineRule="exact"/>
        <w:ind w:firstLine="643" w:firstLineChars="200"/>
        <w:rPr>
          <w:u w:val="none"/>
        </w:rPr>
      </w:pPr>
      <w:r>
        <w:rPr>
          <w:rFonts w:hint="eastAsia"/>
          <w:b/>
          <w:bCs/>
          <w:u w:val="none"/>
          <w:lang w:eastAsia="zh-CN"/>
        </w:rPr>
        <w:t>（</w:t>
      </w:r>
      <w:r>
        <w:rPr>
          <w:rFonts w:hint="eastAsia"/>
          <w:b/>
          <w:bCs/>
          <w:u w:val="none"/>
          <w:lang w:val="en-US" w:eastAsia="zh-CN"/>
        </w:rPr>
        <w:t>27</w:t>
      </w:r>
      <w:r>
        <w:rPr>
          <w:rFonts w:hint="eastAsia"/>
          <w:b/>
          <w:bCs/>
          <w:u w:val="none"/>
          <w:lang w:eastAsia="zh-CN"/>
        </w:rPr>
        <w:t>）</w:t>
      </w:r>
      <w:r>
        <w:rPr>
          <w:rFonts w:hint="eastAsia"/>
          <w:b/>
          <w:bCs/>
          <w:u w:val="none"/>
        </w:rPr>
        <w:t>持续推进统战干部队伍建设。</w:t>
      </w:r>
      <w:r>
        <w:rPr>
          <w:rFonts w:hint="eastAsia"/>
          <w:u w:val="none"/>
        </w:rPr>
        <w:t>落实新时代党的组织路线，树立和坚持正确选人用人导向，加强干部培养、交流和锻炼，加强全省统战干部政治能力、政策执行能力、调查研究能力、联谊交友能力、民主协商能力建设，培养一支政治坚定、业务精通、作风过硬的统战干部队伍。推动各县（区）党委统战部设立事业单位或增加事业编制，切实增强基层工作力量。</w:t>
      </w:r>
      <w:r>
        <w:rPr>
          <w:rFonts w:eastAsia="方正仿宋_GBK"/>
          <w:sz w:val="33"/>
          <w:szCs w:val="33"/>
          <w:u w:val="none"/>
        </w:rPr>
        <w:t>加强干部培训工作，全年安排各类培训</w:t>
      </w:r>
      <w:r>
        <w:rPr>
          <w:rFonts w:hint="eastAsia"/>
          <w:sz w:val="33"/>
          <w:szCs w:val="33"/>
          <w:u w:val="none"/>
        </w:rPr>
        <w:t>6</w:t>
      </w:r>
      <w:r>
        <w:rPr>
          <w:rFonts w:eastAsia="方正仿宋_GBK"/>
          <w:sz w:val="33"/>
          <w:szCs w:val="33"/>
          <w:u w:val="none"/>
        </w:rPr>
        <w:t>期</w:t>
      </w:r>
      <w:r>
        <w:rPr>
          <w:rFonts w:hint="eastAsia"/>
          <w:sz w:val="33"/>
          <w:szCs w:val="33"/>
          <w:u w:val="none"/>
        </w:rPr>
        <w:t>以上</w:t>
      </w:r>
      <w:r>
        <w:rPr>
          <w:rFonts w:eastAsia="方正仿宋_GBK"/>
          <w:sz w:val="33"/>
          <w:szCs w:val="33"/>
          <w:u w:val="none"/>
        </w:rPr>
        <w:t>，培训400人</w:t>
      </w:r>
      <w:r>
        <w:rPr>
          <w:rFonts w:hint="eastAsia"/>
          <w:sz w:val="33"/>
          <w:szCs w:val="33"/>
          <w:u w:val="none"/>
        </w:rPr>
        <w:t>以上</w:t>
      </w:r>
      <w:r>
        <w:rPr>
          <w:rFonts w:eastAsia="方正仿宋_GBK"/>
          <w:sz w:val="33"/>
          <w:szCs w:val="33"/>
          <w:u w:val="none"/>
        </w:rPr>
        <w:t>。</w:t>
      </w:r>
    </w:p>
    <w:p>
      <w:pPr>
        <w:adjustRightInd w:val="0"/>
        <w:snapToGrid w:val="0"/>
        <w:spacing w:line="600" w:lineRule="exact"/>
        <w:ind w:firstLine="640" w:firstLineChars="200"/>
        <w:rPr>
          <w:rFonts w:ascii="方正黑体_GBK" w:hAnsi="方正黑体_GBK" w:eastAsia="方正黑体_GBK" w:cs="方正黑体_GBK"/>
          <w:u w:val="none"/>
        </w:rPr>
      </w:pPr>
      <w:r>
        <w:rPr>
          <w:rFonts w:hint="eastAsia" w:ascii="方正黑体_GBK" w:hAnsi="方正黑体_GBK" w:eastAsia="方正黑体_GBK" w:cs="方正黑体_GBK"/>
          <w:u w:val="none"/>
          <w:lang w:val="en-US" w:eastAsia="zh-CN"/>
        </w:rPr>
        <w:t>13.</w:t>
      </w:r>
      <w:r>
        <w:rPr>
          <w:rFonts w:hint="eastAsia" w:ascii="方正黑体_GBK" w:hAnsi="方正黑体_GBK" w:eastAsia="方正黑体_GBK" w:cs="方正黑体_GBK"/>
          <w:u w:val="none"/>
        </w:rPr>
        <w:t>推动统战系统党的建设高质量发展</w:t>
      </w:r>
    </w:p>
    <w:p>
      <w:pPr>
        <w:adjustRightInd w:val="0"/>
        <w:snapToGrid w:val="0"/>
        <w:spacing w:line="600" w:lineRule="exact"/>
        <w:ind w:firstLine="640" w:firstLineChars="200"/>
        <w:rPr>
          <w:u w:val="none"/>
        </w:rPr>
      </w:pPr>
      <w:r>
        <w:rPr>
          <w:rFonts w:hint="eastAsia"/>
          <w:u w:val="none"/>
        </w:rPr>
        <w:t>围绕不断提高政治判断力、政治领悟力、政治执行力，强化政治站位、强化理论武装、强化落地落实、强化严实要求，发挥党建引领促进作用，进一步增强政治凝聚力。坚决履行全面从严治党主体责任和党风廉政建设“一岗双责”。巩固深化“不忘初心、牢记使命”主题教育成果，深入开展思想理论教育、先进典型教育、法纪教育和警示教育，加强廉政文化建设。认真贯彻执行民主集中制，提高部务会议事决策水平。深入开展省委巡视反馈意见中涉及市委统战部问题整改和市委巡察“回头看”工作，持续巩固整改成效。加强和规范党内政治生活，落实《关于新形势下党内政治生活的若干准则》，营造团结共事的工作氛围。坚决落实中央八项规定精神和省委省政府十项规定、市委市政府十项规定及其实施细则，深化整治形式主义、官僚主义突出问题。支持驻部纪检监察组发挥派驻监督作用。优化完善统战系统督查考评方式方法，更加有效有力推动工作开展。</w:t>
      </w:r>
    </w:p>
    <w:p>
      <w:pPr>
        <w:adjustRightInd w:val="0"/>
        <w:snapToGrid w:val="0"/>
        <w:spacing w:line="600" w:lineRule="exact"/>
        <w:ind w:firstLine="640" w:firstLineChars="200"/>
        <w:rPr>
          <w:u w:val="none"/>
        </w:rPr>
      </w:pPr>
      <w:r>
        <w:rPr>
          <w:rFonts w:hint="eastAsia"/>
          <w:u w:val="none"/>
        </w:rPr>
        <w:t>工商联2021年工作：</w:t>
      </w:r>
    </w:p>
    <w:p>
      <w:pPr>
        <w:adjustRightInd w:val="0"/>
        <w:snapToGrid w:val="0"/>
        <w:spacing w:line="600" w:lineRule="exact"/>
        <w:ind w:firstLine="640" w:firstLineChars="200"/>
        <w:rPr>
          <w:u w:val="none"/>
        </w:rPr>
      </w:pPr>
      <w:r>
        <w:rPr>
          <w:rFonts w:hint="eastAsia"/>
          <w:u w:val="none"/>
          <w:lang w:val="en-US" w:eastAsia="zh-CN"/>
        </w:rPr>
        <w:t>1.</w:t>
      </w:r>
      <w:r>
        <w:rPr>
          <w:rFonts w:hint="eastAsia"/>
          <w:u w:val="none"/>
        </w:rPr>
        <w:t>着力促进非公经济人士健康成长</w:t>
      </w:r>
    </w:p>
    <w:p>
      <w:pPr>
        <w:adjustRightInd w:val="0"/>
        <w:snapToGrid w:val="0"/>
        <w:spacing w:line="600" w:lineRule="exact"/>
        <w:ind w:firstLine="640" w:firstLineChars="200"/>
        <w:rPr>
          <w:u w:val="none"/>
        </w:rPr>
      </w:pPr>
      <w:r>
        <w:rPr>
          <w:rFonts w:hint="eastAsia"/>
          <w:u w:val="none"/>
          <w:lang w:eastAsia="zh-CN"/>
        </w:rPr>
        <w:t>（</w:t>
      </w:r>
      <w:r>
        <w:rPr>
          <w:rFonts w:hint="eastAsia"/>
          <w:u w:val="none"/>
          <w:lang w:val="en-US" w:eastAsia="zh-CN"/>
        </w:rPr>
        <w:t>1</w:t>
      </w:r>
      <w:r>
        <w:rPr>
          <w:rFonts w:hint="eastAsia"/>
          <w:u w:val="none"/>
          <w:lang w:eastAsia="zh-CN"/>
        </w:rPr>
        <w:t>）</w:t>
      </w:r>
      <w:r>
        <w:rPr>
          <w:rFonts w:hint="eastAsia"/>
          <w:u w:val="none"/>
        </w:rPr>
        <w:t>强化思想政治引领。组织非公经济人士认真学习贯彻习近平新时代中国特色社会主义思想和习近平总书记系列</w:t>
      </w:r>
      <w:r>
        <w:rPr>
          <w:rFonts w:hint="eastAsia"/>
          <w:u w:val="none"/>
          <w:lang w:val="en-US" w:eastAsia="zh-CN"/>
        </w:rPr>
        <w:t>重要</w:t>
      </w:r>
      <w:r>
        <w:rPr>
          <w:rFonts w:hint="eastAsia"/>
          <w:u w:val="none"/>
        </w:rPr>
        <w:t>讲话精神，持续开展非公经济人士理想信念教育活动，进一步凝聚共识、凝聚力量，切实增强非公经济人士“四个意识”，坚定“四个自信”，做到“两个维护”。</w:t>
      </w:r>
    </w:p>
    <w:p>
      <w:pPr>
        <w:adjustRightInd w:val="0"/>
        <w:snapToGrid w:val="0"/>
        <w:spacing w:line="600" w:lineRule="exact"/>
        <w:ind w:firstLine="640" w:firstLineChars="200"/>
        <w:rPr>
          <w:u w:val="none"/>
        </w:rPr>
      </w:pPr>
      <w:r>
        <w:rPr>
          <w:rFonts w:hint="eastAsia"/>
          <w:u w:val="none"/>
          <w:lang w:eastAsia="zh-CN"/>
        </w:rPr>
        <w:t>（</w:t>
      </w:r>
      <w:r>
        <w:rPr>
          <w:rFonts w:hint="eastAsia"/>
          <w:u w:val="none"/>
          <w:lang w:val="en-US" w:eastAsia="zh-CN"/>
        </w:rPr>
        <w:t>2</w:t>
      </w:r>
      <w:r>
        <w:rPr>
          <w:rFonts w:hint="eastAsia"/>
          <w:u w:val="none"/>
          <w:lang w:eastAsia="zh-CN"/>
        </w:rPr>
        <w:t>）</w:t>
      </w:r>
      <w:r>
        <w:rPr>
          <w:rFonts w:hint="eastAsia"/>
          <w:u w:val="none"/>
        </w:rPr>
        <w:t>提振发展信心。组织民营企业家深入学习习近平总书记关于毫不动摇鼓励、支持、引导非公有制经济发展的一系列重要讲话精神，深入学习中央、省、市支持民营经济健康发展的政策措施，引导民营企业家坚定发展信心、保持发展定力，深度融入我市“一二三五”战略部署，围绕做好“钒钛、阳光”两篇文章，“五个加快”建设，顺势而为，乘势而动，在助推攀枝花经济高质量发展中实现自身转型升级、做强做大。</w:t>
      </w:r>
    </w:p>
    <w:p>
      <w:pPr>
        <w:adjustRightInd w:val="0"/>
        <w:snapToGrid w:val="0"/>
        <w:spacing w:line="600" w:lineRule="exact"/>
        <w:ind w:firstLine="640" w:firstLineChars="200"/>
        <w:rPr>
          <w:u w:val="none"/>
        </w:rPr>
      </w:pPr>
      <w:r>
        <w:rPr>
          <w:rFonts w:hint="eastAsia"/>
          <w:u w:val="none"/>
          <w:lang w:eastAsia="zh-CN"/>
        </w:rPr>
        <w:t>（</w:t>
      </w:r>
      <w:r>
        <w:rPr>
          <w:rFonts w:hint="eastAsia"/>
          <w:u w:val="none"/>
          <w:lang w:val="en-US" w:eastAsia="zh-CN"/>
        </w:rPr>
        <w:t>3</w:t>
      </w:r>
      <w:r>
        <w:rPr>
          <w:rFonts w:hint="eastAsia"/>
          <w:u w:val="none"/>
          <w:lang w:eastAsia="zh-CN"/>
        </w:rPr>
        <w:t>）</w:t>
      </w:r>
      <w:r>
        <w:rPr>
          <w:rFonts w:hint="eastAsia"/>
          <w:u w:val="none"/>
        </w:rPr>
        <w:t>抓好民营企业高管培训。继续开展民营企业主要负责人及高管的培训，力争举办一期全市民营经济发展专题培训班，组织举办一次新一届执委培训活动，适时邀请相关专家或知名企业家来攀开展务实讲座，着力提高民营企业家的能力和素质。</w:t>
      </w:r>
    </w:p>
    <w:p>
      <w:pPr>
        <w:adjustRightInd w:val="0"/>
        <w:snapToGrid w:val="0"/>
        <w:spacing w:line="600" w:lineRule="exact"/>
        <w:ind w:firstLine="640" w:firstLineChars="200"/>
        <w:rPr>
          <w:u w:val="none"/>
        </w:rPr>
      </w:pPr>
      <w:r>
        <w:rPr>
          <w:rFonts w:hint="eastAsia"/>
          <w:u w:val="none"/>
          <w:lang w:eastAsia="zh-CN"/>
        </w:rPr>
        <w:t>（</w:t>
      </w:r>
      <w:r>
        <w:rPr>
          <w:rFonts w:hint="eastAsia"/>
          <w:u w:val="none"/>
          <w:lang w:val="en-US" w:eastAsia="zh-CN"/>
        </w:rPr>
        <w:t>4</w:t>
      </w:r>
      <w:r>
        <w:rPr>
          <w:rFonts w:hint="eastAsia"/>
          <w:u w:val="none"/>
          <w:lang w:eastAsia="zh-CN"/>
        </w:rPr>
        <w:t>）</w:t>
      </w:r>
      <w:r>
        <w:rPr>
          <w:rFonts w:hint="eastAsia"/>
          <w:u w:val="none"/>
        </w:rPr>
        <w:t>推动履行社会责任。积极引导和组织民营企业家奉献爱心，开展“万企兴万村”行动和光彩事业、公益慈善活动；积极引导和支持民营企业家在构建和谐劳动关系、促进就业、关爱员工、依法纳税、节约资源、保护环境等方面发挥更加重要的作用。</w:t>
      </w:r>
    </w:p>
    <w:p>
      <w:pPr>
        <w:adjustRightInd w:val="0"/>
        <w:snapToGrid w:val="0"/>
        <w:spacing w:line="600" w:lineRule="exact"/>
        <w:ind w:firstLine="640" w:firstLineChars="200"/>
        <w:rPr>
          <w:u w:val="none"/>
        </w:rPr>
      </w:pPr>
      <w:r>
        <w:rPr>
          <w:rFonts w:hint="eastAsia"/>
          <w:u w:val="none"/>
          <w:lang w:eastAsia="zh-CN"/>
        </w:rPr>
        <w:t>（</w:t>
      </w:r>
      <w:r>
        <w:rPr>
          <w:rFonts w:hint="eastAsia"/>
          <w:u w:val="none"/>
          <w:lang w:val="en-US" w:eastAsia="zh-CN"/>
        </w:rPr>
        <w:t>5</w:t>
      </w:r>
      <w:r>
        <w:rPr>
          <w:rFonts w:hint="eastAsia"/>
          <w:u w:val="none"/>
          <w:lang w:eastAsia="zh-CN"/>
        </w:rPr>
        <w:t>）</w:t>
      </w:r>
      <w:r>
        <w:rPr>
          <w:rFonts w:hint="eastAsia"/>
          <w:u w:val="none"/>
        </w:rPr>
        <w:t>大力弘扬企业家精神。持续开展“民营企业50强”“优秀民营企业家”“优秀职业经理人”“优秀创新型人才”“诚信企业”“精准扶贫行动先进单位”“光彩事业先进单位”等民营经济先进典型的审报认定工作，切实加强宣传，着力引导民营企业家做爱国敬业、守法经营、创业创新、回报社会的典范。</w:t>
      </w:r>
    </w:p>
    <w:p>
      <w:pPr>
        <w:adjustRightInd w:val="0"/>
        <w:snapToGrid w:val="0"/>
        <w:spacing w:line="600" w:lineRule="exact"/>
        <w:ind w:firstLine="640" w:firstLineChars="200"/>
        <w:rPr>
          <w:u w:val="none"/>
        </w:rPr>
      </w:pPr>
      <w:r>
        <w:rPr>
          <w:rFonts w:hint="eastAsia"/>
          <w:u w:val="none"/>
          <w:lang w:val="en-US" w:eastAsia="zh-CN"/>
        </w:rPr>
        <w:t>2.</w:t>
      </w:r>
      <w:r>
        <w:rPr>
          <w:rFonts w:hint="eastAsia"/>
          <w:u w:val="none"/>
        </w:rPr>
        <w:t>着力促进民营经济健康发展</w:t>
      </w:r>
    </w:p>
    <w:p>
      <w:pPr>
        <w:adjustRightInd w:val="0"/>
        <w:snapToGrid w:val="0"/>
        <w:spacing w:line="600" w:lineRule="exact"/>
        <w:ind w:firstLine="640" w:firstLineChars="200"/>
        <w:rPr>
          <w:u w:val="none"/>
        </w:rPr>
      </w:pPr>
      <w:r>
        <w:rPr>
          <w:rFonts w:hint="eastAsia"/>
          <w:u w:val="none"/>
          <w:lang w:eastAsia="zh-CN"/>
        </w:rPr>
        <w:t>（</w:t>
      </w:r>
      <w:r>
        <w:rPr>
          <w:rFonts w:hint="eastAsia"/>
          <w:u w:val="none"/>
          <w:lang w:val="en-US" w:eastAsia="zh-CN"/>
        </w:rPr>
        <w:t>6</w:t>
      </w:r>
      <w:r>
        <w:rPr>
          <w:rFonts w:hint="eastAsia"/>
          <w:u w:val="none"/>
          <w:lang w:eastAsia="zh-CN"/>
        </w:rPr>
        <w:t>）</w:t>
      </w:r>
      <w:r>
        <w:rPr>
          <w:rFonts w:hint="eastAsia"/>
          <w:u w:val="none"/>
        </w:rPr>
        <w:t>搭建好政企沟通平台。按要求承办好市委、市政府民营企业家新春座谈会，认真做好市级领导联系民营重点企业和商协会工作，着力帮助民营企业（商协会）解决实际困难。</w:t>
      </w:r>
    </w:p>
    <w:p>
      <w:pPr>
        <w:adjustRightInd w:val="0"/>
        <w:snapToGrid w:val="0"/>
        <w:spacing w:line="600" w:lineRule="exact"/>
        <w:ind w:firstLine="640" w:firstLineChars="200"/>
        <w:rPr>
          <w:u w:val="none"/>
        </w:rPr>
      </w:pPr>
      <w:r>
        <w:rPr>
          <w:rFonts w:hint="eastAsia"/>
          <w:u w:val="none"/>
          <w:lang w:eastAsia="zh-CN"/>
        </w:rPr>
        <w:t>（</w:t>
      </w:r>
      <w:r>
        <w:rPr>
          <w:rFonts w:hint="eastAsia"/>
          <w:u w:val="none"/>
          <w:lang w:val="en-US" w:eastAsia="zh-CN"/>
        </w:rPr>
        <w:t>7</w:t>
      </w:r>
      <w:r>
        <w:rPr>
          <w:rFonts w:hint="eastAsia"/>
          <w:u w:val="none"/>
          <w:lang w:eastAsia="zh-CN"/>
        </w:rPr>
        <w:t>）</w:t>
      </w:r>
      <w:r>
        <w:rPr>
          <w:rFonts w:hint="eastAsia"/>
          <w:u w:val="none"/>
        </w:rPr>
        <w:t>推动民营企业高质量发展。积极配合相关部门，努力推动“亲”“清”新型政商关系的构建；加强涉及民营经济相关政策的宣传解读，帮助民营企业用足政策；着力引导民营企业践行“创新、协调、绿色、开放、共享”的新发展理念，走高质量发展道路。</w:t>
      </w:r>
    </w:p>
    <w:p>
      <w:pPr>
        <w:adjustRightInd w:val="0"/>
        <w:snapToGrid w:val="0"/>
        <w:spacing w:line="600" w:lineRule="exact"/>
        <w:ind w:firstLine="640" w:firstLineChars="200"/>
        <w:rPr>
          <w:u w:val="none"/>
        </w:rPr>
      </w:pPr>
      <w:r>
        <w:rPr>
          <w:rFonts w:hint="eastAsia"/>
          <w:u w:val="none"/>
          <w:lang w:eastAsia="zh-CN"/>
        </w:rPr>
        <w:t>（</w:t>
      </w:r>
      <w:r>
        <w:rPr>
          <w:rFonts w:hint="eastAsia"/>
          <w:u w:val="none"/>
          <w:lang w:val="en-US" w:eastAsia="zh-CN"/>
        </w:rPr>
        <w:t>8</w:t>
      </w:r>
      <w:r>
        <w:rPr>
          <w:rFonts w:hint="eastAsia"/>
          <w:u w:val="none"/>
          <w:lang w:eastAsia="zh-CN"/>
        </w:rPr>
        <w:t>）</w:t>
      </w:r>
      <w:r>
        <w:rPr>
          <w:rFonts w:hint="eastAsia"/>
          <w:u w:val="none"/>
        </w:rPr>
        <w:t>着力维护民营企业合法权益。密切与公检法司和政府有关职能部门的联系，畅通维权工作渠道，积极发挥市总商会人民调解委员会作用，针对民营企业诉求，加强沟通协调，着力维护企业合法权益。</w:t>
      </w:r>
    </w:p>
    <w:p>
      <w:pPr>
        <w:adjustRightInd w:val="0"/>
        <w:snapToGrid w:val="0"/>
        <w:spacing w:line="600" w:lineRule="exact"/>
        <w:ind w:firstLine="640" w:firstLineChars="200"/>
        <w:rPr>
          <w:u w:val="none"/>
        </w:rPr>
      </w:pPr>
      <w:r>
        <w:rPr>
          <w:rFonts w:hint="eastAsia"/>
          <w:u w:val="none"/>
          <w:lang w:eastAsia="zh-CN"/>
        </w:rPr>
        <w:t>（</w:t>
      </w:r>
      <w:r>
        <w:rPr>
          <w:rFonts w:hint="eastAsia"/>
          <w:u w:val="none"/>
          <w:lang w:val="en-US" w:eastAsia="zh-CN"/>
        </w:rPr>
        <w:t>9</w:t>
      </w:r>
      <w:r>
        <w:rPr>
          <w:rFonts w:hint="eastAsia"/>
          <w:u w:val="none"/>
          <w:lang w:eastAsia="zh-CN"/>
        </w:rPr>
        <w:t>）</w:t>
      </w:r>
      <w:r>
        <w:rPr>
          <w:rFonts w:hint="eastAsia"/>
          <w:u w:val="none"/>
        </w:rPr>
        <w:t>积极开展对外联络工作。切实加强与省内外其它地区工商联、商协会、经济组织和企业间的交流、互动；组织企业家外出开展商务考察交流活动，推动我市民营企业与外地企业交流合作，引导我市民营企业“走出去”开拓市场；充分发挥民间商会和企业家联系面广、熟悉产业链上下游的优势，协助相关部门积极开展以商招商、延链招商，引进新项目，培育新的增长点。</w:t>
      </w:r>
    </w:p>
    <w:p>
      <w:pPr>
        <w:adjustRightInd w:val="0"/>
        <w:snapToGrid w:val="0"/>
        <w:spacing w:line="600" w:lineRule="exact"/>
        <w:ind w:firstLine="640" w:firstLineChars="200"/>
        <w:rPr>
          <w:u w:val="none"/>
        </w:rPr>
      </w:pPr>
      <w:r>
        <w:rPr>
          <w:rFonts w:hint="eastAsia"/>
          <w:u w:val="none"/>
          <w:lang w:val="en-US" w:eastAsia="zh-CN"/>
        </w:rPr>
        <w:t>3.</w:t>
      </w:r>
      <w:r>
        <w:rPr>
          <w:rFonts w:hint="eastAsia"/>
          <w:u w:val="none"/>
        </w:rPr>
        <w:t>着力做好建言献策工作</w:t>
      </w:r>
    </w:p>
    <w:p>
      <w:pPr>
        <w:adjustRightInd w:val="0"/>
        <w:snapToGrid w:val="0"/>
        <w:spacing w:line="600" w:lineRule="exact"/>
        <w:ind w:firstLine="640" w:firstLineChars="200"/>
        <w:rPr>
          <w:u w:val="none"/>
        </w:rPr>
      </w:pPr>
      <w:r>
        <w:rPr>
          <w:rFonts w:hint="eastAsia"/>
          <w:u w:val="none"/>
          <w:lang w:eastAsia="zh-CN"/>
        </w:rPr>
        <w:t>（</w:t>
      </w:r>
      <w:r>
        <w:rPr>
          <w:rFonts w:hint="eastAsia"/>
          <w:u w:val="none"/>
          <w:lang w:val="en-US" w:eastAsia="zh-CN"/>
        </w:rPr>
        <w:t>10</w:t>
      </w:r>
      <w:r>
        <w:rPr>
          <w:rFonts w:hint="eastAsia"/>
          <w:u w:val="none"/>
          <w:lang w:eastAsia="zh-CN"/>
        </w:rPr>
        <w:t>）</w:t>
      </w:r>
      <w:r>
        <w:rPr>
          <w:rFonts w:hint="eastAsia"/>
          <w:u w:val="none"/>
        </w:rPr>
        <w:t>深入开展调查研究。围绕做好“钒钛”“阳光”两篇文章、“五个加快”建设，针对非公经济发展的热点、难点问题，整合系统力量，深入开展调研活动，扎实做好全市统一战线建言献策会发言及市政协大会发言和集体提案工作。</w:t>
      </w:r>
    </w:p>
    <w:p>
      <w:pPr>
        <w:adjustRightInd w:val="0"/>
        <w:snapToGrid w:val="0"/>
        <w:spacing w:line="600" w:lineRule="exact"/>
        <w:ind w:firstLine="640" w:firstLineChars="200"/>
        <w:rPr>
          <w:u w:val="none"/>
        </w:rPr>
      </w:pPr>
      <w:r>
        <w:rPr>
          <w:rFonts w:hint="eastAsia"/>
          <w:u w:val="none"/>
          <w:lang w:eastAsia="zh-CN"/>
        </w:rPr>
        <w:t>（</w:t>
      </w:r>
      <w:r>
        <w:rPr>
          <w:rFonts w:hint="eastAsia"/>
          <w:u w:val="none"/>
          <w:lang w:val="en-US" w:eastAsia="zh-CN"/>
        </w:rPr>
        <w:t>11</w:t>
      </w:r>
      <w:r>
        <w:rPr>
          <w:rFonts w:hint="eastAsia"/>
          <w:u w:val="none"/>
          <w:lang w:eastAsia="zh-CN"/>
        </w:rPr>
        <w:t>）</w:t>
      </w:r>
      <w:r>
        <w:rPr>
          <w:rFonts w:hint="eastAsia"/>
          <w:u w:val="none"/>
        </w:rPr>
        <w:t>积极争取上级支持。积极争取上级工商联及所属商协会赴攀开展各项调研，力促在更高平台，更高层面推动制约全市非公经济发展的共性问题的解决。</w:t>
      </w:r>
    </w:p>
    <w:p>
      <w:pPr>
        <w:adjustRightInd w:val="0"/>
        <w:snapToGrid w:val="0"/>
        <w:spacing w:line="600" w:lineRule="exact"/>
        <w:ind w:firstLine="640" w:firstLineChars="200"/>
        <w:rPr>
          <w:u w:val="none"/>
        </w:rPr>
      </w:pPr>
      <w:r>
        <w:rPr>
          <w:rFonts w:hint="eastAsia"/>
          <w:u w:val="none"/>
          <w:lang w:val="en-US" w:eastAsia="zh-CN"/>
        </w:rPr>
        <w:t>4.</w:t>
      </w:r>
      <w:r>
        <w:rPr>
          <w:rFonts w:hint="eastAsia"/>
          <w:u w:val="none"/>
        </w:rPr>
        <w:t>着力加强组织建设</w:t>
      </w:r>
    </w:p>
    <w:p>
      <w:pPr>
        <w:adjustRightInd w:val="0"/>
        <w:snapToGrid w:val="0"/>
        <w:spacing w:line="600" w:lineRule="exact"/>
        <w:ind w:firstLine="640" w:firstLineChars="200"/>
        <w:rPr>
          <w:u w:val="none"/>
        </w:rPr>
      </w:pPr>
      <w:r>
        <w:rPr>
          <w:rFonts w:hint="eastAsia"/>
          <w:u w:val="none"/>
          <w:lang w:eastAsia="zh-CN"/>
        </w:rPr>
        <w:t>（</w:t>
      </w:r>
      <w:r>
        <w:rPr>
          <w:rFonts w:hint="eastAsia"/>
          <w:u w:val="none"/>
          <w:lang w:val="en-US" w:eastAsia="zh-CN"/>
        </w:rPr>
        <w:t>12</w:t>
      </w:r>
      <w:r>
        <w:rPr>
          <w:rFonts w:hint="eastAsia"/>
          <w:u w:val="none"/>
          <w:lang w:eastAsia="zh-CN"/>
        </w:rPr>
        <w:t>）</w:t>
      </w:r>
      <w:r>
        <w:rPr>
          <w:rFonts w:hint="eastAsia"/>
          <w:u w:val="none"/>
        </w:rPr>
        <w:t xml:space="preserve">完成换届工作。按照省委、市委关于工商联换届工作要求，顺利完成工商联换届工作。  </w:t>
      </w:r>
    </w:p>
    <w:p>
      <w:pPr>
        <w:adjustRightInd w:val="0"/>
        <w:snapToGrid w:val="0"/>
        <w:spacing w:line="600" w:lineRule="exact"/>
        <w:ind w:firstLine="640" w:firstLineChars="200"/>
        <w:rPr>
          <w:u w:val="none"/>
        </w:rPr>
      </w:pPr>
      <w:r>
        <w:rPr>
          <w:rFonts w:hint="eastAsia"/>
          <w:u w:val="none"/>
          <w:lang w:eastAsia="zh-CN"/>
        </w:rPr>
        <w:t>（</w:t>
      </w:r>
      <w:r>
        <w:rPr>
          <w:rFonts w:hint="eastAsia"/>
          <w:u w:val="none"/>
          <w:lang w:val="en-US" w:eastAsia="zh-CN"/>
        </w:rPr>
        <w:t>13</w:t>
      </w:r>
      <w:r>
        <w:rPr>
          <w:rFonts w:hint="eastAsia"/>
          <w:u w:val="none"/>
          <w:lang w:eastAsia="zh-CN"/>
        </w:rPr>
        <w:t>）</w:t>
      </w:r>
      <w:r>
        <w:rPr>
          <w:rFonts w:hint="eastAsia"/>
          <w:u w:val="none"/>
        </w:rPr>
        <w:t>加强对县区工商联的指导。指导各县区工商联积极创建全国“五好”县级工商联工作，在继续保持和巩固提升米易、盐边两县工商联创建成果的同时，切实加强三区工商联创建工作推进力度，力争创建工作取得明显成效。</w:t>
      </w:r>
    </w:p>
    <w:p>
      <w:pPr>
        <w:adjustRightInd w:val="0"/>
        <w:snapToGrid w:val="0"/>
        <w:spacing w:line="600" w:lineRule="exact"/>
        <w:ind w:firstLine="640" w:firstLineChars="200"/>
        <w:rPr>
          <w:u w:val="none"/>
        </w:rPr>
      </w:pPr>
      <w:r>
        <w:rPr>
          <w:rFonts w:hint="eastAsia"/>
          <w:u w:val="none"/>
          <w:lang w:eastAsia="zh-CN"/>
        </w:rPr>
        <w:t>（</w:t>
      </w:r>
      <w:r>
        <w:rPr>
          <w:rFonts w:hint="eastAsia"/>
          <w:u w:val="none"/>
          <w:lang w:val="en-US" w:eastAsia="zh-CN"/>
        </w:rPr>
        <w:t>14</w:t>
      </w:r>
      <w:r>
        <w:rPr>
          <w:rFonts w:hint="eastAsia"/>
          <w:u w:val="none"/>
          <w:lang w:eastAsia="zh-CN"/>
        </w:rPr>
        <w:t>）</w:t>
      </w:r>
      <w:r>
        <w:rPr>
          <w:rFonts w:hint="eastAsia"/>
          <w:u w:val="none"/>
        </w:rPr>
        <w:t>积极推进商协会建设和会员发展。推动《攀枝花市促进工商联所属商会改革发展工作方案》各项工作任务的落实，新组建和吸收发展商协会5个以上；按照“四好”商会标准指导所属商协会加强商协会建设，建成“四好”商会2家以上；持续推进“网上工商联”会员数据录入工作。</w:t>
      </w:r>
    </w:p>
    <w:p>
      <w:pPr>
        <w:adjustRightInd w:val="0"/>
        <w:snapToGrid w:val="0"/>
        <w:spacing w:line="600" w:lineRule="exact"/>
        <w:ind w:firstLine="640" w:firstLineChars="200"/>
        <w:rPr>
          <w:u w:val="none"/>
        </w:rPr>
      </w:pPr>
      <w:r>
        <w:rPr>
          <w:rFonts w:hint="eastAsia"/>
          <w:u w:val="none"/>
          <w:lang w:eastAsia="zh-CN"/>
        </w:rPr>
        <w:t>（</w:t>
      </w:r>
      <w:r>
        <w:rPr>
          <w:rFonts w:hint="eastAsia"/>
          <w:u w:val="none"/>
          <w:lang w:val="en-US" w:eastAsia="zh-CN"/>
        </w:rPr>
        <w:t>15</w:t>
      </w:r>
      <w:r>
        <w:rPr>
          <w:rFonts w:hint="eastAsia"/>
          <w:u w:val="none"/>
          <w:lang w:eastAsia="zh-CN"/>
        </w:rPr>
        <w:t>）</w:t>
      </w:r>
      <w:r>
        <w:rPr>
          <w:rFonts w:hint="eastAsia"/>
          <w:u w:val="none"/>
        </w:rPr>
        <w:t>促进非公党建工作。发挥总商会党委作用，指导所属商协会做好党建工作，指导总商会党委下属支部做好党建信息化平台建设工作；指导未成立党组织的商协会做好筹建党组织的工作；按照上级党组织要求，做好党员培养发展等工作。</w:t>
      </w:r>
    </w:p>
    <w:p>
      <w:pPr>
        <w:adjustRightInd w:val="0"/>
        <w:snapToGrid w:val="0"/>
        <w:spacing w:line="600" w:lineRule="exact"/>
        <w:ind w:firstLine="640" w:firstLineChars="200"/>
        <w:rPr>
          <w:u w:val="none"/>
        </w:rPr>
      </w:pPr>
      <w:r>
        <w:rPr>
          <w:rFonts w:hint="eastAsia"/>
          <w:u w:val="none"/>
          <w:lang w:eastAsia="zh-CN"/>
        </w:rPr>
        <w:t>（</w:t>
      </w:r>
      <w:r>
        <w:rPr>
          <w:rFonts w:hint="eastAsia"/>
          <w:u w:val="none"/>
          <w:lang w:val="en-US" w:eastAsia="zh-CN"/>
        </w:rPr>
        <w:t>16</w:t>
      </w:r>
      <w:r>
        <w:rPr>
          <w:rFonts w:hint="eastAsia"/>
          <w:u w:val="none"/>
          <w:lang w:eastAsia="zh-CN"/>
        </w:rPr>
        <w:t>）</w:t>
      </w:r>
      <w:r>
        <w:rPr>
          <w:rFonts w:hint="eastAsia"/>
          <w:u w:val="none"/>
        </w:rPr>
        <w:t>加强机关自身建设。加强学习教育，认真开展时政和业务知识学习教育，着力提高干部素质；强化工作纪律，加强制度管理，提高执行力，筑牢廉洁防线、思想防线。强化工作监督，对干部职工严管厚爱，靠实干成事、拿实绩说话，确保各项工作再上新台阶。</w:t>
      </w:r>
    </w:p>
    <w:p>
      <w:pPr>
        <w:spacing w:line="600" w:lineRule="exact"/>
        <w:ind w:firstLine="640" w:firstLineChars="200"/>
        <w:rPr>
          <w:rFonts w:ascii="黑体" w:eastAsia="黑体"/>
          <w:u w:val="none"/>
        </w:rPr>
      </w:pPr>
      <w:r>
        <w:rPr>
          <w:rFonts w:hint="eastAsia" w:ascii="黑体" w:eastAsia="黑体"/>
          <w:u w:val="none"/>
        </w:rPr>
        <w:t>二、单位构成情况</w:t>
      </w:r>
    </w:p>
    <w:p>
      <w:pPr>
        <w:spacing w:line="600" w:lineRule="exact"/>
        <w:ind w:firstLine="640" w:firstLineChars="200"/>
        <w:rPr>
          <w:rFonts w:ascii="仿宋_GB2312"/>
          <w:u w:val="none"/>
        </w:rPr>
      </w:pPr>
      <w:r>
        <w:rPr>
          <w:rFonts w:hint="eastAsia" w:ascii="仿宋_GB2312"/>
          <w:u w:val="none"/>
        </w:rPr>
        <w:t>市委统战部包含非独立核算单位13个，其中行政单位9个，参照公务员法管理的事业单位0个，其他事业单位2个，其他单位2个。主要包括：市委统战部，民革攀枝花市委，民盟攀枝花市委，民进攀枝花市委，农工党攀枝花市委，致公党攀枝花市委，九三学社攀枝花市委，民建攀枝花市基层委员会，市工商联，非公经济服务中心和维权中心，民主党派服务中心、攀枝花市党外知识分子联谊会和新的社会阶层联谊会。</w:t>
      </w:r>
    </w:p>
    <w:p>
      <w:pPr>
        <w:spacing w:line="600" w:lineRule="exact"/>
        <w:ind w:firstLine="640" w:firstLineChars="200"/>
        <w:rPr>
          <w:rFonts w:ascii="黑体" w:eastAsia="黑体"/>
          <w:u w:val="none"/>
        </w:rPr>
      </w:pPr>
      <w:r>
        <w:rPr>
          <w:rFonts w:hint="eastAsia" w:ascii="黑体" w:eastAsia="黑体"/>
          <w:u w:val="none"/>
        </w:rPr>
        <w:t>三、收支预算情况说明</w:t>
      </w:r>
    </w:p>
    <w:p>
      <w:pPr>
        <w:spacing w:line="600" w:lineRule="exact"/>
        <w:ind w:firstLine="640" w:firstLineChars="200"/>
        <w:rPr>
          <w:rFonts w:ascii="仿宋_GB2312"/>
          <w:u w:val="none"/>
        </w:rPr>
      </w:pPr>
      <w:r>
        <w:rPr>
          <w:rFonts w:hint="eastAsia"/>
          <w:u w:val="none"/>
        </w:rPr>
        <w:t>按照综合预算的原则，市委统战部</w:t>
      </w:r>
      <w:r>
        <w:rPr>
          <w:rFonts w:hint="eastAsia" w:ascii="仿宋_GB2312"/>
          <w:u w:val="none"/>
        </w:rPr>
        <w:t>所有收入和支出均纳入部门预算管理。收入包括：一般公共预算拨款收入</w:t>
      </w:r>
      <w:r>
        <w:rPr>
          <w:rFonts w:ascii="仿宋_GB2312"/>
          <w:u w:val="none"/>
        </w:rPr>
        <w:t>2059</w:t>
      </w:r>
      <w:r>
        <w:rPr>
          <w:rFonts w:hint="eastAsia" w:ascii="仿宋_GB2312"/>
          <w:u w:val="none"/>
        </w:rPr>
        <w:t>.</w:t>
      </w:r>
      <w:r>
        <w:rPr>
          <w:rFonts w:ascii="仿宋_GB2312"/>
          <w:u w:val="none"/>
        </w:rPr>
        <w:t>6067</w:t>
      </w:r>
      <w:r>
        <w:rPr>
          <w:rFonts w:hint="eastAsia" w:ascii="仿宋_GB2312"/>
          <w:u w:val="none"/>
        </w:rPr>
        <w:t>万元、政府性基金预算拨款收入0万元、国有资本经营预算拨款收入0万元、事业收入0万元、事业单位经营收入0万元，上年结转</w:t>
      </w:r>
      <w:r>
        <w:rPr>
          <w:rFonts w:ascii="仿宋_GB2312"/>
          <w:u w:val="none"/>
        </w:rPr>
        <w:t>20</w:t>
      </w:r>
      <w:r>
        <w:rPr>
          <w:rFonts w:hint="eastAsia" w:ascii="仿宋_GB2312"/>
          <w:u w:val="none"/>
        </w:rPr>
        <w:t>.</w:t>
      </w:r>
      <w:r>
        <w:rPr>
          <w:rFonts w:ascii="仿宋_GB2312"/>
          <w:u w:val="none"/>
        </w:rPr>
        <w:t>6456</w:t>
      </w:r>
      <w:r>
        <w:rPr>
          <w:rFonts w:hint="eastAsia" w:ascii="仿宋_GB2312"/>
          <w:u w:val="none"/>
        </w:rPr>
        <w:t>万元；支出包括：支出包括：一般公共服务支出1669.1113万元、社会保障和就业支出263.2369万元，住房保障支出127.2585万元，结转今年</w:t>
      </w:r>
      <w:r>
        <w:rPr>
          <w:rFonts w:ascii="仿宋_GB2312"/>
          <w:u w:val="none"/>
        </w:rPr>
        <w:t>20</w:t>
      </w:r>
      <w:r>
        <w:rPr>
          <w:rFonts w:hint="eastAsia" w:ascii="仿宋_GB2312"/>
          <w:u w:val="none"/>
        </w:rPr>
        <w:t>.</w:t>
      </w:r>
      <w:r>
        <w:rPr>
          <w:rFonts w:ascii="仿宋_GB2312"/>
          <w:u w:val="none"/>
        </w:rPr>
        <w:t>6456</w:t>
      </w:r>
      <w:r>
        <w:rPr>
          <w:rFonts w:hint="eastAsia" w:ascii="仿宋_GB2312"/>
          <w:u w:val="none"/>
        </w:rPr>
        <w:t>万元。</w:t>
      </w:r>
      <w:r>
        <w:rPr>
          <w:rFonts w:hint="eastAsia"/>
          <w:u w:val="none"/>
        </w:rPr>
        <w:t>市委统战部</w:t>
      </w:r>
      <w:r>
        <w:rPr>
          <w:rFonts w:hint="eastAsia" w:ascii="仿宋_GB2312"/>
          <w:u w:val="none"/>
        </w:rPr>
        <w:t>2021年收支总预算</w:t>
      </w:r>
      <w:r>
        <w:rPr>
          <w:u w:val="none"/>
        </w:rPr>
        <w:t>2080</w:t>
      </w:r>
      <w:r>
        <w:rPr>
          <w:rFonts w:hint="eastAsia"/>
          <w:u w:val="none"/>
        </w:rPr>
        <w:t>.</w:t>
      </w:r>
      <w:r>
        <w:rPr>
          <w:u w:val="none"/>
        </w:rPr>
        <w:t>2523</w:t>
      </w:r>
      <w:r>
        <w:rPr>
          <w:rFonts w:hint="eastAsia" w:ascii="仿宋_GB2312"/>
          <w:u w:val="none"/>
        </w:rPr>
        <w:t>万元。</w:t>
      </w:r>
    </w:p>
    <w:p>
      <w:pPr>
        <w:spacing w:line="600" w:lineRule="exact"/>
        <w:ind w:firstLine="643" w:firstLineChars="200"/>
        <w:rPr>
          <w:rFonts w:hint="eastAsia" w:ascii="楷体_GB2312" w:eastAsia="楷体_GB2312"/>
          <w:b/>
          <w:u w:val="none"/>
          <w:lang w:eastAsia="zh-CN"/>
        </w:rPr>
      </w:pPr>
      <w:r>
        <w:rPr>
          <w:rFonts w:hint="eastAsia" w:ascii="楷体_GB2312" w:eastAsia="楷体_GB2312"/>
          <w:b/>
          <w:u w:val="none"/>
        </w:rPr>
        <w:t>（一）收入预算情况</w:t>
      </w:r>
      <w:r>
        <w:rPr>
          <w:rFonts w:hint="eastAsia" w:ascii="楷体_GB2312" w:eastAsia="楷体_GB2312"/>
          <w:b/>
          <w:u w:val="none"/>
          <w:lang w:eastAsia="zh-CN"/>
        </w:rPr>
        <w:t>。</w:t>
      </w:r>
    </w:p>
    <w:p>
      <w:pPr>
        <w:spacing w:line="600" w:lineRule="exact"/>
        <w:ind w:firstLine="640" w:firstLineChars="200"/>
        <w:rPr>
          <w:rFonts w:hint="eastAsia" w:ascii="仿宋_GB2312"/>
          <w:u w:val="none"/>
        </w:rPr>
      </w:pPr>
      <w:r>
        <w:rPr>
          <w:rFonts w:hint="eastAsia" w:ascii="仿宋_GB2312"/>
          <w:u w:val="none"/>
        </w:rPr>
        <w:t>市委统战部2021年本年收入预算2059.6067万元，比2020年预算数增加87.2252万元，增</w:t>
      </w:r>
      <w:r>
        <w:rPr>
          <w:rFonts w:hint="eastAsia" w:ascii="仿宋_GB2312"/>
          <w:u w:val="none"/>
          <w:lang w:val="en-US" w:eastAsia="zh-CN"/>
        </w:rPr>
        <w:t>长</w:t>
      </w:r>
      <w:r>
        <w:rPr>
          <w:rFonts w:hint="eastAsia" w:ascii="仿宋_GB2312"/>
          <w:u w:val="none"/>
        </w:rPr>
        <w:t>4.42%。其中：上年结转0万元，占0%；一般公共预算拨款收入2059.6067万元，占100%；政府性基金预算拨款收入0万元，占0%；事业收入0万元，占0%。</w:t>
      </w:r>
    </w:p>
    <w:p>
      <w:pPr>
        <w:spacing w:line="600" w:lineRule="exact"/>
        <w:ind w:firstLine="643" w:firstLineChars="200"/>
        <w:rPr>
          <w:rFonts w:hint="eastAsia" w:ascii="楷体_GB2312" w:eastAsia="楷体_GB2312"/>
          <w:b/>
          <w:u w:val="none"/>
          <w:lang w:eastAsia="zh-CN"/>
        </w:rPr>
      </w:pPr>
      <w:r>
        <w:rPr>
          <w:rFonts w:hint="eastAsia" w:ascii="楷体_GB2312" w:eastAsia="楷体_GB2312"/>
          <w:b/>
          <w:u w:val="none"/>
        </w:rPr>
        <w:t>（二）支出预算情况</w:t>
      </w:r>
      <w:r>
        <w:rPr>
          <w:rFonts w:hint="eastAsia" w:ascii="楷体_GB2312" w:eastAsia="楷体_GB2312"/>
          <w:b/>
          <w:u w:val="none"/>
          <w:lang w:eastAsia="zh-CN"/>
        </w:rPr>
        <w:t>。</w:t>
      </w:r>
    </w:p>
    <w:p>
      <w:pPr>
        <w:spacing w:line="600" w:lineRule="exact"/>
        <w:ind w:firstLine="640" w:firstLineChars="200"/>
        <w:rPr>
          <w:rFonts w:hint="eastAsia" w:ascii="仿宋_GB2312"/>
          <w:u w:val="none"/>
        </w:rPr>
      </w:pPr>
      <w:r>
        <w:rPr>
          <w:rFonts w:hint="eastAsia" w:ascii="仿宋_GB2312"/>
          <w:u w:val="none"/>
        </w:rPr>
        <w:t>市委统战部2021年支出预算2059.6067万元，比2020年预算数增加87.2252万元，增</w:t>
      </w:r>
      <w:r>
        <w:rPr>
          <w:rFonts w:hint="eastAsia" w:ascii="仿宋_GB2312"/>
          <w:u w:val="none"/>
          <w:lang w:val="en-US" w:eastAsia="zh-CN"/>
        </w:rPr>
        <w:t>长</w:t>
      </w:r>
      <w:r>
        <w:rPr>
          <w:rFonts w:hint="eastAsia" w:ascii="仿宋_GB2312"/>
          <w:u w:val="none"/>
        </w:rPr>
        <w:t>4.42%。其中：基本支出1809.6067万元，占87.86%；项目支出250万元，占12.14%。</w:t>
      </w:r>
    </w:p>
    <w:p>
      <w:pPr>
        <w:spacing w:line="600" w:lineRule="exact"/>
        <w:ind w:firstLine="640" w:firstLineChars="200"/>
        <w:rPr>
          <w:rFonts w:ascii="黑体" w:eastAsia="黑体"/>
          <w:u w:val="none"/>
        </w:rPr>
      </w:pPr>
      <w:r>
        <w:rPr>
          <w:rFonts w:hint="eastAsia" w:ascii="黑体" w:eastAsia="黑体"/>
          <w:u w:val="none"/>
        </w:rPr>
        <w:t>四、财政拨款收支预算情况说明</w:t>
      </w:r>
    </w:p>
    <w:p>
      <w:pPr>
        <w:spacing w:line="600" w:lineRule="exact"/>
        <w:ind w:firstLine="640" w:firstLineChars="200"/>
        <w:rPr>
          <w:rFonts w:ascii="黑体" w:eastAsia="黑体"/>
          <w:u w:val="none"/>
        </w:rPr>
      </w:pPr>
      <w:r>
        <w:rPr>
          <w:rFonts w:hint="eastAsia"/>
          <w:u w:val="none"/>
        </w:rPr>
        <w:t>市委统战部</w:t>
      </w:r>
      <w:r>
        <w:rPr>
          <w:rFonts w:hint="eastAsia" w:ascii="仿宋_GB2312"/>
          <w:u w:val="none"/>
        </w:rPr>
        <w:t>2021年财政拨款收支总预算</w:t>
      </w:r>
      <w:r>
        <w:rPr>
          <w:u w:val="none"/>
        </w:rPr>
        <w:t>2059.6067</w:t>
      </w:r>
      <w:r>
        <w:rPr>
          <w:rFonts w:hint="eastAsia" w:ascii="仿宋_GB2312"/>
          <w:u w:val="none"/>
        </w:rPr>
        <w:t>万元。收入包括：本年一般公共预算拨款收入</w:t>
      </w:r>
      <w:r>
        <w:rPr>
          <w:u w:val="none"/>
        </w:rPr>
        <w:t>2059.6067</w:t>
      </w:r>
      <w:r>
        <w:rPr>
          <w:rFonts w:hint="eastAsia" w:ascii="仿宋_GB2312"/>
          <w:u w:val="none"/>
        </w:rPr>
        <w:t>万元、本年政府性基金预算拨款收入</w:t>
      </w:r>
      <w:r>
        <w:rPr>
          <w:rFonts w:hint="eastAsia"/>
          <w:u w:val="none"/>
        </w:rPr>
        <w:t>0</w:t>
      </w:r>
      <w:r>
        <w:rPr>
          <w:rFonts w:hint="eastAsia" w:ascii="仿宋_GB2312"/>
          <w:u w:val="none"/>
        </w:rPr>
        <w:t>万元0；支出包括：一般公共服务支出1669.1113万元、社会保障和就业支出263.2369万元，住房保障支出127.2585万元。</w:t>
      </w:r>
    </w:p>
    <w:p>
      <w:pPr>
        <w:spacing w:line="600" w:lineRule="exact"/>
        <w:ind w:firstLine="640" w:firstLineChars="200"/>
        <w:rPr>
          <w:rFonts w:ascii="黑体" w:eastAsia="黑体"/>
          <w:u w:val="none"/>
        </w:rPr>
      </w:pPr>
      <w:r>
        <w:rPr>
          <w:rFonts w:hint="eastAsia" w:ascii="黑体" w:eastAsia="黑体"/>
          <w:u w:val="none"/>
        </w:rPr>
        <w:t>五、一般公共预算当年拨款情况说明</w:t>
      </w:r>
    </w:p>
    <w:p>
      <w:pPr>
        <w:spacing w:line="600" w:lineRule="exact"/>
        <w:ind w:firstLine="643" w:firstLineChars="200"/>
        <w:rPr>
          <w:rFonts w:ascii="楷体_GB2312" w:eastAsia="楷体_GB2312"/>
          <w:b/>
          <w:u w:val="none"/>
        </w:rPr>
      </w:pPr>
      <w:r>
        <w:rPr>
          <w:rFonts w:hint="eastAsia" w:ascii="楷体_GB2312" w:eastAsia="楷体_GB2312"/>
          <w:b/>
          <w:u w:val="none"/>
        </w:rPr>
        <w:t>（一）一般公共预算当年拨款规模变化情况</w:t>
      </w:r>
    </w:p>
    <w:p>
      <w:pPr>
        <w:spacing w:line="600" w:lineRule="exact"/>
        <w:ind w:firstLine="640" w:firstLineChars="200"/>
        <w:rPr>
          <w:rFonts w:ascii="仿宋_GB2312"/>
          <w:u w:val="none"/>
        </w:rPr>
      </w:pPr>
      <w:r>
        <w:rPr>
          <w:rFonts w:hint="eastAsia"/>
          <w:u w:val="none"/>
        </w:rPr>
        <w:t>市委统战部</w:t>
      </w:r>
      <w:r>
        <w:rPr>
          <w:rFonts w:hint="eastAsia" w:ascii="仿宋_GB2312"/>
          <w:u w:val="none"/>
        </w:rPr>
        <w:t>2021年一般公共预算当年拨款</w:t>
      </w:r>
      <w:r>
        <w:rPr>
          <w:u w:val="none"/>
        </w:rPr>
        <w:t>2059.6067</w:t>
      </w:r>
      <w:r>
        <w:rPr>
          <w:rFonts w:hint="eastAsia" w:ascii="仿宋_GB2312"/>
          <w:u w:val="none"/>
        </w:rPr>
        <w:t>万元，比2020年预算数增加87.2252万元，主要是增加了人员经费25万元和党派工商联换届经费62万元。</w:t>
      </w:r>
    </w:p>
    <w:p>
      <w:pPr>
        <w:spacing w:line="600" w:lineRule="exact"/>
        <w:ind w:firstLine="643" w:firstLineChars="200"/>
        <w:rPr>
          <w:rFonts w:ascii="楷体_GB2312" w:eastAsia="楷体_GB2312"/>
          <w:b/>
          <w:u w:val="none"/>
        </w:rPr>
      </w:pPr>
      <w:r>
        <w:rPr>
          <w:rFonts w:hint="eastAsia" w:ascii="楷体_GB2312" w:eastAsia="楷体_GB2312"/>
          <w:b/>
          <w:u w:val="none"/>
        </w:rPr>
        <w:t>（二）一般公共预算当年拨款结构情况</w:t>
      </w:r>
    </w:p>
    <w:p>
      <w:pPr>
        <w:spacing w:line="600" w:lineRule="exact"/>
        <w:ind w:firstLine="640" w:firstLineChars="200"/>
        <w:rPr>
          <w:rFonts w:ascii="仿宋_GB2312"/>
          <w:u w:val="none"/>
        </w:rPr>
      </w:pPr>
      <w:r>
        <w:rPr>
          <w:rFonts w:hint="eastAsia" w:ascii="仿宋_GB2312"/>
          <w:u w:val="none"/>
        </w:rPr>
        <w:t>一般公共服务支出1669.1113万元，占</w:t>
      </w:r>
      <w:r>
        <w:rPr>
          <w:rFonts w:hint="eastAsia"/>
          <w:u w:val="none"/>
        </w:rPr>
        <w:t>81.04</w:t>
      </w:r>
      <w:r>
        <w:rPr>
          <w:rFonts w:hint="eastAsia" w:ascii="仿宋_GB2312"/>
          <w:u w:val="none"/>
        </w:rPr>
        <w:t>%；社会保障和就业支出263.2369万元，占</w:t>
      </w:r>
      <w:r>
        <w:rPr>
          <w:rFonts w:hint="eastAsia"/>
          <w:u w:val="none"/>
        </w:rPr>
        <w:t>12.78</w:t>
      </w:r>
      <w:r>
        <w:rPr>
          <w:rFonts w:hint="eastAsia" w:ascii="仿宋_GB2312"/>
          <w:u w:val="none"/>
        </w:rPr>
        <w:t>%；住房保障支出127.2585万元，占6.18%。</w:t>
      </w:r>
    </w:p>
    <w:p>
      <w:pPr>
        <w:spacing w:line="600" w:lineRule="exact"/>
        <w:ind w:firstLine="643" w:firstLineChars="200"/>
        <w:rPr>
          <w:rFonts w:ascii="楷体_GB2312" w:eastAsia="楷体_GB2312"/>
          <w:b/>
          <w:u w:val="none"/>
        </w:rPr>
      </w:pPr>
      <w:r>
        <w:rPr>
          <w:rFonts w:hint="eastAsia" w:ascii="楷体_GB2312" w:eastAsia="楷体_GB2312"/>
          <w:b/>
          <w:u w:val="none"/>
        </w:rPr>
        <w:t>（三）一般公共预算当年拨款具体使用情况</w:t>
      </w:r>
    </w:p>
    <w:p>
      <w:pPr>
        <w:spacing w:line="600" w:lineRule="exact"/>
        <w:ind w:firstLine="640"/>
        <w:rPr>
          <w:rFonts w:ascii="仿宋_GB2312"/>
          <w:color w:val="000000"/>
          <w:u w:val="none"/>
        </w:rPr>
      </w:pPr>
      <w:r>
        <w:rPr>
          <w:u w:val="none"/>
        </w:rPr>
        <w:t>1.一般公共服务（</w:t>
      </w:r>
      <w:r>
        <w:rPr>
          <w:rFonts w:hint="eastAsia"/>
          <w:u w:val="none"/>
        </w:rPr>
        <w:t>201</w:t>
      </w:r>
      <w:r>
        <w:rPr>
          <w:u w:val="none"/>
        </w:rPr>
        <w:t>）</w:t>
      </w:r>
      <w:r>
        <w:rPr>
          <w:rFonts w:hint="eastAsia"/>
          <w:u w:val="none"/>
        </w:rPr>
        <w:t>统战事务</w:t>
      </w:r>
      <w:r>
        <w:rPr>
          <w:u w:val="none"/>
        </w:rPr>
        <w:t>（</w:t>
      </w:r>
      <w:r>
        <w:rPr>
          <w:rFonts w:hint="eastAsia"/>
          <w:u w:val="none"/>
        </w:rPr>
        <w:t>34</w:t>
      </w:r>
      <w:r>
        <w:rPr>
          <w:u w:val="none"/>
        </w:rPr>
        <w:t>）行政运行（</w:t>
      </w:r>
      <w:r>
        <w:rPr>
          <w:rFonts w:hint="eastAsia"/>
          <w:u w:val="none"/>
        </w:rPr>
        <w:t>01</w:t>
      </w:r>
      <w:r>
        <w:rPr>
          <w:u w:val="none"/>
        </w:rPr>
        <w:t>）20</w:t>
      </w:r>
      <w:r>
        <w:rPr>
          <w:rFonts w:hint="eastAsia"/>
          <w:u w:val="none"/>
        </w:rPr>
        <w:t>20</w:t>
      </w:r>
      <w:r>
        <w:rPr>
          <w:u w:val="none"/>
        </w:rPr>
        <w:t>年预算数为1306</w:t>
      </w:r>
      <w:r>
        <w:rPr>
          <w:rFonts w:hint="eastAsia"/>
          <w:u w:val="none"/>
        </w:rPr>
        <w:t>.</w:t>
      </w:r>
      <w:r>
        <w:rPr>
          <w:u w:val="none"/>
        </w:rPr>
        <w:t>3303万元，主要用于：</w:t>
      </w:r>
      <w:r>
        <w:rPr>
          <w:rFonts w:hint="eastAsia"/>
          <w:u w:val="none"/>
        </w:rPr>
        <w:t>支付统战部和民主党派工商联等9个单位</w:t>
      </w:r>
      <w:r>
        <w:rPr>
          <w:rFonts w:hint="eastAsia" w:ascii="仿宋_GB2312"/>
          <w:color w:val="000000"/>
          <w:u w:val="none"/>
        </w:rPr>
        <w:t>正常运转的日常支出</w:t>
      </w:r>
      <w:r>
        <w:rPr>
          <w:rFonts w:hint="eastAsia"/>
          <w:u w:val="none"/>
        </w:rPr>
        <w:t>，包括职工的</w:t>
      </w:r>
      <w:r>
        <w:rPr>
          <w:rFonts w:hint="eastAsia" w:ascii="仿宋_GB2312"/>
          <w:color w:val="000000"/>
          <w:u w:val="none"/>
        </w:rPr>
        <w:t>基本工资、津贴补贴和日常公用经费等。</w:t>
      </w:r>
    </w:p>
    <w:p>
      <w:pPr>
        <w:spacing w:line="600" w:lineRule="exact"/>
        <w:ind w:firstLine="640"/>
        <w:rPr>
          <w:u w:val="none"/>
        </w:rPr>
      </w:pPr>
      <w:r>
        <w:rPr>
          <w:rFonts w:hint="eastAsia"/>
          <w:u w:val="none"/>
        </w:rPr>
        <w:t>2</w:t>
      </w:r>
      <w:r>
        <w:rPr>
          <w:u w:val="none"/>
        </w:rPr>
        <w:t>.一般公共服务（</w:t>
      </w:r>
      <w:r>
        <w:rPr>
          <w:rFonts w:hint="eastAsia"/>
          <w:u w:val="none"/>
        </w:rPr>
        <w:t>201</w:t>
      </w:r>
      <w:r>
        <w:rPr>
          <w:u w:val="none"/>
        </w:rPr>
        <w:t>）</w:t>
      </w:r>
      <w:r>
        <w:rPr>
          <w:rFonts w:hint="eastAsia"/>
          <w:u w:val="none"/>
        </w:rPr>
        <w:t>民主党派工商联事务</w:t>
      </w:r>
      <w:r>
        <w:rPr>
          <w:u w:val="none"/>
        </w:rPr>
        <w:t>（</w:t>
      </w:r>
      <w:r>
        <w:rPr>
          <w:rFonts w:hint="eastAsia"/>
          <w:u w:val="none"/>
        </w:rPr>
        <w:t>28</w:t>
      </w:r>
      <w:r>
        <w:rPr>
          <w:u w:val="none"/>
        </w:rPr>
        <w:t>）一般行政管理事务（</w:t>
      </w:r>
      <w:r>
        <w:rPr>
          <w:rFonts w:hint="eastAsia"/>
          <w:u w:val="none"/>
        </w:rPr>
        <w:t>02</w:t>
      </w:r>
      <w:r>
        <w:rPr>
          <w:u w:val="none"/>
        </w:rPr>
        <w:t>）20</w:t>
      </w:r>
      <w:r>
        <w:rPr>
          <w:rFonts w:hint="eastAsia"/>
          <w:u w:val="none"/>
        </w:rPr>
        <w:t>21</w:t>
      </w:r>
      <w:r>
        <w:rPr>
          <w:u w:val="none"/>
        </w:rPr>
        <w:t>年预算数为250</w:t>
      </w:r>
      <w:r>
        <w:rPr>
          <w:rFonts w:hint="eastAsia"/>
          <w:u w:val="none"/>
        </w:rPr>
        <w:t>.</w:t>
      </w:r>
      <w:r>
        <w:rPr>
          <w:u w:val="none"/>
        </w:rPr>
        <w:t>0</w:t>
      </w:r>
      <w:r>
        <w:rPr>
          <w:rFonts w:hint="eastAsia"/>
          <w:u w:val="none"/>
        </w:rPr>
        <w:t>0</w:t>
      </w:r>
      <w:r>
        <w:rPr>
          <w:u w:val="none"/>
        </w:rPr>
        <w:t>万元，主要用于：</w:t>
      </w:r>
      <w:r>
        <w:rPr>
          <w:rFonts w:hint="eastAsia"/>
          <w:u w:val="none"/>
        </w:rPr>
        <w:t>统战部和民主党派工商联开展业务工作，完成2021年的工作任务，包括包括民主党派工作、党外人士和干部工作、经济统战工作、民族宗教工作、无党派和党外知识分子工作、新社会阶层人士工作和归国留学人员工作、台侨事务工作、海外统战工作、黄埔同学会工作以及加强统一战线自身建设等以及党外知识分子联谊会开展业务工作支出；民主监督、参政议政、建言献策、社会服务、争取上级支持、促进非公经济健康发展和加强自身建设等项目支出。</w:t>
      </w:r>
      <w:r>
        <w:rPr>
          <w:rFonts w:hint="eastAsia" w:ascii="仿宋_GB2312"/>
          <w:u w:val="none"/>
        </w:rPr>
        <w:t>主要包括：1、统战部日常业务工作支出，2、市党外知识分子联谊会开展参政议政、社会服务、建言献策工作支出，3、民主党派政治交接教育活动费，4、工商联日常工作，5、民主党派主委开展日常业务工作，6、民主党派市直支部开展活动.7.民主党派工商联开展集中换届工作。</w:t>
      </w:r>
    </w:p>
    <w:p>
      <w:pPr>
        <w:spacing w:line="600" w:lineRule="exact"/>
        <w:ind w:firstLine="640"/>
        <w:rPr>
          <w:rFonts w:ascii="仿宋_GB2312"/>
          <w:color w:val="000000"/>
          <w:u w:val="none"/>
        </w:rPr>
      </w:pPr>
      <w:r>
        <w:rPr>
          <w:rFonts w:hint="eastAsia" w:ascii="仿宋_GB2312"/>
          <w:u w:val="none"/>
        </w:rPr>
        <w:t>3.</w:t>
      </w:r>
      <w:r>
        <w:rPr>
          <w:u w:val="none"/>
        </w:rPr>
        <w:t>一般公共服务（</w:t>
      </w:r>
      <w:r>
        <w:rPr>
          <w:rFonts w:hint="eastAsia"/>
          <w:u w:val="none"/>
        </w:rPr>
        <w:t>201</w:t>
      </w:r>
      <w:r>
        <w:rPr>
          <w:u w:val="none"/>
        </w:rPr>
        <w:t>）</w:t>
      </w:r>
      <w:r>
        <w:rPr>
          <w:rFonts w:hint="eastAsia"/>
          <w:u w:val="none"/>
        </w:rPr>
        <w:t>统战事务</w:t>
      </w:r>
      <w:r>
        <w:rPr>
          <w:u w:val="none"/>
        </w:rPr>
        <w:t>（</w:t>
      </w:r>
      <w:r>
        <w:rPr>
          <w:rFonts w:hint="eastAsia"/>
          <w:u w:val="none"/>
        </w:rPr>
        <w:t>34</w:t>
      </w:r>
      <w:r>
        <w:rPr>
          <w:u w:val="none"/>
        </w:rPr>
        <w:t>）</w:t>
      </w:r>
      <w:r>
        <w:rPr>
          <w:rFonts w:hint="eastAsia"/>
          <w:u w:val="none"/>
        </w:rPr>
        <w:t>事业运行</w:t>
      </w:r>
      <w:r>
        <w:rPr>
          <w:u w:val="none"/>
        </w:rPr>
        <w:t>（</w:t>
      </w:r>
      <w:r>
        <w:rPr>
          <w:rFonts w:hint="eastAsia"/>
          <w:u w:val="none"/>
        </w:rPr>
        <w:t>50</w:t>
      </w:r>
      <w:r>
        <w:rPr>
          <w:u w:val="none"/>
        </w:rPr>
        <w:t>）20</w:t>
      </w:r>
      <w:r>
        <w:rPr>
          <w:rFonts w:hint="eastAsia"/>
          <w:u w:val="none"/>
        </w:rPr>
        <w:t>21</w:t>
      </w:r>
      <w:r>
        <w:rPr>
          <w:u w:val="none"/>
        </w:rPr>
        <w:t>年预算数为112</w:t>
      </w:r>
      <w:r>
        <w:rPr>
          <w:rFonts w:hint="eastAsia"/>
          <w:u w:val="none"/>
        </w:rPr>
        <w:t>.</w:t>
      </w:r>
      <w:r>
        <w:rPr>
          <w:u w:val="none"/>
        </w:rPr>
        <w:t>7810万元，主要用于：</w:t>
      </w:r>
      <w:r>
        <w:rPr>
          <w:rFonts w:hint="eastAsia"/>
          <w:u w:val="none"/>
        </w:rPr>
        <w:t>支付统战和民宗教服务中心、非公经济服务中心2个事业单位</w:t>
      </w:r>
      <w:r>
        <w:rPr>
          <w:rFonts w:hint="eastAsia" w:ascii="仿宋_GB2312"/>
          <w:color w:val="000000"/>
          <w:u w:val="none"/>
        </w:rPr>
        <w:t>正常运转的日常支出</w:t>
      </w:r>
      <w:r>
        <w:rPr>
          <w:rFonts w:hint="eastAsia"/>
          <w:u w:val="none"/>
        </w:rPr>
        <w:t>，包括职工的</w:t>
      </w:r>
      <w:r>
        <w:rPr>
          <w:rFonts w:hint="eastAsia" w:ascii="仿宋_GB2312"/>
          <w:color w:val="000000"/>
          <w:u w:val="none"/>
        </w:rPr>
        <w:t>基本工资、津贴补贴、绩效工资和日常公用经费等。</w:t>
      </w:r>
    </w:p>
    <w:p>
      <w:pPr>
        <w:spacing w:line="600" w:lineRule="exact"/>
        <w:ind w:firstLine="640"/>
        <w:rPr>
          <w:u w:val="none"/>
        </w:rPr>
      </w:pPr>
      <w:r>
        <w:rPr>
          <w:rFonts w:hint="eastAsia" w:ascii="仿宋_GB2312"/>
          <w:color w:val="000000"/>
          <w:u w:val="none"/>
        </w:rPr>
        <w:t>4.社会保障和就业支出</w:t>
      </w:r>
      <w:r>
        <w:rPr>
          <w:u w:val="none"/>
        </w:rPr>
        <w:t>（</w:t>
      </w:r>
      <w:r>
        <w:rPr>
          <w:rFonts w:hint="eastAsia"/>
          <w:u w:val="none"/>
        </w:rPr>
        <w:t>208</w:t>
      </w:r>
      <w:r>
        <w:rPr>
          <w:u w:val="none"/>
        </w:rPr>
        <w:t>）</w:t>
      </w:r>
      <w:r>
        <w:rPr>
          <w:rFonts w:hint="eastAsia" w:ascii="仿宋_GB2312"/>
          <w:u w:val="none"/>
        </w:rPr>
        <w:t>行政事业单位养老支出</w:t>
      </w:r>
      <w:r>
        <w:rPr>
          <w:u w:val="none"/>
        </w:rPr>
        <w:t>（</w:t>
      </w:r>
      <w:r>
        <w:rPr>
          <w:rFonts w:hint="eastAsia"/>
          <w:u w:val="none"/>
        </w:rPr>
        <w:t>05</w:t>
      </w:r>
      <w:r>
        <w:rPr>
          <w:u w:val="none"/>
        </w:rPr>
        <w:t>）</w:t>
      </w:r>
      <w:r>
        <w:rPr>
          <w:rFonts w:hint="eastAsia"/>
          <w:u w:val="none"/>
        </w:rPr>
        <w:t>行政单位离退休</w:t>
      </w:r>
      <w:r>
        <w:rPr>
          <w:u w:val="none"/>
        </w:rPr>
        <w:t>（</w:t>
      </w:r>
      <w:r>
        <w:rPr>
          <w:rFonts w:hint="eastAsia"/>
          <w:u w:val="none"/>
        </w:rPr>
        <w:t>01</w:t>
      </w:r>
      <w:r>
        <w:rPr>
          <w:u w:val="none"/>
        </w:rPr>
        <w:t>）20</w:t>
      </w:r>
      <w:r>
        <w:rPr>
          <w:rFonts w:hint="eastAsia"/>
          <w:u w:val="none"/>
        </w:rPr>
        <w:t>21</w:t>
      </w:r>
      <w:r>
        <w:rPr>
          <w:u w:val="none"/>
        </w:rPr>
        <w:t>年预算数为153</w:t>
      </w:r>
      <w:r>
        <w:rPr>
          <w:rFonts w:hint="eastAsia"/>
          <w:u w:val="none"/>
        </w:rPr>
        <w:t>.</w:t>
      </w:r>
      <w:r>
        <w:rPr>
          <w:u w:val="none"/>
        </w:rPr>
        <w:t>4287万元，主要用于：</w:t>
      </w:r>
      <w:r>
        <w:rPr>
          <w:rFonts w:hint="eastAsia"/>
          <w:u w:val="none"/>
        </w:rPr>
        <w:t>行政单位离退休人员发放离休费、退休人员奖金和开展活动。</w:t>
      </w:r>
    </w:p>
    <w:p>
      <w:pPr>
        <w:spacing w:line="600" w:lineRule="exact"/>
        <w:ind w:firstLine="640"/>
        <w:rPr>
          <w:u w:val="none"/>
        </w:rPr>
      </w:pPr>
      <w:r>
        <w:rPr>
          <w:rFonts w:hint="eastAsia"/>
          <w:u w:val="none"/>
        </w:rPr>
        <w:t>5.社会保障和就业支出</w:t>
      </w:r>
      <w:r>
        <w:rPr>
          <w:u w:val="none"/>
        </w:rPr>
        <w:t>（</w:t>
      </w:r>
      <w:r>
        <w:rPr>
          <w:rFonts w:hint="eastAsia"/>
          <w:u w:val="none"/>
        </w:rPr>
        <w:t>208</w:t>
      </w:r>
      <w:r>
        <w:rPr>
          <w:u w:val="none"/>
        </w:rPr>
        <w:t>）</w:t>
      </w:r>
      <w:r>
        <w:rPr>
          <w:rFonts w:hint="eastAsia" w:ascii="仿宋_GB2312"/>
          <w:u w:val="none"/>
        </w:rPr>
        <w:t>行政事业单位养老支出</w:t>
      </w:r>
      <w:r>
        <w:rPr>
          <w:u w:val="none"/>
        </w:rPr>
        <w:t>（</w:t>
      </w:r>
      <w:r>
        <w:rPr>
          <w:rFonts w:hint="eastAsia"/>
          <w:u w:val="none"/>
        </w:rPr>
        <w:t>05</w:t>
      </w:r>
      <w:r>
        <w:rPr>
          <w:u w:val="none"/>
        </w:rPr>
        <w:t>）</w:t>
      </w:r>
      <w:r>
        <w:rPr>
          <w:rFonts w:hint="eastAsia"/>
          <w:u w:val="none"/>
        </w:rPr>
        <w:t>机关事业单位基本养老保险缴费支出</w:t>
      </w:r>
      <w:r>
        <w:rPr>
          <w:u w:val="none"/>
        </w:rPr>
        <w:t>（</w:t>
      </w:r>
      <w:r>
        <w:rPr>
          <w:rFonts w:hint="eastAsia"/>
          <w:u w:val="none"/>
        </w:rPr>
        <w:t>05</w:t>
      </w:r>
      <w:r>
        <w:rPr>
          <w:u w:val="none"/>
        </w:rPr>
        <w:t>）20</w:t>
      </w:r>
      <w:r>
        <w:rPr>
          <w:rFonts w:hint="eastAsia"/>
          <w:u w:val="none"/>
        </w:rPr>
        <w:t>21</w:t>
      </w:r>
      <w:r>
        <w:rPr>
          <w:u w:val="none"/>
        </w:rPr>
        <w:t>年预算数为107</w:t>
      </w:r>
      <w:r>
        <w:rPr>
          <w:rFonts w:hint="eastAsia"/>
          <w:u w:val="none"/>
        </w:rPr>
        <w:t>.</w:t>
      </w:r>
      <w:r>
        <w:rPr>
          <w:u w:val="none"/>
        </w:rPr>
        <w:t>7010万元，主要用于：</w:t>
      </w:r>
      <w:r>
        <w:rPr>
          <w:rFonts w:hint="eastAsia"/>
          <w:u w:val="none"/>
        </w:rPr>
        <w:t>缴纳机关事业单位职工基本养老保险。</w:t>
      </w:r>
    </w:p>
    <w:p>
      <w:pPr>
        <w:spacing w:line="600" w:lineRule="exact"/>
        <w:ind w:firstLine="640"/>
        <w:rPr>
          <w:u w:val="none"/>
        </w:rPr>
      </w:pPr>
      <w:r>
        <w:rPr>
          <w:rFonts w:hint="eastAsia"/>
          <w:u w:val="none"/>
        </w:rPr>
        <w:t>6.社会保障和就业支出</w:t>
      </w:r>
      <w:r>
        <w:rPr>
          <w:u w:val="none"/>
        </w:rPr>
        <w:t>（</w:t>
      </w:r>
      <w:r>
        <w:rPr>
          <w:rFonts w:hint="eastAsia"/>
          <w:u w:val="none"/>
        </w:rPr>
        <w:t>208</w:t>
      </w:r>
      <w:r>
        <w:rPr>
          <w:u w:val="none"/>
        </w:rPr>
        <w:t>）</w:t>
      </w:r>
      <w:r>
        <w:rPr>
          <w:rFonts w:hint="eastAsia"/>
          <w:u w:val="none"/>
        </w:rPr>
        <w:t>抚恤</w:t>
      </w:r>
      <w:r>
        <w:rPr>
          <w:u w:val="none"/>
        </w:rPr>
        <w:t>（</w:t>
      </w:r>
      <w:r>
        <w:rPr>
          <w:rFonts w:hint="eastAsia"/>
          <w:u w:val="none"/>
        </w:rPr>
        <w:t>08</w:t>
      </w:r>
      <w:r>
        <w:rPr>
          <w:u w:val="none"/>
        </w:rPr>
        <w:t>）</w:t>
      </w:r>
      <w:r>
        <w:rPr>
          <w:rFonts w:hint="eastAsia"/>
          <w:u w:val="none"/>
        </w:rPr>
        <w:t>死亡抚恤</w:t>
      </w:r>
      <w:r>
        <w:rPr>
          <w:u w:val="none"/>
        </w:rPr>
        <w:t>（</w:t>
      </w:r>
      <w:r>
        <w:rPr>
          <w:rFonts w:hint="eastAsia"/>
          <w:u w:val="none"/>
        </w:rPr>
        <w:t>01</w:t>
      </w:r>
      <w:r>
        <w:rPr>
          <w:u w:val="none"/>
        </w:rPr>
        <w:t>）20</w:t>
      </w:r>
      <w:r>
        <w:rPr>
          <w:rFonts w:hint="eastAsia"/>
          <w:u w:val="none"/>
        </w:rPr>
        <w:t>21</w:t>
      </w:r>
      <w:r>
        <w:rPr>
          <w:u w:val="none"/>
        </w:rPr>
        <w:t>年预算数为2</w:t>
      </w:r>
      <w:r>
        <w:rPr>
          <w:rFonts w:hint="eastAsia"/>
          <w:u w:val="none"/>
        </w:rPr>
        <w:t>.</w:t>
      </w:r>
      <w:r>
        <w:rPr>
          <w:u w:val="none"/>
        </w:rPr>
        <w:t>1072万元，主要用于：</w:t>
      </w:r>
      <w:r>
        <w:rPr>
          <w:rFonts w:hint="eastAsia"/>
          <w:u w:val="none"/>
        </w:rPr>
        <w:t>支付民主党派职工死亡遗属补助</w:t>
      </w:r>
      <w:r>
        <w:rPr>
          <w:u w:val="none"/>
        </w:rPr>
        <w:t>。</w:t>
      </w:r>
    </w:p>
    <w:p>
      <w:pPr>
        <w:spacing w:line="600" w:lineRule="exact"/>
        <w:ind w:firstLine="640"/>
        <w:rPr>
          <w:rFonts w:ascii="楷体_GB2312" w:eastAsia="楷体_GB2312"/>
          <w:b/>
          <w:u w:val="none"/>
        </w:rPr>
      </w:pPr>
      <w:r>
        <w:rPr>
          <w:rFonts w:hint="eastAsia"/>
          <w:u w:val="none"/>
        </w:rPr>
        <w:t>7.  住房保障支出</w:t>
      </w:r>
      <w:r>
        <w:rPr>
          <w:u w:val="none"/>
        </w:rPr>
        <w:t>（</w:t>
      </w:r>
      <w:r>
        <w:rPr>
          <w:rFonts w:hint="eastAsia"/>
          <w:u w:val="none"/>
        </w:rPr>
        <w:t>221</w:t>
      </w:r>
      <w:r>
        <w:rPr>
          <w:u w:val="none"/>
        </w:rPr>
        <w:t>）</w:t>
      </w:r>
      <w:r>
        <w:rPr>
          <w:rFonts w:hint="eastAsia"/>
          <w:u w:val="none"/>
        </w:rPr>
        <w:t>住房改革支出</w:t>
      </w:r>
      <w:r>
        <w:rPr>
          <w:u w:val="none"/>
        </w:rPr>
        <w:t>（</w:t>
      </w:r>
      <w:r>
        <w:rPr>
          <w:rFonts w:hint="eastAsia"/>
          <w:u w:val="none"/>
        </w:rPr>
        <w:t>02</w:t>
      </w:r>
      <w:r>
        <w:rPr>
          <w:u w:val="none"/>
        </w:rPr>
        <w:t>）</w:t>
      </w:r>
      <w:r>
        <w:rPr>
          <w:rFonts w:hint="eastAsia"/>
          <w:u w:val="none"/>
        </w:rPr>
        <w:t>住房公积金</w:t>
      </w:r>
      <w:r>
        <w:rPr>
          <w:u w:val="none"/>
        </w:rPr>
        <w:t>（</w:t>
      </w:r>
      <w:r>
        <w:rPr>
          <w:rFonts w:hint="eastAsia"/>
          <w:u w:val="none"/>
        </w:rPr>
        <w:t>01</w:t>
      </w:r>
      <w:r>
        <w:rPr>
          <w:u w:val="none"/>
        </w:rPr>
        <w:t>）20</w:t>
      </w:r>
      <w:r>
        <w:rPr>
          <w:rFonts w:hint="eastAsia"/>
          <w:u w:val="none"/>
        </w:rPr>
        <w:t>21</w:t>
      </w:r>
      <w:r>
        <w:rPr>
          <w:u w:val="none"/>
        </w:rPr>
        <w:t>年预算数为127</w:t>
      </w:r>
      <w:r>
        <w:rPr>
          <w:rFonts w:hint="eastAsia"/>
          <w:u w:val="none"/>
        </w:rPr>
        <w:t>.</w:t>
      </w:r>
      <w:r>
        <w:rPr>
          <w:u w:val="none"/>
        </w:rPr>
        <w:t>2585万元，主要用于：</w:t>
      </w:r>
      <w:r>
        <w:rPr>
          <w:rFonts w:hint="eastAsia"/>
          <w:u w:val="none"/>
        </w:rPr>
        <w:t>缴纳机关事业单位职工住房公积金。</w:t>
      </w:r>
    </w:p>
    <w:p>
      <w:pPr>
        <w:spacing w:line="600" w:lineRule="exact"/>
        <w:ind w:firstLine="640" w:firstLineChars="200"/>
        <w:rPr>
          <w:rFonts w:ascii="黑体" w:eastAsia="黑体"/>
          <w:u w:val="none"/>
        </w:rPr>
      </w:pPr>
      <w:r>
        <w:rPr>
          <w:rFonts w:hint="eastAsia" w:ascii="黑体" w:eastAsia="黑体"/>
          <w:u w:val="none"/>
        </w:rPr>
        <w:t>六、一般公共预算基本支出情况说明</w:t>
      </w:r>
    </w:p>
    <w:p>
      <w:pPr>
        <w:spacing w:line="600" w:lineRule="exact"/>
        <w:ind w:firstLine="640" w:firstLineChars="200"/>
        <w:rPr>
          <w:rFonts w:ascii="仿宋_GB2312"/>
          <w:u w:val="none"/>
        </w:rPr>
      </w:pPr>
      <w:r>
        <w:rPr>
          <w:rFonts w:hint="eastAsia"/>
          <w:u w:val="none"/>
        </w:rPr>
        <w:t>市委统战部</w:t>
      </w:r>
      <w:r>
        <w:rPr>
          <w:rFonts w:hint="eastAsia" w:ascii="仿宋_GB2312"/>
          <w:u w:val="none"/>
        </w:rPr>
        <w:t>2021年一般公共预算基本支出</w:t>
      </w:r>
      <w:r>
        <w:rPr>
          <w:u w:val="none"/>
        </w:rPr>
        <w:t>1809</w:t>
      </w:r>
      <w:r>
        <w:rPr>
          <w:rFonts w:hint="eastAsia"/>
          <w:u w:val="none"/>
        </w:rPr>
        <w:t>.</w:t>
      </w:r>
      <w:r>
        <w:rPr>
          <w:u w:val="none"/>
        </w:rPr>
        <w:t>6067</w:t>
      </w:r>
      <w:r>
        <w:rPr>
          <w:rFonts w:hint="eastAsia" w:ascii="仿宋_GB2312"/>
          <w:u w:val="none"/>
        </w:rPr>
        <w:t>万元，其中：</w:t>
      </w:r>
    </w:p>
    <w:p>
      <w:pPr>
        <w:spacing w:line="600" w:lineRule="exact"/>
        <w:ind w:firstLine="640" w:firstLineChars="200"/>
        <w:rPr>
          <w:rFonts w:ascii="仿宋_GB2312"/>
          <w:u w:val="none"/>
        </w:rPr>
      </w:pPr>
      <w:r>
        <w:rPr>
          <w:rFonts w:hint="eastAsia" w:ascii="仿宋_GB2312"/>
          <w:u w:val="none"/>
        </w:rPr>
        <w:t>人员经费1565.5761万元，主要包括：基本工资、津贴补贴、奖金、绩效工资、机关事业单位基本养老保险缴费、职工基本医疗保险缴费、公务员医疗补助缴费、其他社会保障缴费、住房公积金、其他工资福利支出，离休费、退休费、生活补助、医疗费补助（根据公开表3-1具体经济分类科目的款级科目进行说明）。</w:t>
      </w:r>
    </w:p>
    <w:p>
      <w:pPr>
        <w:spacing w:line="600" w:lineRule="exact"/>
        <w:ind w:firstLine="640" w:firstLineChars="200"/>
        <w:rPr>
          <w:rFonts w:ascii="仿宋_GB2312"/>
          <w:u w:val="none"/>
        </w:rPr>
      </w:pPr>
      <w:r>
        <w:rPr>
          <w:rFonts w:hint="eastAsia" w:ascii="仿宋_GB2312"/>
          <w:u w:val="none"/>
        </w:rPr>
        <w:t>公用经费</w:t>
      </w:r>
      <w:r>
        <w:rPr>
          <w:rFonts w:ascii="仿宋_GB2312"/>
          <w:u w:val="none"/>
        </w:rPr>
        <w:t>244</w:t>
      </w:r>
      <w:r>
        <w:rPr>
          <w:rFonts w:hint="eastAsia" w:ascii="仿宋_GB2312"/>
          <w:u w:val="none"/>
        </w:rPr>
        <w:t>.</w:t>
      </w:r>
      <w:r>
        <w:rPr>
          <w:rFonts w:ascii="仿宋_GB2312"/>
          <w:u w:val="none"/>
        </w:rPr>
        <w:t>0306</w:t>
      </w:r>
      <w:r>
        <w:rPr>
          <w:rFonts w:hint="eastAsia" w:ascii="仿宋_GB2312"/>
          <w:u w:val="none"/>
        </w:rPr>
        <w:t>万元，主要包括：办公费、印刷费、咨询费、手续费、水电费、差旅费、邮电费、接待费、工会经费、福利费、其他交通费、其他商品服务支出等（根据公开表3-1具体经济分类科目的款级科目进行说明）。</w:t>
      </w:r>
    </w:p>
    <w:p>
      <w:pPr>
        <w:spacing w:line="600" w:lineRule="exact"/>
        <w:ind w:firstLine="640" w:firstLineChars="200"/>
        <w:rPr>
          <w:rFonts w:ascii="黑体" w:eastAsia="黑体"/>
          <w:u w:val="none"/>
        </w:rPr>
      </w:pPr>
      <w:r>
        <w:rPr>
          <w:rFonts w:hint="eastAsia" w:ascii="黑体" w:eastAsia="黑体"/>
          <w:u w:val="none"/>
        </w:rPr>
        <w:t>七、“三公”经费财政拨款预算安排情况说明</w:t>
      </w:r>
    </w:p>
    <w:p>
      <w:pPr>
        <w:spacing w:line="600" w:lineRule="exact"/>
        <w:ind w:firstLine="640" w:firstLineChars="200"/>
        <w:rPr>
          <w:rFonts w:ascii="仿宋_GB2312"/>
          <w:u w:val="none"/>
        </w:rPr>
      </w:pPr>
      <w:r>
        <w:rPr>
          <w:rFonts w:hint="eastAsia"/>
          <w:u w:val="none"/>
        </w:rPr>
        <w:t>市委统战部</w:t>
      </w:r>
      <w:r>
        <w:rPr>
          <w:rFonts w:hint="eastAsia" w:ascii="仿宋_GB2312"/>
          <w:u w:val="none"/>
        </w:rPr>
        <w:t>2021年“三公”经费财政拨款预算数</w:t>
      </w:r>
      <w:r>
        <w:rPr>
          <w:rFonts w:hint="eastAsia"/>
          <w:u w:val="none"/>
        </w:rPr>
        <w:t>6.258</w:t>
      </w:r>
      <w:r>
        <w:rPr>
          <w:rFonts w:hint="eastAsia" w:ascii="仿宋_GB2312"/>
          <w:u w:val="none"/>
        </w:rPr>
        <w:t>万元，其中：因公出国（境）经费</w:t>
      </w:r>
      <w:r>
        <w:rPr>
          <w:rFonts w:hint="eastAsia"/>
          <w:u w:val="none"/>
        </w:rPr>
        <w:t>0</w:t>
      </w:r>
      <w:r>
        <w:rPr>
          <w:rFonts w:hint="eastAsia" w:ascii="仿宋_GB2312"/>
          <w:u w:val="none"/>
        </w:rPr>
        <w:t>万元，公务接待费</w:t>
      </w:r>
      <w:r>
        <w:rPr>
          <w:rFonts w:hint="eastAsia"/>
          <w:u w:val="none"/>
        </w:rPr>
        <w:t>×</w:t>
      </w:r>
      <w:r>
        <w:rPr>
          <w:u w:val="none"/>
        </w:rPr>
        <w:t>3</w:t>
      </w:r>
      <w:r>
        <w:rPr>
          <w:rFonts w:hint="eastAsia"/>
          <w:u w:val="none"/>
        </w:rPr>
        <w:t>.</w:t>
      </w:r>
      <w:r>
        <w:rPr>
          <w:u w:val="none"/>
        </w:rPr>
        <w:t>018</w:t>
      </w:r>
      <w:r>
        <w:rPr>
          <w:rFonts w:hint="eastAsia" w:ascii="仿宋_GB2312"/>
          <w:u w:val="none"/>
        </w:rPr>
        <w:t>万元，公务用车购置及运行维护费</w:t>
      </w:r>
      <w:r>
        <w:rPr>
          <w:u w:val="none"/>
        </w:rPr>
        <w:t>3</w:t>
      </w:r>
      <w:r>
        <w:rPr>
          <w:rFonts w:hint="eastAsia"/>
          <w:u w:val="none"/>
        </w:rPr>
        <w:t>.</w:t>
      </w:r>
      <w:r>
        <w:rPr>
          <w:u w:val="none"/>
        </w:rPr>
        <w:t>24</w:t>
      </w:r>
      <w:r>
        <w:rPr>
          <w:rFonts w:hint="eastAsia" w:ascii="仿宋_GB2312"/>
          <w:u w:val="none"/>
        </w:rPr>
        <w:t>万元。</w:t>
      </w:r>
    </w:p>
    <w:p>
      <w:pPr>
        <w:spacing w:line="600" w:lineRule="exact"/>
        <w:ind w:firstLine="640"/>
        <w:rPr>
          <w:rFonts w:ascii="仿宋_GB2312"/>
          <w:u w:val="none"/>
        </w:rPr>
      </w:pPr>
      <w:r>
        <w:rPr>
          <w:rFonts w:hint="eastAsia" w:ascii="楷体_GB2312" w:eastAsia="楷体_GB2312"/>
          <w:b/>
          <w:u w:val="none"/>
        </w:rPr>
        <w:t>（一）因公出国（境）经费较2020年预算持平。</w:t>
      </w:r>
      <w:r>
        <w:rPr>
          <w:rFonts w:hint="eastAsia" w:ascii="仿宋_GB2312"/>
          <w:u w:val="none"/>
        </w:rPr>
        <w:t>主要原因是没有安排出国经费预算计划。</w:t>
      </w:r>
    </w:p>
    <w:p>
      <w:pPr>
        <w:spacing w:line="600" w:lineRule="exact"/>
        <w:ind w:firstLine="640"/>
        <w:rPr>
          <w:rFonts w:ascii="黑体" w:eastAsia="黑体"/>
          <w:b/>
          <w:u w:val="none"/>
        </w:rPr>
      </w:pPr>
      <w:r>
        <w:rPr>
          <w:rFonts w:hint="eastAsia" w:ascii="楷体_GB2312" w:eastAsia="楷体_GB2312"/>
          <w:b/>
          <w:u w:val="none"/>
        </w:rPr>
        <w:t>（二）公务接待费较2020年预算增长</w:t>
      </w:r>
      <w:r>
        <w:rPr>
          <w:rFonts w:hint="eastAsia"/>
          <w:b/>
          <w:u w:val="none"/>
        </w:rPr>
        <w:t>13.87</w:t>
      </w:r>
      <w:r>
        <w:rPr>
          <w:rFonts w:ascii="楷体_GB2312" w:eastAsia="楷体_GB2312"/>
          <w:b/>
          <w:u w:val="none"/>
        </w:rPr>
        <w:t>%</w:t>
      </w:r>
      <w:r>
        <w:rPr>
          <w:rFonts w:hint="eastAsia" w:ascii="楷体_GB2312" w:eastAsia="楷体_GB2312"/>
          <w:b/>
          <w:u w:val="none"/>
        </w:rPr>
        <w:t>。</w:t>
      </w:r>
      <w:r>
        <w:rPr>
          <w:rFonts w:hint="eastAsia" w:ascii="仿宋_GB2312"/>
          <w:u w:val="none"/>
        </w:rPr>
        <w:t>主要原因是增加了事业单位接待费，同时2021年党派工商联换届，接待任务加重。</w:t>
      </w:r>
    </w:p>
    <w:p>
      <w:pPr>
        <w:spacing w:line="600" w:lineRule="exact"/>
        <w:ind w:firstLine="640"/>
        <w:rPr>
          <w:rFonts w:ascii="仿宋_GB2312"/>
          <w:u w:val="none"/>
        </w:rPr>
      </w:pPr>
      <w:r>
        <w:rPr>
          <w:rFonts w:hint="eastAsia" w:ascii="仿宋_GB2312"/>
          <w:u w:val="none"/>
        </w:rPr>
        <w:t>2021年公务接待费计划用于</w:t>
      </w:r>
      <w:r>
        <w:rPr>
          <w:rFonts w:hint="eastAsia"/>
          <w:u w:val="none"/>
        </w:rPr>
        <w:t>统战部和民主党派工商联接待上级组织和其他地市州党派组织</w:t>
      </w:r>
      <w:r>
        <w:rPr>
          <w:rFonts w:hint="eastAsia" w:ascii="仿宋_GB2312"/>
          <w:u w:val="none"/>
        </w:rPr>
        <w:t>。</w:t>
      </w:r>
    </w:p>
    <w:p>
      <w:pPr>
        <w:spacing w:line="600" w:lineRule="exact"/>
        <w:ind w:firstLine="640"/>
        <w:rPr>
          <w:rFonts w:ascii="黑体" w:eastAsia="黑体"/>
          <w:b/>
          <w:u w:val="none"/>
        </w:rPr>
      </w:pPr>
      <w:r>
        <w:rPr>
          <w:rFonts w:hint="eastAsia" w:ascii="楷体_GB2312" w:eastAsia="楷体_GB2312"/>
          <w:b/>
          <w:u w:val="none"/>
        </w:rPr>
        <w:t>（三）公务用车购置及运行维护费较2020年预算下降</w:t>
      </w:r>
      <w:r>
        <w:rPr>
          <w:rFonts w:hint="eastAsia"/>
          <w:b/>
          <w:u w:val="none"/>
        </w:rPr>
        <w:t>5</w:t>
      </w:r>
      <w:r>
        <w:rPr>
          <w:rFonts w:ascii="楷体_GB2312" w:eastAsia="楷体_GB2312"/>
          <w:b/>
          <w:u w:val="none"/>
        </w:rPr>
        <w:t>%</w:t>
      </w:r>
      <w:r>
        <w:rPr>
          <w:rFonts w:hint="eastAsia" w:ascii="楷体_GB2312" w:eastAsia="楷体_GB2312"/>
          <w:b/>
          <w:u w:val="none"/>
        </w:rPr>
        <w:t>。</w:t>
      </w:r>
      <w:r>
        <w:rPr>
          <w:rFonts w:hint="eastAsia" w:ascii="仿宋_GB2312"/>
          <w:u w:val="none"/>
        </w:rPr>
        <w:t>主要原因是财政每年压缩预算。</w:t>
      </w:r>
    </w:p>
    <w:p>
      <w:pPr>
        <w:spacing w:line="600" w:lineRule="exact"/>
        <w:ind w:firstLine="640"/>
        <w:rPr>
          <w:rFonts w:ascii="仿宋_GB2312"/>
          <w:u w:val="none"/>
        </w:rPr>
      </w:pPr>
      <w:r>
        <w:rPr>
          <w:rFonts w:hint="eastAsia" w:ascii="仿宋_GB2312"/>
          <w:u w:val="none"/>
        </w:rPr>
        <w:t>单位现有公务用车</w:t>
      </w:r>
      <w:r>
        <w:rPr>
          <w:rFonts w:hint="eastAsia"/>
          <w:u w:val="none"/>
        </w:rPr>
        <w:t>2</w:t>
      </w:r>
      <w:r>
        <w:rPr>
          <w:rFonts w:hint="eastAsia" w:ascii="仿宋_GB2312"/>
          <w:u w:val="none"/>
        </w:rPr>
        <w:t>辆，其中：轿车（含7座以下商务车、城市越野车）</w:t>
      </w:r>
      <w:r>
        <w:rPr>
          <w:rFonts w:hint="eastAsia"/>
          <w:u w:val="none"/>
        </w:rPr>
        <w:t>2</w:t>
      </w:r>
      <w:r>
        <w:rPr>
          <w:rFonts w:hint="eastAsia" w:ascii="仿宋_GB2312"/>
          <w:u w:val="none"/>
        </w:rPr>
        <w:t>辆，7座以上19座（含19座）以下客车</w:t>
      </w:r>
      <w:r>
        <w:rPr>
          <w:rFonts w:hint="eastAsia"/>
          <w:u w:val="none"/>
        </w:rPr>
        <w:t>0</w:t>
      </w:r>
      <w:r>
        <w:rPr>
          <w:rFonts w:hint="eastAsia" w:ascii="仿宋_GB2312"/>
          <w:u w:val="none"/>
        </w:rPr>
        <w:t>辆，越野车</w:t>
      </w:r>
      <w:r>
        <w:rPr>
          <w:rFonts w:hint="eastAsia"/>
          <w:u w:val="none"/>
        </w:rPr>
        <w:t>0</w:t>
      </w:r>
      <w:r>
        <w:rPr>
          <w:rFonts w:hint="eastAsia" w:ascii="仿宋_GB2312"/>
          <w:u w:val="none"/>
        </w:rPr>
        <w:t>辆，货车及19座以上客车</w:t>
      </w:r>
      <w:r>
        <w:rPr>
          <w:rFonts w:hint="eastAsia"/>
          <w:u w:val="none"/>
        </w:rPr>
        <w:t>0</w:t>
      </w:r>
      <w:r>
        <w:rPr>
          <w:rFonts w:hint="eastAsia" w:ascii="仿宋_GB2312"/>
          <w:u w:val="none"/>
        </w:rPr>
        <w:t>辆，摩托车</w:t>
      </w:r>
      <w:r>
        <w:rPr>
          <w:rFonts w:hint="eastAsia"/>
          <w:u w:val="none"/>
        </w:rPr>
        <w:t>0</w:t>
      </w:r>
      <w:r>
        <w:rPr>
          <w:rFonts w:hint="eastAsia" w:ascii="仿宋_GB2312"/>
          <w:u w:val="none"/>
        </w:rPr>
        <w:t>辆。</w:t>
      </w:r>
    </w:p>
    <w:p>
      <w:pPr>
        <w:spacing w:line="600" w:lineRule="exact"/>
        <w:ind w:firstLine="640"/>
        <w:rPr>
          <w:rFonts w:ascii="仿宋_GB2312"/>
          <w:u w:val="none"/>
        </w:rPr>
      </w:pPr>
      <w:r>
        <w:rPr>
          <w:rFonts w:hint="eastAsia" w:ascii="仿宋_GB2312"/>
          <w:u w:val="none"/>
        </w:rPr>
        <w:t>2021年安排公务用车购置费</w:t>
      </w:r>
      <w:r>
        <w:rPr>
          <w:rFonts w:hint="eastAsia"/>
          <w:u w:val="none"/>
        </w:rPr>
        <w:t>0</w:t>
      </w:r>
      <w:r>
        <w:rPr>
          <w:rFonts w:hint="eastAsia" w:ascii="仿宋_GB2312"/>
          <w:u w:val="none"/>
        </w:rPr>
        <w:t>万元。</w:t>
      </w:r>
    </w:p>
    <w:p>
      <w:pPr>
        <w:spacing w:line="600" w:lineRule="exact"/>
        <w:ind w:firstLine="640"/>
        <w:rPr>
          <w:rFonts w:ascii="仿宋_GB2312"/>
          <w:u w:val="none"/>
        </w:rPr>
      </w:pPr>
      <w:r>
        <w:rPr>
          <w:rFonts w:hint="eastAsia" w:ascii="仿宋_GB2312"/>
          <w:u w:val="none"/>
        </w:rPr>
        <w:t>2021年安排公务用车运行维护费</w:t>
      </w:r>
      <w:r>
        <w:rPr>
          <w:rFonts w:hint="eastAsia"/>
          <w:u w:val="none"/>
        </w:rPr>
        <w:t>3.24</w:t>
      </w:r>
      <w:r>
        <w:rPr>
          <w:rFonts w:hint="eastAsia" w:ascii="仿宋_GB2312"/>
          <w:u w:val="none"/>
        </w:rPr>
        <w:t>万元，用于</w:t>
      </w:r>
      <w:r>
        <w:rPr>
          <w:rFonts w:hint="eastAsia"/>
          <w:u w:val="none"/>
        </w:rPr>
        <w:t>2</w:t>
      </w:r>
      <w:r>
        <w:rPr>
          <w:rFonts w:hint="eastAsia" w:ascii="仿宋_GB2312"/>
          <w:u w:val="none"/>
        </w:rPr>
        <w:t>辆公务用车燃油、维修、车辆通行等方面支出，主要保障</w:t>
      </w:r>
      <w:r>
        <w:rPr>
          <w:rFonts w:hint="eastAsia"/>
          <w:u w:val="none"/>
        </w:rPr>
        <w:t>统战部和市领导急需</w:t>
      </w:r>
      <w:r>
        <w:rPr>
          <w:rFonts w:hint="eastAsia" w:ascii="仿宋_GB2312"/>
          <w:u w:val="none"/>
        </w:rPr>
        <w:t>工作开展等工作开展。</w:t>
      </w:r>
    </w:p>
    <w:p>
      <w:pPr>
        <w:spacing w:line="600" w:lineRule="exact"/>
        <w:ind w:firstLine="640" w:firstLineChars="200"/>
        <w:rPr>
          <w:rFonts w:ascii="黑体" w:eastAsia="黑体"/>
          <w:u w:val="none"/>
        </w:rPr>
      </w:pPr>
      <w:r>
        <w:rPr>
          <w:rFonts w:hint="eastAsia" w:ascii="黑体" w:eastAsia="黑体"/>
          <w:u w:val="none"/>
        </w:rPr>
        <w:t>八、政府性基金预算支出情况说明</w:t>
      </w:r>
    </w:p>
    <w:p>
      <w:pPr>
        <w:spacing w:line="600" w:lineRule="exact"/>
        <w:ind w:firstLine="640" w:firstLineChars="200"/>
        <w:rPr>
          <w:rFonts w:ascii="仿宋_GB2312"/>
          <w:u w:val="none"/>
        </w:rPr>
      </w:pPr>
      <w:r>
        <w:rPr>
          <w:rFonts w:hint="eastAsia" w:ascii="仿宋_GB2312"/>
          <w:u w:val="none"/>
        </w:rPr>
        <w:t>市委统战部2021年没有使用政府性基金预算拨款安排的支出。</w:t>
      </w:r>
    </w:p>
    <w:p>
      <w:pPr>
        <w:spacing w:line="600" w:lineRule="exact"/>
        <w:ind w:firstLine="640" w:firstLineChars="200"/>
        <w:rPr>
          <w:rFonts w:ascii="黑体" w:eastAsia="黑体"/>
          <w:u w:val="none"/>
        </w:rPr>
      </w:pPr>
      <w:r>
        <w:rPr>
          <w:rFonts w:hint="eastAsia" w:ascii="黑体" w:eastAsia="黑体"/>
          <w:u w:val="none"/>
        </w:rPr>
        <w:t>九、其他重要事项的情况说明</w:t>
      </w:r>
    </w:p>
    <w:p>
      <w:pPr>
        <w:spacing w:line="600" w:lineRule="exact"/>
        <w:ind w:firstLine="643" w:firstLineChars="200"/>
        <w:rPr>
          <w:rFonts w:ascii="楷体_GB2312" w:eastAsia="楷体_GB2312"/>
          <w:b/>
          <w:u w:val="none"/>
        </w:rPr>
      </w:pPr>
      <w:r>
        <w:rPr>
          <w:rFonts w:hint="eastAsia" w:ascii="楷体_GB2312" w:eastAsia="楷体_GB2312"/>
          <w:b/>
          <w:u w:val="none"/>
        </w:rPr>
        <w:t>（一）业务运行经费</w:t>
      </w:r>
    </w:p>
    <w:p>
      <w:pPr>
        <w:spacing w:line="600" w:lineRule="exact"/>
        <w:ind w:firstLine="640" w:firstLineChars="200"/>
        <w:rPr>
          <w:rFonts w:ascii="仿宋_GB2312"/>
          <w:u w:val="none"/>
        </w:rPr>
      </w:pPr>
      <w:r>
        <w:rPr>
          <w:rFonts w:hint="eastAsia" w:ascii="仿宋_GB2312"/>
          <w:u w:val="none"/>
        </w:rPr>
        <w:t>2021年，</w:t>
      </w:r>
      <w:r>
        <w:rPr>
          <w:rFonts w:hint="eastAsia"/>
          <w:u w:val="none"/>
        </w:rPr>
        <w:t>市委统战部</w:t>
      </w:r>
      <w:r>
        <w:rPr>
          <w:rFonts w:hint="eastAsia" w:ascii="仿宋_GB2312"/>
          <w:u w:val="none"/>
        </w:rPr>
        <w:t>以及</w:t>
      </w:r>
      <w:r>
        <w:rPr>
          <w:rFonts w:hint="eastAsia"/>
          <w:u w:val="none"/>
        </w:rPr>
        <w:t>民革攀枝花市委，民盟攀枝花市委，民进攀枝花市委，农工党攀枝花市委，致公党攀枝花市委，九三学社攀枝花市委，民建攀枝花市基层委员会，市工商联</w:t>
      </w:r>
      <w:r>
        <w:rPr>
          <w:rFonts w:hint="eastAsia" w:ascii="仿宋_GB2312"/>
          <w:u w:val="none"/>
        </w:rPr>
        <w:t>等</w:t>
      </w:r>
      <w:r>
        <w:rPr>
          <w:rFonts w:hint="eastAsia"/>
          <w:u w:val="none"/>
        </w:rPr>
        <w:t>9</w:t>
      </w:r>
      <w:r>
        <w:rPr>
          <w:rFonts w:hint="eastAsia" w:ascii="仿宋_GB2312"/>
          <w:u w:val="none"/>
        </w:rPr>
        <w:t>家行政单位</w:t>
      </w:r>
      <w:r>
        <w:rPr>
          <w:rFonts w:hint="eastAsia"/>
          <w:u w:val="none"/>
        </w:rPr>
        <w:t>，非公经济服务中心和维权中心，民主党派服务中心</w:t>
      </w:r>
      <w:r>
        <w:rPr>
          <w:rFonts w:hint="eastAsia" w:ascii="仿宋_GB2312"/>
          <w:u w:val="none"/>
        </w:rPr>
        <w:t>等</w:t>
      </w:r>
      <w:r>
        <w:rPr>
          <w:rFonts w:hint="eastAsia"/>
          <w:u w:val="none"/>
        </w:rPr>
        <w:t>2</w:t>
      </w:r>
      <w:r>
        <w:rPr>
          <w:rFonts w:hint="eastAsia" w:ascii="仿宋_GB2312"/>
          <w:u w:val="none"/>
        </w:rPr>
        <w:t>家事业单位和</w:t>
      </w:r>
      <w:r>
        <w:rPr>
          <w:rFonts w:hint="eastAsia"/>
          <w:u w:val="none"/>
        </w:rPr>
        <w:t>攀枝花市党外知识分子联谊会、新的社会阶层联谊会等2家社团</w:t>
      </w:r>
      <w:r>
        <w:rPr>
          <w:rFonts w:hint="eastAsia" w:ascii="仿宋_GB2312"/>
          <w:u w:val="none"/>
        </w:rPr>
        <w:t>的机关运行经费财政拨款预算为</w:t>
      </w:r>
      <w:r>
        <w:rPr>
          <w:u w:val="none"/>
        </w:rPr>
        <w:t>244</w:t>
      </w:r>
      <w:r>
        <w:rPr>
          <w:rFonts w:hint="eastAsia"/>
          <w:u w:val="none"/>
        </w:rPr>
        <w:t>.</w:t>
      </w:r>
      <w:r>
        <w:rPr>
          <w:u w:val="none"/>
        </w:rPr>
        <w:t>0306</w:t>
      </w:r>
      <w:r>
        <w:rPr>
          <w:rFonts w:hint="eastAsia" w:ascii="仿宋_GB2312"/>
          <w:u w:val="none"/>
        </w:rPr>
        <w:t>万元，比2020年预算减少</w:t>
      </w:r>
      <w:r>
        <w:rPr>
          <w:rFonts w:hint="eastAsia"/>
          <w:u w:val="none"/>
        </w:rPr>
        <w:t>7.1728</w:t>
      </w:r>
      <w:r>
        <w:rPr>
          <w:rFonts w:hint="eastAsia" w:ascii="仿宋_GB2312"/>
          <w:u w:val="none"/>
        </w:rPr>
        <w:t>万元，下降</w:t>
      </w:r>
      <w:r>
        <w:rPr>
          <w:rFonts w:hint="eastAsia"/>
          <w:u w:val="none"/>
        </w:rPr>
        <w:t>2.86</w:t>
      </w:r>
      <w:r>
        <w:rPr>
          <w:rFonts w:hint="eastAsia" w:ascii="仿宋_GB2312"/>
          <w:u w:val="none"/>
        </w:rPr>
        <w:t>%。</w:t>
      </w:r>
    </w:p>
    <w:p>
      <w:pPr>
        <w:spacing w:line="600" w:lineRule="exact"/>
        <w:ind w:firstLine="643" w:firstLineChars="200"/>
        <w:rPr>
          <w:rFonts w:ascii="楷体_GB2312" w:eastAsia="楷体_GB2312"/>
          <w:b/>
          <w:u w:val="none"/>
        </w:rPr>
      </w:pPr>
      <w:r>
        <w:rPr>
          <w:rFonts w:hint="eastAsia" w:ascii="楷体_GB2312" w:eastAsia="楷体_GB2312"/>
          <w:b/>
          <w:u w:val="none"/>
        </w:rPr>
        <w:t>（二）国有资产占有使用情况</w:t>
      </w:r>
    </w:p>
    <w:p>
      <w:pPr>
        <w:spacing w:line="600" w:lineRule="exact"/>
        <w:ind w:firstLine="640" w:firstLineChars="200"/>
        <w:rPr>
          <w:rFonts w:ascii="仿宋_GB2312"/>
          <w:u w:val="none"/>
        </w:rPr>
      </w:pPr>
      <w:r>
        <w:rPr>
          <w:rFonts w:hint="eastAsia" w:ascii="仿宋_GB2312"/>
          <w:u w:val="none"/>
        </w:rPr>
        <w:t>截至2020年底，</w:t>
      </w:r>
      <w:r>
        <w:rPr>
          <w:rFonts w:hint="eastAsia"/>
          <w:u w:val="none"/>
        </w:rPr>
        <w:t>市委统战部</w:t>
      </w:r>
      <w:r>
        <w:rPr>
          <w:rFonts w:hint="eastAsia" w:ascii="仿宋_GB2312"/>
          <w:u w:val="none"/>
        </w:rPr>
        <w:t>及所属的非独立核算单位共有车辆</w:t>
      </w:r>
      <w:r>
        <w:rPr>
          <w:rFonts w:hint="eastAsia"/>
          <w:u w:val="none"/>
        </w:rPr>
        <w:t>2</w:t>
      </w:r>
      <w:r>
        <w:rPr>
          <w:rFonts w:hint="eastAsia" w:ascii="仿宋_GB2312"/>
          <w:u w:val="none"/>
        </w:rPr>
        <w:t>辆，其中，执法执勤用车</w:t>
      </w:r>
      <w:r>
        <w:rPr>
          <w:rFonts w:hint="eastAsia"/>
          <w:u w:val="none"/>
        </w:rPr>
        <w:t>0</w:t>
      </w:r>
      <w:r>
        <w:rPr>
          <w:rFonts w:hint="eastAsia" w:ascii="仿宋_GB2312"/>
          <w:u w:val="none"/>
        </w:rPr>
        <w:t>辆。单位价值200万元以上大型设备</w:t>
      </w:r>
      <w:r>
        <w:rPr>
          <w:rFonts w:hint="eastAsia"/>
          <w:u w:val="none"/>
        </w:rPr>
        <w:t>0</w:t>
      </w:r>
      <w:r>
        <w:rPr>
          <w:rFonts w:hint="eastAsia" w:ascii="仿宋_GB2312"/>
          <w:u w:val="none"/>
        </w:rPr>
        <w:t>台（套）。</w:t>
      </w:r>
    </w:p>
    <w:p>
      <w:pPr>
        <w:spacing w:line="600" w:lineRule="exact"/>
        <w:ind w:firstLine="643" w:firstLineChars="200"/>
        <w:rPr>
          <w:rFonts w:ascii="楷体_GB2312" w:eastAsia="楷体_GB2312"/>
          <w:b/>
          <w:u w:val="none"/>
        </w:rPr>
      </w:pPr>
      <w:r>
        <w:rPr>
          <w:rFonts w:hint="eastAsia" w:ascii="楷体_GB2312" w:eastAsia="楷体_GB2312"/>
          <w:b/>
          <w:u w:val="none"/>
        </w:rPr>
        <w:t>（三）绩效目标设置情况</w:t>
      </w:r>
    </w:p>
    <w:p>
      <w:pPr>
        <w:spacing w:line="600" w:lineRule="exact"/>
        <w:ind w:firstLine="640" w:firstLineChars="200"/>
        <w:rPr>
          <w:rFonts w:ascii="黑体" w:eastAsia="黑体"/>
          <w:u w:val="none"/>
        </w:rPr>
      </w:pPr>
      <w:r>
        <w:rPr>
          <w:rFonts w:hint="eastAsia" w:ascii="仿宋_GB2312"/>
          <w:u w:val="none"/>
        </w:rPr>
        <w:t>2021年</w:t>
      </w:r>
      <w:r>
        <w:rPr>
          <w:rFonts w:hint="eastAsia"/>
          <w:u w:val="none"/>
        </w:rPr>
        <w:t>市委统战部</w:t>
      </w:r>
      <w:r>
        <w:rPr>
          <w:rFonts w:hint="eastAsia" w:ascii="仿宋_GB2312"/>
          <w:u w:val="none"/>
        </w:rPr>
        <w:t>部门通用项目和专用项目均按要求实行绩效目标管理，涉及一般公共预算当年拨款</w:t>
      </w:r>
      <w:r>
        <w:rPr>
          <w:rFonts w:hint="eastAsia"/>
          <w:u w:val="none"/>
        </w:rPr>
        <w:t>250</w:t>
      </w:r>
      <w:r>
        <w:rPr>
          <w:rFonts w:hint="eastAsia" w:ascii="仿宋_GB2312"/>
          <w:u w:val="none"/>
        </w:rPr>
        <w:t>万元。</w:t>
      </w:r>
      <w:r>
        <w:rPr>
          <w:rFonts w:hint="eastAsia" w:ascii="黑体" w:eastAsia="黑体"/>
          <w:u w:val="none"/>
        </w:rPr>
        <w:t>十、名词解释</w:t>
      </w:r>
    </w:p>
    <w:p>
      <w:pPr>
        <w:spacing w:line="600" w:lineRule="exact"/>
        <w:ind w:firstLine="640" w:firstLineChars="200"/>
        <w:rPr>
          <w:rFonts w:ascii="仿宋_GB2312"/>
          <w:u w:val="none"/>
        </w:rPr>
      </w:pPr>
      <w:r>
        <w:rPr>
          <w:rFonts w:hint="eastAsia" w:ascii="仿宋_GB2312"/>
          <w:u w:val="none"/>
        </w:rPr>
        <w:t>1.一般公共预算拨款收入：指市级财政当年拨付的资金。</w:t>
      </w:r>
    </w:p>
    <w:p>
      <w:pPr>
        <w:spacing w:line="600" w:lineRule="exact"/>
        <w:ind w:firstLine="640" w:firstLineChars="200"/>
        <w:rPr>
          <w:rFonts w:ascii="仿宋_GB2312"/>
          <w:u w:val="none"/>
        </w:rPr>
      </w:pPr>
      <w:r>
        <w:rPr>
          <w:rFonts w:hint="eastAsia" w:ascii="仿宋_GB2312"/>
          <w:u w:val="none"/>
          <w:lang w:val="en-US" w:eastAsia="zh-CN"/>
        </w:rPr>
        <w:t>2</w:t>
      </w:r>
      <w:r>
        <w:rPr>
          <w:rFonts w:hint="eastAsia" w:ascii="仿宋_GB2312"/>
          <w:u w:val="none"/>
        </w:rPr>
        <w:t>.基本支出：指为保证机构正常运转，完成日常工作任务而发生的人员支出和公用支出。</w:t>
      </w:r>
    </w:p>
    <w:p>
      <w:pPr>
        <w:spacing w:line="600" w:lineRule="exact"/>
        <w:ind w:firstLine="640" w:firstLineChars="200"/>
        <w:rPr>
          <w:rFonts w:ascii="仿宋_GB2312"/>
          <w:u w:val="none"/>
        </w:rPr>
      </w:pPr>
      <w:r>
        <w:rPr>
          <w:rFonts w:hint="eastAsia" w:ascii="仿宋_GB2312"/>
          <w:u w:val="none"/>
          <w:lang w:val="en-US" w:eastAsia="zh-CN"/>
        </w:rPr>
        <w:t>3</w:t>
      </w:r>
      <w:r>
        <w:rPr>
          <w:rFonts w:hint="eastAsia" w:ascii="仿宋_GB2312"/>
          <w:u w:val="none"/>
        </w:rPr>
        <w:t>.项目支出：指在基本支出之外为完成特定行政任务和事业发展目标所发生的支出。</w:t>
      </w:r>
    </w:p>
    <w:p>
      <w:pPr>
        <w:spacing w:line="600" w:lineRule="exact"/>
        <w:ind w:firstLine="640" w:firstLineChars="200"/>
        <w:rPr>
          <w:rFonts w:ascii="仿宋_GB2312"/>
          <w:u w:val="none"/>
        </w:rPr>
      </w:pPr>
      <w:r>
        <w:rPr>
          <w:rFonts w:hint="eastAsia" w:ascii="仿宋_GB2312"/>
          <w:u w:val="none"/>
          <w:lang w:val="en-US" w:eastAsia="zh-CN"/>
        </w:rPr>
        <w:t>4</w:t>
      </w:r>
      <w:r>
        <w:rPr>
          <w:rFonts w:hint="eastAsia" w:ascii="仿宋_GB2312"/>
          <w:u w:val="none"/>
        </w:rP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rPr>
          <w:rFonts w:hint="eastAsia" w:ascii="仿宋_GB2312"/>
          <w:u w:val="none"/>
        </w:rPr>
      </w:pPr>
      <w:r>
        <w:rPr>
          <w:rFonts w:hint="eastAsia" w:ascii="仿宋_GB2312"/>
          <w:u w:val="none"/>
          <w:lang w:val="en-US" w:eastAsia="zh-CN"/>
        </w:rPr>
        <w:t>5</w:t>
      </w:r>
      <w:r>
        <w:rPr>
          <w:rFonts w:hint="eastAsia" w:ascii="仿宋_GB2312"/>
          <w:u w:val="none"/>
        </w:rPr>
        <w:t>.业务运行费：为保障行政单位（包含参照公务员法管理的事业单位）运行用于购买货物和服务的各项资金。包括办公及办公费、水费、电费、印刷费、邮电费、差旅费、会议费、公务用车运行费、福利费、其他交通费、工会经费、其他商品服务支出等费用开支。</w:t>
      </w:r>
    </w:p>
    <w:p>
      <w:pPr>
        <w:spacing w:line="600" w:lineRule="exact"/>
        <w:ind w:firstLine="640" w:firstLineChars="200"/>
        <w:rPr>
          <w:rFonts w:hint="eastAsia" w:ascii="仿宋_GB2312"/>
          <w:u w:val="none"/>
        </w:rPr>
      </w:pPr>
    </w:p>
    <w:p>
      <w:pPr>
        <w:spacing w:line="600" w:lineRule="exact"/>
        <w:ind w:firstLine="640" w:firstLineChars="200"/>
        <w:rPr>
          <w:rFonts w:ascii="仿宋_GB2312"/>
          <w:u w:val="none"/>
        </w:rPr>
      </w:pPr>
      <w:r>
        <w:rPr>
          <w:rFonts w:hint="eastAsia" w:ascii="仿宋_GB2312"/>
          <w:u w:val="none"/>
        </w:rPr>
        <w:t>附件：表1.部门收支总表</w:t>
      </w:r>
    </w:p>
    <w:p>
      <w:pPr>
        <w:spacing w:line="600" w:lineRule="exact"/>
        <w:rPr>
          <w:rFonts w:ascii="仿宋_GB2312"/>
          <w:u w:val="none"/>
        </w:rPr>
      </w:pPr>
      <w:r>
        <w:rPr>
          <w:rFonts w:hint="eastAsia" w:ascii="仿宋_GB2312"/>
          <w:u w:val="none"/>
        </w:rPr>
        <w:t xml:space="preserve">      </w:t>
      </w:r>
      <w:r>
        <w:rPr>
          <w:rFonts w:hint="eastAsia" w:ascii="仿宋_GB2312"/>
          <w:u w:val="none"/>
          <w:lang w:val="en-US" w:eastAsia="zh-CN"/>
        </w:rPr>
        <w:t xml:space="preserve">    </w:t>
      </w:r>
      <w:r>
        <w:rPr>
          <w:rFonts w:hint="eastAsia" w:ascii="仿宋_GB2312"/>
          <w:u w:val="none"/>
        </w:rPr>
        <w:t>表1-1.部门收入总表</w:t>
      </w:r>
    </w:p>
    <w:p>
      <w:pPr>
        <w:spacing w:line="600" w:lineRule="exact"/>
        <w:rPr>
          <w:rFonts w:ascii="仿宋_GB2312"/>
          <w:u w:val="none"/>
        </w:rPr>
      </w:pPr>
      <w:r>
        <w:rPr>
          <w:rFonts w:hint="eastAsia" w:ascii="仿宋_GB2312"/>
          <w:u w:val="none"/>
        </w:rPr>
        <w:t xml:space="preserve">      </w:t>
      </w:r>
      <w:r>
        <w:rPr>
          <w:rFonts w:hint="eastAsia" w:ascii="仿宋_GB2312"/>
          <w:u w:val="none"/>
          <w:lang w:val="en-US" w:eastAsia="zh-CN"/>
        </w:rPr>
        <w:t xml:space="preserve">    </w:t>
      </w:r>
      <w:r>
        <w:rPr>
          <w:rFonts w:hint="eastAsia" w:ascii="仿宋_GB2312"/>
          <w:u w:val="none"/>
        </w:rPr>
        <w:t>表1-2.部门支出总表</w:t>
      </w:r>
    </w:p>
    <w:p>
      <w:pPr>
        <w:spacing w:line="600" w:lineRule="exact"/>
        <w:ind w:firstLine="1600" w:firstLineChars="500"/>
        <w:rPr>
          <w:rFonts w:ascii="仿宋_GB2312"/>
          <w:u w:val="none"/>
        </w:rPr>
      </w:pPr>
      <w:r>
        <w:rPr>
          <w:rFonts w:hint="eastAsia" w:ascii="仿宋_GB2312"/>
          <w:u w:val="none"/>
        </w:rPr>
        <w:t>表2.财政拨款收支预算总表</w:t>
      </w:r>
    </w:p>
    <w:p>
      <w:pPr>
        <w:spacing w:line="600" w:lineRule="exact"/>
        <w:ind w:firstLine="1600" w:firstLineChars="500"/>
        <w:rPr>
          <w:rFonts w:ascii="仿宋_GB2312"/>
          <w:u w:val="none"/>
        </w:rPr>
      </w:pPr>
      <w:r>
        <w:rPr>
          <w:rFonts w:hint="eastAsia" w:ascii="仿宋_GB2312"/>
          <w:u w:val="none"/>
        </w:rPr>
        <w:t>表2-1.财政拨款支出预算表</w:t>
      </w:r>
    </w:p>
    <w:p>
      <w:pPr>
        <w:spacing w:line="600" w:lineRule="exact"/>
        <w:ind w:firstLine="1600" w:firstLineChars="500"/>
        <w:rPr>
          <w:rFonts w:ascii="仿宋_GB2312"/>
          <w:u w:val="none"/>
        </w:rPr>
      </w:pPr>
      <w:r>
        <w:rPr>
          <w:rFonts w:hint="eastAsia" w:ascii="仿宋_GB2312"/>
          <w:u w:val="none"/>
        </w:rPr>
        <w:t>表3.一般公共预算支出预算表</w:t>
      </w:r>
    </w:p>
    <w:p>
      <w:pPr>
        <w:spacing w:line="600" w:lineRule="exact"/>
        <w:ind w:firstLine="1600" w:firstLineChars="500"/>
        <w:rPr>
          <w:rFonts w:ascii="仿宋_GB2312"/>
          <w:u w:val="none"/>
        </w:rPr>
      </w:pPr>
      <w:r>
        <w:rPr>
          <w:rFonts w:hint="eastAsia" w:ascii="仿宋_GB2312"/>
          <w:u w:val="none"/>
        </w:rPr>
        <w:t>表3-1.一般公共预算基本支出预算表</w:t>
      </w:r>
    </w:p>
    <w:p>
      <w:pPr>
        <w:spacing w:line="600" w:lineRule="exact"/>
        <w:ind w:firstLine="1600" w:firstLineChars="500"/>
        <w:rPr>
          <w:rFonts w:ascii="仿宋_GB2312"/>
          <w:u w:val="none"/>
        </w:rPr>
      </w:pPr>
      <w:r>
        <w:rPr>
          <w:rFonts w:hint="eastAsia" w:ascii="仿宋_GB2312"/>
          <w:u w:val="none"/>
        </w:rPr>
        <w:t>表3-2.一般公共预算项目支出预算表</w:t>
      </w:r>
    </w:p>
    <w:p>
      <w:pPr>
        <w:spacing w:line="600" w:lineRule="exact"/>
        <w:ind w:firstLine="1600" w:firstLineChars="500"/>
        <w:rPr>
          <w:rFonts w:ascii="仿宋_GB2312"/>
          <w:u w:val="none"/>
        </w:rPr>
      </w:pPr>
      <w:r>
        <w:rPr>
          <w:rFonts w:hint="eastAsia" w:ascii="仿宋_GB2312"/>
          <w:u w:val="none"/>
        </w:rPr>
        <w:t>表3-3.一般公共预算“三公”经费支出预算表</w:t>
      </w:r>
    </w:p>
    <w:p>
      <w:pPr>
        <w:spacing w:line="600" w:lineRule="exact"/>
        <w:ind w:firstLine="1600" w:firstLineChars="500"/>
        <w:rPr>
          <w:rFonts w:ascii="仿宋_GB2312"/>
          <w:u w:val="none"/>
        </w:rPr>
      </w:pPr>
      <w:r>
        <w:rPr>
          <w:rFonts w:hint="eastAsia" w:ascii="仿宋_GB2312"/>
          <w:u w:val="none"/>
        </w:rPr>
        <w:t>表4.政府性基金支出预算表</w:t>
      </w:r>
    </w:p>
    <w:p>
      <w:pPr>
        <w:spacing w:line="600" w:lineRule="exact"/>
        <w:ind w:firstLine="1600" w:firstLineChars="500"/>
        <w:rPr>
          <w:rFonts w:ascii="仿宋_GB2312"/>
          <w:u w:val="none"/>
        </w:rPr>
      </w:pPr>
      <w:r>
        <w:rPr>
          <w:rFonts w:hint="eastAsia" w:ascii="仿宋_GB2312"/>
          <w:u w:val="none"/>
        </w:rPr>
        <w:t>表4-1.政府性基金预算“三公”经费支出预算表</w:t>
      </w:r>
    </w:p>
    <w:p>
      <w:pPr>
        <w:spacing w:line="600" w:lineRule="exact"/>
        <w:ind w:firstLine="1600" w:firstLineChars="500"/>
        <w:rPr>
          <w:rFonts w:ascii="仿宋_GB2312"/>
          <w:u w:val="none"/>
        </w:rPr>
      </w:pPr>
      <w:r>
        <w:rPr>
          <w:rFonts w:hint="eastAsia" w:ascii="仿宋_GB2312"/>
          <w:u w:val="none"/>
        </w:rPr>
        <w:t>表5.国有资本经营预算支出预算表</w:t>
      </w:r>
    </w:p>
    <w:p>
      <w:pPr>
        <w:spacing w:line="600" w:lineRule="exact"/>
        <w:ind w:firstLine="1600" w:firstLineChars="500"/>
        <w:rPr>
          <w:rFonts w:ascii="仿宋_GB2312"/>
          <w:u w:val="none"/>
        </w:rPr>
      </w:pPr>
      <w:r>
        <w:rPr>
          <w:rFonts w:hint="eastAsia" w:ascii="仿宋_GB2312"/>
          <w:u w:val="none"/>
        </w:rPr>
        <w:t>表6.（部门）单位预算项目绩效目标表</w:t>
      </w:r>
    </w:p>
    <w:p>
      <w:pPr>
        <w:spacing w:line="600" w:lineRule="exact"/>
        <w:ind w:firstLine="960" w:firstLineChars="300"/>
        <w:rPr>
          <w:rFonts w:ascii="仿宋_GB2312"/>
          <w:u w:val="none"/>
        </w:rPr>
      </w:pPr>
    </w:p>
    <w:p>
      <w:pPr>
        <w:spacing w:line="600" w:lineRule="exact"/>
        <w:ind w:firstLine="960" w:firstLineChars="300"/>
        <w:rPr>
          <w:rFonts w:ascii="仿宋_GB2312"/>
          <w:u w:val="none"/>
        </w:rPr>
      </w:pPr>
    </w:p>
    <w:p>
      <w:pPr>
        <w:spacing w:line="600" w:lineRule="exact"/>
        <w:ind w:firstLine="960" w:firstLineChars="300"/>
        <w:rPr>
          <w:rFonts w:ascii="仿宋_GB2312"/>
          <w:u w:val="none"/>
        </w:rPr>
      </w:pPr>
      <w:r>
        <w:rPr>
          <w:rFonts w:hint="eastAsia" w:ascii="仿宋_GB2312"/>
          <w:u w:val="none"/>
        </w:rPr>
        <w:t xml:space="preserve">                  中共攀枝花市委统战部</w:t>
      </w:r>
    </w:p>
    <w:p>
      <w:pPr>
        <w:spacing w:line="600" w:lineRule="exact"/>
        <w:ind w:firstLine="960" w:firstLineChars="300"/>
        <w:rPr>
          <w:rFonts w:ascii="仿宋_GB2312"/>
          <w:u w:val="none"/>
        </w:rPr>
      </w:pPr>
      <w:r>
        <w:rPr>
          <w:rFonts w:hint="eastAsia" w:ascii="仿宋_GB2312"/>
          <w:u w:val="none"/>
        </w:rPr>
        <w:t xml:space="preserve">                     2021年2月18日</w:t>
      </w:r>
    </w:p>
    <w:sectPr>
      <w:footerReference r:id="rId3" w:type="default"/>
      <w:footerReference r:id="rId4" w:type="even"/>
      <w:pgSz w:w="11906" w:h="16838"/>
      <w:pgMar w:top="1247" w:right="1542" w:bottom="1247" w:left="2098"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宋体" w:hAnsi="宋体"/>
        <w:sz w:val="30"/>
        <w:szCs w:val="30"/>
      </w:rPr>
    </w:pPr>
    <w:r>
      <w:rPr>
        <w:rFonts w:ascii="宋体" w:hAnsi="宋体"/>
        <w:sz w:val="30"/>
        <w:szCs w:val="30"/>
      </w:rPr>
      <w:fldChar w:fldCharType="begin"/>
    </w:r>
    <w:r>
      <w:rPr>
        <w:rStyle w:val="8"/>
        <w:rFonts w:ascii="宋体" w:hAnsi="宋体"/>
        <w:sz w:val="30"/>
        <w:szCs w:val="30"/>
      </w:rPr>
      <w:instrText xml:space="preserve">PAGE  </w:instrText>
    </w:r>
    <w:r>
      <w:rPr>
        <w:rFonts w:ascii="宋体" w:hAnsi="宋体"/>
        <w:sz w:val="30"/>
        <w:szCs w:val="30"/>
      </w:rPr>
      <w:fldChar w:fldCharType="separate"/>
    </w:r>
    <w:r>
      <w:rPr>
        <w:rStyle w:val="8"/>
        <w:rFonts w:ascii="宋体" w:hAnsi="宋体"/>
        <w:sz w:val="30"/>
        <w:szCs w:val="30"/>
      </w:rPr>
      <w:t>- 19 -</w:t>
    </w:r>
    <w:r>
      <w:rPr>
        <w:rFonts w:ascii="宋体" w:hAnsi="宋体"/>
        <w:sz w:val="30"/>
        <w:szCs w:val="3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ZjExODZjZTdlNzI5NzkwMDdlYWFhNGUyYjdkODAifQ=="/>
  </w:docVars>
  <w:rsids>
    <w:rsidRoot w:val="00172A27"/>
    <w:rsid w:val="000069D9"/>
    <w:rsid w:val="000C5200"/>
    <w:rsid w:val="00115473"/>
    <w:rsid w:val="001222BE"/>
    <w:rsid w:val="00123A7C"/>
    <w:rsid w:val="00172A27"/>
    <w:rsid w:val="001B4327"/>
    <w:rsid w:val="002478CF"/>
    <w:rsid w:val="003650C3"/>
    <w:rsid w:val="00510553"/>
    <w:rsid w:val="005A3065"/>
    <w:rsid w:val="00651960"/>
    <w:rsid w:val="006B56B4"/>
    <w:rsid w:val="00740B84"/>
    <w:rsid w:val="007A2384"/>
    <w:rsid w:val="007F5098"/>
    <w:rsid w:val="008D63CE"/>
    <w:rsid w:val="00965D42"/>
    <w:rsid w:val="0099304E"/>
    <w:rsid w:val="009A0367"/>
    <w:rsid w:val="009D5FAD"/>
    <w:rsid w:val="00A018E9"/>
    <w:rsid w:val="00B46341"/>
    <w:rsid w:val="00C06733"/>
    <w:rsid w:val="00D378D8"/>
    <w:rsid w:val="00E766DD"/>
    <w:rsid w:val="00E76C7E"/>
    <w:rsid w:val="00ED25AD"/>
    <w:rsid w:val="00F7561E"/>
    <w:rsid w:val="1D95079B"/>
    <w:rsid w:val="1E63121F"/>
    <w:rsid w:val="1FFB2F2E"/>
    <w:rsid w:val="29912E56"/>
    <w:rsid w:val="2A7A4CF5"/>
    <w:rsid w:val="357F58F8"/>
    <w:rsid w:val="3AC04E69"/>
    <w:rsid w:val="4630023F"/>
    <w:rsid w:val="4B270992"/>
    <w:rsid w:val="590402F8"/>
    <w:rsid w:val="63CE5288"/>
    <w:rsid w:val="6BB3716D"/>
    <w:rsid w:val="73A008DD"/>
    <w:rsid w:val="7E624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beforeLines="30"/>
    </w:pPr>
    <w:rPr>
      <w:rFonts w:ascii="仿宋_GB2312"/>
      <w:sz w:val="30"/>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Char Char Char Char Char Char Char Char Char Char Char"/>
    <w:basedOn w:val="1"/>
    <w:uiPriority w:val="0"/>
    <w:rPr>
      <w:szCs w:val="21"/>
    </w:rPr>
  </w:style>
  <w:style w:type="paragraph" w:customStyle="1" w:styleId="10">
    <w:name w:val="Char Char1 Char Char Char Char Char Char Char Char"/>
    <w:basedOn w:val="1"/>
    <w:next w:val="1"/>
    <w:qFormat/>
    <w:uiPriority w:val="0"/>
    <w:pPr>
      <w:spacing w:line="240" w:lineRule="atLeast"/>
      <w:ind w:left="420" w:firstLine="420"/>
      <w:jc w:val="left"/>
    </w:pPr>
    <w:rPr>
      <w:rFonts w:eastAsia="宋体"/>
      <w:kern w:val="0"/>
      <w:sz w:val="21"/>
      <w:szCs w:val="21"/>
    </w:rPr>
  </w:style>
  <w:style w:type="paragraph" w:customStyle="1" w:styleId="11">
    <w:name w:val="Char Char Char Char"/>
    <w:basedOn w:val="1"/>
    <w:uiPriority w:val="0"/>
    <w:rPr>
      <w:rFonts w:ascii="仿宋_GB2312"/>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25</Pages>
  <Words>12563</Words>
  <Characters>13158</Characters>
  <Lines>94</Lines>
  <Paragraphs>26</Paragraphs>
  <TotalTime>1</TotalTime>
  <ScaleCrop>false</ScaleCrop>
  <LinksUpToDate>false</LinksUpToDate>
  <CharactersWithSpaces>13226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2021-05-27T03:45:00Z</dcterms:created>
  <dc:creator>赵树子</dc:creator>
  <cp:lastModifiedBy>Administrator</cp:lastModifiedBy>
  <cp:lastPrinted>2021-03-09T02:53:00Z</cp:lastPrinted>
  <dcterms:modified xsi:type="dcterms:W3CDTF">2023-07-13T09:01:27Z</dcterms:modified>
  <dc:title>四川省财政厅2011年部门预算编制说明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A59C63888A274705A4DBDCE824E1F8A3_13</vt:lpwstr>
  </property>
</Properties>
</file>