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spacing w:line="530" w:lineRule="exact"/>
        <w:rPr>
          <w:rFonts w:eastAsia="黑体"/>
          <w:spacing w:val="0"/>
          <w:szCs w:val="32"/>
        </w:rPr>
      </w:pPr>
      <w:r>
        <w:rPr>
          <w:rFonts w:hint="eastAsia" w:eastAsia="黑体"/>
          <w:spacing w:val="0"/>
          <w:szCs w:val="32"/>
        </w:rPr>
        <w:t>附件</w:t>
      </w:r>
    </w:p>
    <w:p>
      <w:pPr>
        <w:overflowPunct w:val="0"/>
        <w:topLinePunct/>
        <w:spacing w:line="600" w:lineRule="exact"/>
        <w:jc w:val="center"/>
        <w:rPr>
          <w:rFonts w:eastAsia="方正小标宋简体"/>
          <w:spacing w:val="0"/>
          <w:sz w:val="44"/>
          <w:szCs w:val="44"/>
        </w:rPr>
      </w:pPr>
    </w:p>
    <w:p>
      <w:pPr>
        <w:overflowPunct w:val="0"/>
        <w:topLinePunct/>
        <w:spacing w:line="600" w:lineRule="exact"/>
        <w:jc w:val="center"/>
        <w:rPr>
          <w:rFonts w:eastAsia="方正小标宋简体"/>
          <w:spacing w:val="0"/>
          <w:sz w:val="44"/>
          <w:szCs w:val="44"/>
        </w:rPr>
      </w:pPr>
      <w:bookmarkStart w:id="0" w:name="_GoBack"/>
      <w:r>
        <w:rPr>
          <w:rFonts w:eastAsia="方正小标宋简体"/>
          <w:spacing w:val="0"/>
          <w:sz w:val="44"/>
          <w:szCs w:val="44"/>
        </w:rPr>
        <w:t>第</w:t>
      </w:r>
      <w:r>
        <w:rPr>
          <w:rFonts w:hint="eastAsia" w:eastAsia="方正小标宋简体"/>
          <w:spacing w:val="0"/>
          <w:sz w:val="44"/>
          <w:szCs w:val="44"/>
        </w:rPr>
        <w:t>一</w:t>
      </w:r>
      <w:r>
        <w:rPr>
          <w:rFonts w:eastAsia="方正小标宋简体"/>
          <w:spacing w:val="0"/>
          <w:sz w:val="44"/>
          <w:szCs w:val="44"/>
        </w:rPr>
        <w:t>轮中央生态环境保护督察</w:t>
      </w:r>
      <w:r>
        <w:rPr>
          <w:rFonts w:hint="eastAsia" w:eastAsia="方正小标宋简体"/>
          <w:spacing w:val="0"/>
          <w:sz w:val="44"/>
          <w:szCs w:val="44"/>
        </w:rPr>
        <w:t>“回头看”</w:t>
      </w:r>
    </w:p>
    <w:p>
      <w:pPr>
        <w:overflowPunct w:val="0"/>
        <w:topLinePunct/>
        <w:spacing w:line="600" w:lineRule="exact"/>
        <w:jc w:val="center"/>
        <w:rPr>
          <w:spacing w:val="0"/>
          <w:szCs w:val="32"/>
        </w:rPr>
      </w:pPr>
      <w:r>
        <w:rPr>
          <w:rFonts w:hint="eastAsia" w:eastAsia="方正小标宋简体"/>
          <w:spacing w:val="0"/>
          <w:sz w:val="44"/>
          <w:szCs w:val="44"/>
        </w:rPr>
        <w:t>第四十六项</w:t>
      </w:r>
      <w:r>
        <w:rPr>
          <w:rFonts w:eastAsia="方正小标宋简体"/>
          <w:spacing w:val="0"/>
          <w:sz w:val="44"/>
          <w:szCs w:val="44"/>
        </w:rPr>
        <w:t>整改任务完成情况表</w:t>
      </w:r>
    </w:p>
    <w:bookmarkEnd w:id="0"/>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shd w:val="clear" w:color="auto" w:fill="auto"/>
            <w:vAlign w:val="center"/>
          </w:tcPr>
          <w:p>
            <w:pPr>
              <w:spacing w:line="240" w:lineRule="auto"/>
              <w:jc w:val="center"/>
              <w:rPr>
                <w:rFonts w:ascii="等线" w:hAnsi="等线" w:eastAsia="宋体"/>
                <w:spacing w:val="0"/>
                <w:szCs w:val="40"/>
              </w:rPr>
            </w:pPr>
            <w:r>
              <w:rPr>
                <w:rFonts w:hint="eastAsia" w:eastAsia="黑体" w:cs="仿宋_GB2312"/>
                <w:spacing w:val="0"/>
                <w:sz w:val="24"/>
                <w:szCs w:val="24"/>
              </w:rPr>
              <w:t>整改任务</w:t>
            </w:r>
          </w:p>
        </w:tc>
        <w:tc>
          <w:tcPr>
            <w:tcW w:w="7088" w:type="dxa"/>
            <w:shd w:val="clear" w:color="auto" w:fill="auto"/>
            <w:vAlign w:val="center"/>
          </w:tcPr>
          <w:p>
            <w:pPr>
              <w:overflowPunct w:val="0"/>
              <w:topLinePunct/>
              <w:spacing w:line="340" w:lineRule="exact"/>
              <w:ind w:firstLine="420" w:firstLineChars="200"/>
              <w:rPr>
                <w:rFonts w:ascii="等线" w:hAnsi="等线" w:eastAsia="等线"/>
                <w:spacing w:val="0"/>
                <w:sz w:val="21"/>
                <w:szCs w:val="22"/>
              </w:rPr>
            </w:pPr>
            <w:r>
              <w:rPr>
                <w:rFonts w:hint="eastAsia"/>
                <w:spacing w:val="0"/>
                <w:sz w:val="21"/>
                <w:szCs w:val="21"/>
              </w:rPr>
              <w:t>第一轮中央生态环境保护督察“回头看”第四十六项整改任务：一些市（州）工业污染排放量居高不下，机动车污染防控压力持续增长，建筑施工和道路扬尘管控不力，砖瓦、砂石等行业环境保护整治不到位，大气环境质量不升反降。2018年1月至10月，绵阳、南充等市PM</w:t>
            </w:r>
            <w:r>
              <w:rPr>
                <w:rFonts w:hint="eastAsia"/>
                <w:spacing w:val="0"/>
                <w:sz w:val="21"/>
                <w:szCs w:val="21"/>
                <w:vertAlign w:val="subscript"/>
              </w:rPr>
              <w:t>10</w:t>
            </w:r>
            <w:r>
              <w:rPr>
                <w:rFonts w:hint="eastAsia"/>
                <w:spacing w:val="0"/>
                <w:sz w:val="21"/>
                <w:szCs w:val="21"/>
              </w:rPr>
              <w:t>平均浓度，攀枝花、南充等市PM</w:t>
            </w:r>
            <w:r>
              <w:rPr>
                <w:rFonts w:hint="eastAsia"/>
                <w:spacing w:val="0"/>
                <w:sz w:val="21"/>
                <w:szCs w:val="21"/>
                <w:vertAlign w:val="subscript"/>
              </w:rPr>
              <w:t>2.5</w:t>
            </w:r>
            <w:r>
              <w:rPr>
                <w:rFonts w:hint="eastAsia"/>
                <w:spacing w:val="0"/>
                <w:sz w:val="21"/>
                <w:szCs w:val="21"/>
              </w:rPr>
              <w:t>平均浓度同比不降反升；绵阳、宜宾等市未完成PM</w:t>
            </w:r>
            <w:r>
              <w:rPr>
                <w:rFonts w:hint="eastAsia"/>
                <w:spacing w:val="0"/>
                <w:sz w:val="21"/>
                <w:szCs w:val="21"/>
                <w:vertAlign w:val="subscript"/>
              </w:rPr>
              <w:t>2.5</w:t>
            </w:r>
            <w:r>
              <w:rPr>
                <w:rFonts w:hint="eastAsia"/>
                <w:spacing w:val="0"/>
                <w:sz w:val="21"/>
                <w:szCs w:val="21"/>
              </w:rPr>
              <w:t>常态化管控目标；自贡、绵阳、南充、宜宾、广安、达州、资阳、攀枝花等8市优良天数比例同比下降。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809" w:type="dxa"/>
            <w:shd w:val="clear" w:color="auto" w:fill="auto"/>
            <w:vAlign w:val="center"/>
          </w:tcPr>
          <w:p>
            <w:pPr>
              <w:spacing w:line="240" w:lineRule="auto"/>
              <w:jc w:val="center"/>
              <w:rPr>
                <w:rFonts w:eastAsia="黑体" w:cs="仿宋_GB2312"/>
                <w:spacing w:val="0"/>
                <w:sz w:val="24"/>
                <w:szCs w:val="24"/>
              </w:rPr>
            </w:pPr>
            <w:r>
              <w:rPr>
                <w:rFonts w:hint="eastAsia" w:eastAsia="黑体" w:cs="仿宋_GB2312"/>
                <w:spacing w:val="0"/>
                <w:sz w:val="24"/>
                <w:szCs w:val="24"/>
              </w:rPr>
              <w:t>整改责任单位</w:t>
            </w:r>
          </w:p>
        </w:tc>
        <w:tc>
          <w:tcPr>
            <w:tcW w:w="7088" w:type="dxa"/>
            <w:shd w:val="clear" w:color="auto" w:fill="auto"/>
            <w:vAlign w:val="center"/>
          </w:tcPr>
          <w:p>
            <w:pPr>
              <w:overflowPunct w:val="0"/>
              <w:topLinePunct/>
              <w:spacing w:line="340" w:lineRule="exact"/>
              <w:ind w:firstLine="420" w:firstLineChars="200"/>
              <w:rPr>
                <w:rFonts w:ascii="等线" w:hAnsi="等线" w:eastAsia="等线"/>
                <w:spacing w:val="0"/>
                <w:sz w:val="21"/>
                <w:szCs w:val="22"/>
              </w:rPr>
            </w:pPr>
            <w:r>
              <w:rPr>
                <w:rFonts w:hint="eastAsia"/>
                <w:spacing w:val="0"/>
                <w:sz w:val="21"/>
                <w:szCs w:val="21"/>
              </w:rPr>
              <w:t>自贡、攀枝花、绵阳、南充、宜宾、广安、达州、资阳8个市党委、政府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809" w:type="dxa"/>
            <w:shd w:val="clear" w:color="auto" w:fill="auto"/>
            <w:vAlign w:val="center"/>
          </w:tcPr>
          <w:p>
            <w:pPr>
              <w:spacing w:line="240" w:lineRule="auto"/>
              <w:jc w:val="center"/>
              <w:rPr>
                <w:rFonts w:eastAsia="黑体" w:cs="仿宋_GB2312"/>
                <w:spacing w:val="0"/>
                <w:sz w:val="24"/>
                <w:szCs w:val="24"/>
              </w:rPr>
            </w:pPr>
            <w:r>
              <w:rPr>
                <w:rFonts w:hint="eastAsia" w:eastAsia="黑体" w:cs="仿宋_GB2312"/>
                <w:spacing w:val="0"/>
                <w:sz w:val="24"/>
                <w:szCs w:val="24"/>
              </w:rPr>
              <w:t>整改目标</w:t>
            </w:r>
          </w:p>
        </w:tc>
        <w:tc>
          <w:tcPr>
            <w:tcW w:w="7088" w:type="dxa"/>
            <w:shd w:val="clear" w:color="auto" w:fill="auto"/>
            <w:vAlign w:val="center"/>
          </w:tcPr>
          <w:p>
            <w:pPr>
              <w:overflowPunct w:val="0"/>
              <w:topLinePunct/>
              <w:spacing w:line="340" w:lineRule="exact"/>
              <w:ind w:firstLine="420" w:firstLineChars="200"/>
              <w:rPr>
                <w:rFonts w:ascii="等线" w:hAnsi="等线" w:eastAsia="等线"/>
                <w:spacing w:val="0"/>
                <w:sz w:val="21"/>
                <w:szCs w:val="22"/>
              </w:rPr>
            </w:pPr>
            <w:r>
              <w:rPr>
                <w:rFonts w:hint="eastAsia"/>
                <w:spacing w:val="0"/>
                <w:sz w:val="21"/>
                <w:szCs w:val="21"/>
              </w:rPr>
              <w:t>推动自贡、攀枝花、绵阳、南充、宜宾、广安、达州、资阳8个市完成大气环境质量目标。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1809" w:type="dxa"/>
            <w:shd w:val="clear" w:color="auto" w:fill="auto"/>
            <w:vAlign w:val="center"/>
          </w:tcPr>
          <w:p>
            <w:pPr>
              <w:spacing w:line="240" w:lineRule="auto"/>
              <w:jc w:val="center"/>
              <w:rPr>
                <w:rFonts w:ascii="等线" w:hAnsi="等线" w:eastAsia="宋体"/>
                <w:spacing w:val="0"/>
                <w:szCs w:val="40"/>
              </w:rPr>
            </w:pPr>
            <w:r>
              <w:rPr>
                <w:rFonts w:hint="eastAsia" w:eastAsia="黑体" w:cs="仿宋_GB2312"/>
                <w:spacing w:val="0"/>
                <w:sz w:val="24"/>
                <w:szCs w:val="24"/>
              </w:rPr>
              <w:t>整改措施</w:t>
            </w:r>
          </w:p>
        </w:tc>
        <w:tc>
          <w:tcPr>
            <w:tcW w:w="7088" w:type="dxa"/>
            <w:shd w:val="clear" w:color="auto" w:fill="auto"/>
          </w:tcPr>
          <w:p>
            <w:pPr>
              <w:overflowPunct w:val="0"/>
              <w:topLinePunct/>
              <w:spacing w:line="340" w:lineRule="exact"/>
              <w:ind w:firstLine="420" w:firstLineChars="200"/>
              <w:rPr>
                <w:spacing w:val="0"/>
                <w:sz w:val="21"/>
                <w:szCs w:val="21"/>
              </w:rPr>
            </w:pPr>
            <w:r>
              <w:rPr>
                <w:rFonts w:hint="eastAsia"/>
                <w:spacing w:val="0"/>
                <w:sz w:val="21"/>
                <w:szCs w:val="21"/>
              </w:rPr>
              <w:t>1.自贡、攀枝花、绵阳、南充、宜宾、广安、达州、资阳8个市党委、政府主要负责同志亲自抓，对行政区域内环境空气质量负责，加强领导、加大统筹，进一步压紧压实各级党委、政府及其职能部门责任，不断强化大气污染防治工作。</w:t>
            </w:r>
          </w:p>
          <w:p>
            <w:pPr>
              <w:overflowPunct w:val="0"/>
              <w:topLinePunct/>
              <w:spacing w:line="340" w:lineRule="exact"/>
              <w:ind w:firstLine="420" w:firstLineChars="200"/>
              <w:rPr>
                <w:spacing w:val="0"/>
                <w:sz w:val="21"/>
                <w:szCs w:val="21"/>
              </w:rPr>
            </w:pPr>
            <w:r>
              <w:rPr>
                <w:rFonts w:hint="eastAsia"/>
                <w:spacing w:val="0"/>
                <w:sz w:val="21"/>
                <w:szCs w:val="21"/>
              </w:rPr>
              <w:t>2.深入实施《四川省打赢蓝天保卫战实施方案》，加强工业污染治理，强化重点行业深度治理，加快砖瓦、砂石等行业环境整治；加强机动车污染防控，开展柴油货车专项整治和非道路移动机械污染治理；加强施工工地和道路扬尘管控，大力推进装配式建筑，提高机械化清扫率。</w:t>
            </w:r>
          </w:p>
          <w:p>
            <w:pPr>
              <w:spacing w:line="240" w:lineRule="auto"/>
              <w:ind w:firstLine="420" w:firstLineChars="200"/>
              <w:rPr>
                <w:rFonts w:ascii="等线" w:hAnsi="等线" w:eastAsia="等线"/>
                <w:spacing w:val="0"/>
                <w:sz w:val="21"/>
                <w:szCs w:val="22"/>
              </w:rPr>
            </w:pPr>
            <w:r>
              <w:rPr>
                <w:rFonts w:hint="eastAsia"/>
                <w:spacing w:val="0"/>
                <w:sz w:val="21"/>
                <w:szCs w:val="21"/>
              </w:rPr>
              <w:t>3.严格考核，对未完成任务的，视情况采取通报约谈、专项督察、区域限批等措施，推动大气污染防治，对问题突出的，严格追责问责。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809" w:type="dxa"/>
            <w:shd w:val="clear" w:color="auto" w:fill="auto"/>
            <w:vAlign w:val="center"/>
          </w:tcPr>
          <w:p>
            <w:pPr>
              <w:spacing w:line="240" w:lineRule="auto"/>
              <w:jc w:val="center"/>
              <w:rPr>
                <w:rFonts w:ascii="等线" w:hAnsi="等线" w:eastAsia="宋体"/>
                <w:spacing w:val="0"/>
                <w:szCs w:val="40"/>
              </w:rPr>
            </w:pPr>
            <w:r>
              <w:rPr>
                <w:rFonts w:hint="eastAsia" w:eastAsia="黑体" w:cs="仿宋_GB2312"/>
                <w:spacing w:val="0"/>
                <w:sz w:val="24"/>
                <w:szCs w:val="24"/>
              </w:rPr>
              <w:t>整改主要工作及成效</w:t>
            </w:r>
          </w:p>
        </w:tc>
        <w:tc>
          <w:tcPr>
            <w:tcW w:w="7088" w:type="dxa"/>
            <w:shd w:val="clear" w:color="auto" w:fill="auto"/>
          </w:tcPr>
          <w:p>
            <w:pPr>
              <w:overflowPunct w:val="0"/>
              <w:topLinePunct/>
              <w:spacing w:line="340" w:lineRule="exact"/>
              <w:ind w:firstLine="420" w:firstLineChars="200"/>
              <w:rPr>
                <w:spacing w:val="0"/>
                <w:sz w:val="21"/>
                <w:szCs w:val="22"/>
              </w:rPr>
            </w:pPr>
            <w:r>
              <w:rPr>
                <w:rFonts w:hint="eastAsia"/>
                <w:spacing w:val="0"/>
                <w:sz w:val="21"/>
                <w:szCs w:val="21"/>
              </w:rPr>
              <w:t>2020年，自贡、攀枝花、绵阳、南充、广安、达州、资阳市均完成环境空气质量目标任务，宜宾市</w:t>
            </w:r>
            <w:r>
              <w:rPr>
                <w:rFonts w:hint="eastAsia"/>
                <w:color w:val="000000"/>
                <w:spacing w:val="0"/>
                <w:kern w:val="0"/>
                <w:sz w:val="21"/>
                <w:szCs w:val="21"/>
              </w:rPr>
              <w:t>未完成优良天数率</w:t>
            </w:r>
            <w:r>
              <w:rPr>
                <w:rFonts w:hint="eastAsia"/>
                <w:spacing w:val="0"/>
                <w:sz w:val="21"/>
                <w:szCs w:val="21"/>
              </w:rPr>
              <w:t>目标任务</w:t>
            </w:r>
            <w:r>
              <w:rPr>
                <w:rFonts w:hint="eastAsia"/>
                <w:color w:val="000000"/>
                <w:spacing w:val="0"/>
                <w:kern w:val="0"/>
                <w:sz w:val="21"/>
                <w:szCs w:val="21"/>
              </w:rPr>
              <w:t>，2021年7月，针对此，生态环境厅对宜宾市人民政府分管副市长进行了约谈，对宜宾市重点区域实施了环评限批，要求宜宾市制定整改方案，明确整改进度，全面落实整改措施，确保优良天数率完成常态化管控目标。2021年，宜宾市</w:t>
            </w:r>
            <w:r>
              <w:rPr>
                <w:rFonts w:hint="eastAsia"/>
                <w:spacing w:val="0"/>
                <w:kern w:val="0"/>
                <w:sz w:val="21"/>
                <w:szCs w:val="21"/>
              </w:rPr>
              <w:t>完成目标任务</w:t>
            </w:r>
            <w:r>
              <w:rPr>
                <w:rFonts w:hint="eastAsia"/>
                <w:color w:val="000000"/>
                <w:spacing w:val="0"/>
                <w:kern w:val="0"/>
                <w:sz w:val="21"/>
                <w:szCs w:val="21"/>
              </w:rPr>
              <w:t>。</w:t>
            </w:r>
          </w:p>
          <w:p>
            <w:pPr>
              <w:overflowPunct w:val="0"/>
              <w:topLinePunct/>
              <w:spacing w:line="340" w:lineRule="exact"/>
              <w:ind w:firstLine="421" w:firstLineChars="200"/>
              <w:rPr>
                <w:color w:val="000000"/>
                <w:spacing w:val="0"/>
                <w:kern w:val="0"/>
                <w:sz w:val="21"/>
                <w:szCs w:val="21"/>
              </w:rPr>
            </w:pPr>
            <w:r>
              <w:rPr>
                <w:rFonts w:hint="eastAsia"/>
                <w:b/>
                <w:bCs/>
                <w:color w:val="000000"/>
                <w:spacing w:val="0"/>
                <w:kern w:val="0"/>
                <w:sz w:val="21"/>
                <w:szCs w:val="28"/>
              </w:rPr>
              <w:t>整改措施1：</w:t>
            </w:r>
            <w:r>
              <w:rPr>
                <w:rFonts w:hint="eastAsia"/>
                <w:spacing w:val="0"/>
                <w:sz w:val="21"/>
                <w:szCs w:val="21"/>
              </w:rPr>
              <w:t>自贡、攀枝花、绵阳等8</w:t>
            </w:r>
            <w:r>
              <w:rPr>
                <w:rFonts w:hint="eastAsia"/>
                <w:color w:val="000000"/>
                <w:spacing w:val="0"/>
                <w:kern w:val="0"/>
                <w:sz w:val="21"/>
                <w:szCs w:val="21"/>
              </w:rPr>
              <w:t>市党委、政府主要负责同志坚持“一把手”亲自抓，市党委常委会、政府常务会多次研究大气污染防治工作，党政主要领导开展大气污染防治现场督察检查，进一步压紧压实各级各部门责任，持续推动大气污染防治工作。</w:t>
            </w:r>
          </w:p>
          <w:p>
            <w:pPr>
              <w:overflowPunct w:val="0"/>
              <w:topLinePunct/>
              <w:spacing w:line="340" w:lineRule="exact"/>
              <w:ind w:firstLine="420" w:firstLineChars="200"/>
              <w:rPr>
                <w:color w:val="000000"/>
                <w:spacing w:val="0"/>
                <w:kern w:val="0"/>
                <w:sz w:val="21"/>
                <w:szCs w:val="21"/>
              </w:rPr>
            </w:pPr>
            <w:r>
              <w:rPr>
                <w:rFonts w:hint="eastAsia"/>
                <w:color w:val="000000"/>
                <w:spacing w:val="0"/>
                <w:kern w:val="0"/>
                <w:sz w:val="21"/>
                <w:szCs w:val="21"/>
              </w:rPr>
              <w:t>自贡市成立由市委书记、市长任双主任的市环境保护委员会，市委、市政府主要领导亲自抓环境空气质量，每年召开打赢环保翻身仗工作会议，统筹推进大气污染综合治理；印发《自贡市大气污染防治工作问责暂行办法》等方案、制度，将大气污染防治纳入区县及部门目标绩效考核，压紧压实各级党委政府及各职能部门责任，构建起大气污染防治长效机制。</w:t>
            </w:r>
          </w:p>
          <w:p>
            <w:pPr>
              <w:overflowPunct w:val="0"/>
              <w:topLinePunct/>
              <w:spacing w:line="340" w:lineRule="exact"/>
              <w:ind w:firstLine="420" w:firstLineChars="200"/>
              <w:rPr>
                <w:spacing w:val="0"/>
                <w:sz w:val="21"/>
                <w:szCs w:val="22"/>
              </w:rPr>
            </w:pPr>
            <w:r>
              <w:rPr>
                <w:rFonts w:hint="eastAsia"/>
                <w:spacing w:val="0"/>
                <w:sz w:val="21"/>
                <w:szCs w:val="22"/>
              </w:rPr>
              <w:t>攀枝花市委、市政府高度重视大气污染防治工作，市委书记、市长亲自抓大气污染防治工作,在市委常委会会议、市政府常务会议市环境保护委员会议、全市环境空气质量保障工作专题会议上多次研究部署环境空气质量保障工作,并开展现场调研督导,推动工作落实。印发《关于加强极端不利气象条件下环境空气质量保障工作的通知》《攀枝花市保障环境空气质量达标工作方案》等文件，明确目标，分解任务，压实责任，积极推进大气污染防治工作。市长带队到攀钢、钒钛园区等重点区域召开现场督办会，督促企业落实主体责任，做好大气污染防控。</w:t>
            </w:r>
          </w:p>
          <w:p>
            <w:pPr>
              <w:overflowPunct w:val="0"/>
              <w:topLinePunct/>
              <w:spacing w:line="340" w:lineRule="exact"/>
              <w:ind w:firstLine="420" w:firstLineChars="200"/>
              <w:rPr>
                <w:spacing w:val="0"/>
                <w:sz w:val="21"/>
                <w:szCs w:val="22"/>
              </w:rPr>
            </w:pPr>
            <w:r>
              <w:rPr>
                <w:rFonts w:hint="eastAsia"/>
                <w:spacing w:val="0"/>
                <w:sz w:val="21"/>
                <w:szCs w:val="22"/>
              </w:rPr>
              <w:t>绵阳市委、市政府主要负责人先后12次召开会议对大气污染防治工作进行具体安排;市政府分管负责人靠前指挥，每天关注，每周调度，每月专题研究，突出阶段性工作重点，督促各项措施落实落地。提前谋划、制定秋冬季21条防治措施，并在市政府第105次常务会、全市攻坚专题视频会进行部署推动。出台《决战决胜污染防治攻坚三十六条硬措施》《绵阳市生态环境保护责任清单》，进一步完善全市污染防治工作的指挥体系、责任体系、工作体系、督导体系、奖惩体系。各县（市、区）和园区成立主要领导担任双主任的“环境保护委员会”。党委、政府根据工作需要召开常委会、常务会研究大气污染防治工作。</w:t>
            </w:r>
          </w:p>
          <w:p>
            <w:pPr>
              <w:overflowPunct w:val="0"/>
              <w:topLinePunct/>
              <w:spacing w:line="340" w:lineRule="exact"/>
              <w:ind w:firstLine="420" w:firstLineChars="200"/>
              <w:rPr>
                <w:spacing w:val="0"/>
                <w:sz w:val="21"/>
                <w:szCs w:val="22"/>
              </w:rPr>
            </w:pPr>
            <w:r>
              <w:rPr>
                <w:rFonts w:hint="eastAsia"/>
                <w:spacing w:val="0"/>
                <w:sz w:val="21"/>
                <w:szCs w:val="22"/>
              </w:rPr>
              <w:t>南充市委、市政府领导高位推动，加强督查督办，强化空气质量研判分析。党委政府、主要负责同志坚持“一把手”亲自抓，召开专题会议安排部署大气污染防治工作，采取约谈等措施压实压紧各级党委、政府及其职能部门责任。加强督查考核。做好空气质量周调度和重点督查工作。持续开展督查督办，执行空气质量周排名、周扣缴、月约谈制度，在报纸、电视等媒体公开空气质量排名情况，对排名垫底的县（市、区）每周扣罚资金，每月开展约谈。</w:t>
            </w:r>
          </w:p>
          <w:p>
            <w:pPr>
              <w:overflowPunct w:val="0"/>
              <w:topLinePunct/>
              <w:spacing w:line="340" w:lineRule="exact"/>
              <w:ind w:firstLine="420" w:firstLineChars="200"/>
              <w:rPr>
                <w:spacing w:val="0"/>
                <w:sz w:val="21"/>
                <w:szCs w:val="22"/>
              </w:rPr>
            </w:pPr>
            <w:r>
              <w:rPr>
                <w:rFonts w:hint="eastAsia"/>
                <w:spacing w:val="0"/>
                <w:sz w:val="21"/>
                <w:szCs w:val="22"/>
              </w:rPr>
              <w:t>宜宾市委书记把生态环境保护列入市委常委会每月专题听取的“三大事项”之一，定期听取汇报。市政府市长与各区县主要负责人签订目标责任书，不定期召开全市大气攻坚会、专题会。市委、市政府分管领导组织召开专题会议、联席会、周交账会等，及时通报问题研究解决方案。市委、市人大、市政府、市政协领导联系6个重点区县大气污染防治攻坚工作，不定期带队督查督办。各区县成立以党委、政府主要负责同志为组长的领导小组。各区县常委会、常务会听取大气污染防治相关工作情况并作安排部署，主要领导不定期召开专题会、现场督导、研究部署等。2021年，市委常委会、市政府常务会累计研究部署44次，书记、市长累计作出批示128次，多次组织召开大气污染防治会议，带领市直相关部门、专家组20余次深入现场帮扶指导。同时，市污染防治攻坚办持续开展专项督查，运用“三条底线”“红黄黑旗”等考评结果，进一步压实压细“四方”责任，强化一线网格员培训督导，不断深入强化大气污染防治工作。</w:t>
            </w:r>
          </w:p>
          <w:p>
            <w:pPr>
              <w:overflowPunct w:val="0"/>
              <w:topLinePunct/>
              <w:spacing w:line="340" w:lineRule="exact"/>
              <w:ind w:firstLine="420" w:firstLineChars="200"/>
              <w:rPr>
                <w:spacing w:val="0"/>
                <w:sz w:val="21"/>
                <w:szCs w:val="22"/>
              </w:rPr>
            </w:pPr>
            <w:r>
              <w:rPr>
                <w:rFonts w:hint="eastAsia"/>
                <w:spacing w:val="0"/>
                <w:sz w:val="21"/>
                <w:szCs w:val="22"/>
              </w:rPr>
              <w:t>广安市印发《关于建立环境保护“党政同责”和“一岗双责”责任制的通知》《四川省环境污染防治“三大战役”实施方案责任分工方案》《2018年度区市县、园区和市直有关部门环境保护、安全生产党政同责工作目标任务及考评细则》《2019年度区市县、园区和市直有关部门生态环境保护、安全生产、食品安全党政同责工作目标任务及考评细则》《2020年度区市县、园区和市直有关部门（单位）生态环境保护、安全生产、食品安全党政同责工作考评细则》等通知，</w:t>
            </w:r>
            <w:r>
              <w:rPr>
                <w:rFonts w:hint="eastAsia"/>
                <w:color w:val="000000"/>
                <w:spacing w:val="0"/>
                <w:kern w:val="0"/>
                <w:sz w:val="21"/>
                <w:szCs w:val="21"/>
              </w:rPr>
              <w:t>压紧压实各级各部门责任。市政府常务会听取大气污染防治工作汇报，研究部署大气污染防治工作。</w:t>
            </w:r>
          </w:p>
          <w:p>
            <w:pPr>
              <w:overflowPunct w:val="0"/>
              <w:topLinePunct/>
              <w:spacing w:line="340" w:lineRule="exact"/>
              <w:ind w:firstLine="420" w:firstLineChars="200"/>
              <w:rPr>
                <w:spacing w:val="0"/>
                <w:sz w:val="21"/>
                <w:szCs w:val="22"/>
              </w:rPr>
            </w:pPr>
            <w:r>
              <w:rPr>
                <w:rFonts w:hint="eastAsia"/>
                <w:spacing w:val="0"/>
                <w:sz w:val="21"/>
                <w:szCs w:val="22"/>
              </w:rPr>
              <w:t>达州市2017年以来，各县（市、区）人民政府先后出台《环境保护工作职责分工方案》和《环境保护党政同责工作目标绩效管理实施细则》。2018年9月出台《达州市大气环境质量限期达标规划（2018—2030年）》《达州市环境污染防治“三大战役”实施方案》，进一步压实部门责任，持续推动大气污染防治工作。</w:t>
            </w:r>
          </w:p>
          <w:p>
            <w:pPr>
              <w:overflowPunct w:val="0"/>
              <w:topLinePunct/>
              <w:spacing w:line="340" w:lineRule="exact"/>
              <w:ind w:firstLine="420" w:firstLineChars="200"/>
              <w:rPr>
                <w:color w:val="000000"/>
                <w:spacing w:val="0"/>
                <w:kern w:val="0"/>
                <w:sz w:val="21"/>
                <w:szCs w:val="28"/>
              </w:rPr>
            </w:pPr>
            <w:r>
              <w:rPr>
                <w:rFonts w:hint="eastAsia"/>
                <w:spacing w:val="0"/>
                <w:sz w:val="21"/>
                <w:szCs w:val="22"/>
              </w:rPr>
              <w:t>资阳市人民政府印发《打赢蓝天保卫战等九个实施方案》《资阳市大气污染防治攻坚“定点包片·联合执法”专项整治工作方案》，督促建筑工地落实“六必须、六不准”管控要求，严控道路运输扬尘，深化城区保洁措施，加大机动车污染防治力度，开展柴油货车超标排放整治，加强餐饮油烟整治作为大气污染防治攻坚的重点任务，责任到人，防控到边。2020年，市环境保护委员会办公室印发了《关于印发资阳市蓝天保卫战2020年行动方案的通知》资阳市2020年臭氧污染防治攻坚行动专项执法工作方案》继续推动有关工作。</w:t>
            </w:r>
          </w:p>
          <w:p>
            <w:pPr>
              <w:overflowPunct w:val="0"/>
              <w:topLinePunct/>
              <w:spacing w:line="340" w:lineRule="exact"/>
              <w:ind w:firstLine="421" w:firstLineChars="200"/>
              <w:rPr>
                <w:color w:val="000000"/>
                <w:spacing w:val="0"/>
                <w:kern w:val="0"/>
                <w:sz w:val="21"/>
                <w:szCs w:val="28"/>
              </w:rPr>
            </w:pPr>
            <w:r>
              <w:rPr>
                <w:rFonts w:hint="eastAsia"/>
                <w:b/>
                <w:bCs/>
                <w:color w:val="000000"/>
                <w:spacing w:val="0"/>
                <w:kern w:val="0"/>
                <w:sz w:val="21"/>
                <w:szCs w:val="28"/>
              </w:rPr>
              <w:t>整改措施2：</w:t>
            </w:r>
            <w:r>
              <w:rPr>
                <w:rFonts w:hint="eastAsia"/>
                <w:spacing w:val="0"/>
                <w:sz w:val="21"/>
                <w:szCs w:val="21"/>
              </w:rPr>
              <w:t>自贡、攀枝花、绵阳等</w:t>
            </w:r>
            <w:r>
              <w:rPr>
                <w:rFonts w:hint="eastAsia"/>
                <w:spacing w:val="0"/>
                <w:sz w:val="21"/>
                <w:szCs w:val="22"/>
              </w:rPr>
              <w:t>8市分别制定打赢蓝天保卫战实施方案，明</w:t>
            </w:r>
            <w:r>
              <w:rPr>
                <w:rFonts w:hint="eastAsia"/>
                <w:color w:val="000000"/>
                <w:spacing w:val="0"/>
                <w:sz w:val="21"/>
                <w:szCs w:val="22"/>
              </w:rPr>
              <w:t>确目标任务和责任分工。加快推进</w:t>
            </w:r>
            <w:r>
              <w:rPr>
                <w:rFonts w:hint="eastAsia"/>
                <w:spacing w:val="0"/>
                <w:sz w:val="21"/>
                <w:szCs w:val="22"/>
              </w:rPr>
              <w:t>工业源、移动源、扬尘源污染治理，截至2020年，自贡等8市完成燃煤电厂发电机组超低排放改造510万千瓦、完成15个钢铁超低排放改造项目、累计抽查柴油车100余万辆次、推动非道路移动机械编码登记2.5万余台。加快砖瓦、砂石等行业环境整治。</w:t>
            </w:r>
          </w:p>
          <w:p>
            <w:pPr>
              <w:overflowPunct w:val="0"/>
              <w:topLinePunct/>
              <w:spacing w:line="340" w:lineRule="exact"/>
              <w:ind w:firstLine="421" w:firstLineChars="200"/>
              <w:rPr>
                <w:rFonts w:ascii="等线" w:hAnsi="等线" w:eastAsia="宋体"/>
                <w:spacing w:val="0"/>
                <w:sz w:val="21"/>
                <w:szCs w:val="22"/>
              </w:rPr>
            </w:pPr>
            <w:r>
              <w:rPr>
                <w:rFonts w:hint="eastAsia"/>
                <w:b/>
                <w:bCs/>
                <w:color w:val="000000"/>
                <w:spacing w:val="0"/>
                <w:kern w:val="0"/>
                <w:sz w:val="21"/>
                <w:szCs w:val="28"/>
              </w:rPr>
              <w:t>整改措施3：</w:t>
            </w:r>
            <w:r>
              <w:rPr>
                <w:rFonts w:hint="eastAsia"/>
                <w:spacing w:val="0"/>
                <w:sz w:val="21"/>
                <w:szCs w:val="22"/>
              </w:rPr>
              <w:t>生态环境厅强化大气污染防治工作考核，对排名靠后的市政府实施了约谈，对工作进展滞后、环境空气质量有所反弹的印发提醒函、警示函，每月通报、排名。</w:t>
            </w:r>
            <w:r>
              <w:rPr>
                <w:rFonts w:hint="eastAsia"/>
                <w:color w:val="000000"/>
                <w:spacing w:val="0"/>
                <w:kern w:val="0"/>
                <w:sz w:val="21"/>
                <w:szCs w:val="21"/>
              </w:rPr>
              <w:t>2021年7月，</w:t>
            </w:r>
            <w:r>
              <w:rPr>
                <w:rFonts w:hint="eastAsia"/>
                <w:spacing w:val="0"/>
                <w:sz w:val="21"/>
                <w:szCs w:val="22"/>
              </w:rPr>
              <w:t>对未完成目标任务的宜宾市重点区域实施了环评限批。</w:t>
            </w:r>
          </w:p>
        </w:tc>
      </w:tr>
    </w:tbl>
    <w:p>
      <w:pPr>
        <w:pStyle w:val="3"/>
        <w:overflowPunct w:val="0"/>
        <w:topLinePunct/>
        <w:spacing w:line="600" w:lineRule="exact"/>
        <w:rPr>
          <w:spacing w:val="0"/>
        </w:rPr>
      </w:pPr>
      <w:r>
        <w:rPr>
          <w:spacing w:val="0"/>
        </w:rPr>
        <w:br w:type="page"/>
      </w:r>
      <w:r>
        <w:rPr>
          <w:spacing w:val="0"/>
        </w:rPr>
        <w:pict>
          <v:rect id="_x0000_s1027" o:spid="_x0000_s1027" o:spt="1" style="position:absolute;left:0pt;margin-left:350.6pt;margin-top:664.5pt;height:31.8pt;width:110.3pt;z-index:1024;mso-width-relative:page;mso-height-relative:page;" stroked="t" coordsize="21600,21600">
            <v:path/>
            <v:fill focussize="0,0"/>
            <v:stroke color="#FFFFFF"/>
            <v:imagedata o:title=""/>
            <o:lock v:ext="edit"/>
          </v:rect>
        </w:pict>
      </w:r>
      <w:r>
        <w:rPr>
          <w:spacing w:val="0"/>
        </w:rPr>
        <w:br w:type="page"/>
      </w: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600" w:lineRule="exact"/>
        <w:rPr>
          <w:spacing w:val="0"/>
        </w:rPr>
      </w:pPr>
    </w:p>
    <w:p>
      <w:pPr>
        <w:pStyle w:val="3"/>
        <w:overflowPunct w:val="0"/>
        <w:topLinePunct/>
        <w:spacing w:line="760" w:lineRule="exact"/>
        <w:rPr>
          <w:spacing w:val="0"/>
        </w:rPr>
      </w:pPr>
    </w:p>
    <w:p>
      <w:pPr>
        <w:pStyle w:val="3"/>
        <w:overflowPunct w:val="0"/>
        <w:topLinePunct/>
        <w:spacing w:line="600" w:lineRule="exact"/>
        <w:rPr>
          <w:rFonts w:ascii="黑体" w:hAnsi="黑体" w:eastAsia="黑体"/>
          <w:spacing w:val="0"/>
        </w:rPr>
      </w:pPr>
    </w:p>
    <w:p>
      <w:pPr>
        <w:pStyle w:val="3"/>
        <w:overflowPunct w:val="0"/>
        <w:topLinePunct/>
        <w:spacing w:line="600" w:lineRule="exact"/>
        <w:rPr>
          <w:rFonts w:ascii="黑体" w:hAnsi="黑体" w:eastAsia="黑体"/>
          <w:spacing w:val="0"/>
        </w:rPr>
      </w:pPr>
      <w:r>
        <w:rPr>
          <w:rFonts w:ascii="黑体" w:hAnsi="黑体" w:eastAsia="黑体"/>
          <w:spacing w:val="0"/>
        </w:rPr>
        <w:pict>
          <v:rect id="_x0000_s1026" o:spid="_x0000_s1026" o:spt="1" style="position:absolute;left:0pt;margin-left:-2.7pt;margin-top:29.45pt;height:31.8pt;width:110.3pt;z-index:1024;mso-width-relative:page;mso-height-relative:page;" stroked="t" coordsize="21600,21600">
            <v:path/>
            <v:fill focussize="0,0"/>
            <v:stroke color="#FFFFFF"/>
            <v:imagedata o:title=""/>
            <o:lock v:ext="edit"/>
          </v:rect>
        </w:pict>
      </w:r>
      <w:r>
        <w:rPr>
          <w:rFonts w:hint="eastAsia" w:ascii="黑体" w:hAnsi="黑体" w:eastAsia="黑体"/>
          <w:spacing w:val="0"/>
        </w:rPr>
        <w:t>信息公开选项</w:t>
      </w:r>
      <w:r>
        <w:rPr>
          <w:rFonts w:ascii="黑体" w:hAnsi="黑体" w:eastAsia="黑体"/>
          <w:spacing w:val="0"/>
        </w:rPr>
        <w:t>：</w:t>
      </w:r>
      <w:r>
        <w:rPr>
          <w:rFonts w:hint="eastAsia" w:ascii="仿宋_GB2312" w:hAnsi="黑体" w:eastAsia="仿宋_GB2312"/>
          <w:spacing w:val="0"/>
        </w:rPr>
        <w:t>主动公开</w:t>
      </w:r>
    </w:p>
    <w:sectPr>
      <w:footerReference r:id="rId5" w:type="default"/>
      <w:footerReference r:id="rId6" w:type="even"/>
      <w:pgSz w:w="11906" w:h="16838"/>
      <w:pgMar w:top="2098" w:right="1474" w:bottom="1247" w:left="1588" w:header="851" w:footer="992" w:gutter="0"/>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8" w:leftChars="100" w:right="308"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8" w:leftChars="100" w:right="308" w:rightChars="10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evenAndOddHeaders w:val="true"/>
  <w:drawingGridHorizontalSpacing w:val="154"/>
  <w:drawingGridVerticalSpacing w:val="435"/>
  <w:doNotShadeFormData w:val="true"/>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JmMmYwYTEwZjMxNDNiZDA4NzA0Mjc4ZDRmMzJiNTcifQ=="/>
    <w:docVar w:name="KGWebUrl" w:val="http://10.194.22.238:8089/seeyon/officeservlet"/>
  </w:docVars>
  <w:rsids>
    <w:rsidRoot w:val="00172A27"/>
    <w:rsid w:val="0000549A"/>
    <w:rsid w:val="000B33C7"/>
    <w:rsid w:val="00150BCF"/>
    <w:rsid w:val="00156C3F"/>
    <w:rsid w:val="00172A27"/>
    <w:rsid w:val="001B6C47"/>
    <w:rsid w:val="001C6B9B"/>
    <w:rsid w:val="001D28B8"/>
    <w:rsid w:val="001D43E7"/>
    <w:rsid w:val="00285568"/>
    <w:rsid w:val="00296605"/>
    <w:rsid w:val="002E6961"/>
    <w:rsid w:val="00344004"/>
    <w:rsid w:val="004132B9"/>
    <w:rsid w:val="004258A0"/>
    <w:rsid w:val="00441E2D"/>
    <w:rsid w:val="004426D9"/>
    <w:rsid w:val="004551E3"/>
    <w:rsid w:val="004609E4"/>
    <w:rsid w:val="004C038C"/>
    <w:rsid w:val="004C03A1"/>
    <w:rsid w:val="005E7E69"/>
    <w:rsid w:val="00617A3C"/>
    <w:rsid w:val="00661AA9"/>
    <w:rsid w:val="0066725F"/>
    <w:rsid w:val="00671DD0"/>
    <w:rsid w:val="006D7AFC"/>
    <w:rsid w:val="00722B2C"/>
    <w:rsid w:val="00763F70"/>
    <w:rsid w:val="007D211F"/>
    <w:rsid w:val="008761E1"/>
    <w:rsid w:val="0094371B"/>
    <w:rsid w:val="009541AB"/>
    <w:rsid w:val="00976F1B"/>
    <w:rsid w:val="00997936"/>
    <w:rsid w:val="00A1285F"/>
    <w:rsid w:val="00B30EDD"/>
    <w:rsid w:val="00B43A85"/>
    <w:rsid w:val="00B77788"/>
    <w:rsid w:val="00B81F56"/>
    <w:rsid w:val="00BA257D"/>
    <w:rsid w:val="00BF4693"/>
    <w:rsid w:val="00C358BA"/>
    <w:rsid w:val="00C54432"/>
    <w:rsid w:val="00C93137"/>
    <w:rsid w:val="00D86D3C"/>
    <w:rsid w:val="00D8D873"/>
    <w:rsid w:val="00D952B9"/>
    <w:rsid w:val="00DD5D7E"/>
    <w:rsid w:val="00DF46A6"/>
    <w:rsid w:val="00E00B68"/>
    <w:rsid w:val="00E70145"/>
    <w:rsid w:val="00EE7EAB"/>
    <w:rsid w:val="00F706FC"/>
    <w:rsid w:val="01A21D3A"/>
    <w:rsid w:val="024AF65E"/>
    <w:rsid w:val="033F4A21"/>
    <w:rsid w:val="0350CDEF"/>
    <w:rsid w:val="074396CB"/>
    <w:rsid w:val="08291CEC"/>
    <w:rsid w:val="08808DF1"/>
    <w:rsid w:val="08D77CF8"/>
    <w:rsid w:val="095BC8EE"/>
    <w:rsid w:val="09DF6C6F"/>
    <w:rsid w:val="09F330BE"/>
    <w:rsid w:val="0A40E749"/>
    <w:rsid w:val="0CA68D6E"/>
    <w:rsid w:val="0CE12F1D"/>
    <w:rsid w:val="0D8A1623"/>
    <w:rsid w:val="0DE9146E"/>
    <w:rsid w:val="0EC1D978"/>
    <w:rsid w:val="0ED7BAE1"/>
    <w:rsid w:val="0FFFCD49"/>
    <w:rsid w:val="11EAEC49"/>
    <w:rsid w:val="14723AC7"/>
    <w:rsid w:val="148BB33C"/>
    <w:rsid w:val="14EDD046"/>
    <w:rsid w:val="16891E77"/>
    <w:rsid w:val="16F5584D"/>
    <w:rsid w:val="1711BE81"/>
    <w:rsid w:val="1717B71A"/>
    <w:rsid w:val="190BC7FD"/>
    <w:rsid w:val="19C478BD"/>
    <w:rsid w:val="1A839B13"/>
    <w:rsid w:val="1E1FCA18"/>
    <w:rsid w:val="1E927DD0"/>
    <w:rsid w:val="1EB6227D"/>
    <w:rsid w:val="1EBF48FA"/>
    <w:rsid w:val="1F0895A5"/>
    <w:rsid w:val="1F871B02"/>
    <w:rsid w:val="20B8C492"/>
    <w:rsid w:val="20CCFBCA"/>
    <w:rsid w:val="20E76701"/>
    <w:rsid w:val="23F9A816"/>
    <w:rsid w:val="24556F7E"/>
    <w:rsid w:val="24FF5A24"/>
    <w:rsid w:val="25F1CCEA"/>
    <w:rsid w:val="26AB69DB"/>
    <w:rsid w:val="280CD248"/>
    <w:rsid w:val="281BD4D6"/>
    <w:rsid w:val="28F274B7"/>
    <w:rsid w:val="28FEF3D1"/>
    <w:rsid w:val="29CF2CD3"/>
    <w:rsid w:val="2A652BEA"/>
    <w:rsid w:val="2B0521F5"/>
    <w:rsid w:val="2B21DE91"/>
    <w:rsid w:val="2BFA7828"/>
    <w:rsid w:val="2C7C2824"/>
    <w:rsid w:val="2CA2D7D3"/>
    <w:rsid w:val="2CBC5519"/>
    <w:rsid w:val="2CD7DA01"/>
    <w:rsid w:val="2D17A44D"/>
    <w:rsid w:val="2DA84B52"/>
    <w:rsid w:val="2F998C4C"/>
    <w:rsid w:val="2FA7B38B"/>
    <w:rsid w:val="2FFEE508"/>
    <w:rsid w:val="3044E513"/>
    <w:rsid w:val="30D5CE4C"/>
    <w:rsid w:val="320F8A6B"/>
    <w:rsid w:val="32730DD9"/>
    <w:rsid w:val="3279E9AA"/>
    <w:rsid w:val="32E598E9"/>
    <w:rsid w:val="369CF50A"/>
    <w:rsid w:val="36EDD567"/>
    <w:rsid w:val="370DB5BB"/>
    <w:rsid w:val="37491715"/>
    <w:rsid w:val="378C8092"/>
    <w:rsid w:val="37BFCECB"/>
    <w:rsid w:val="37F722A7"/>
    <w:rsid w:val="3870CF63"/>
    <w:rsid w:val="3947AA55"/>
    <w:rsid w:val="39ED3C8E"/>
    <w:rsid w:val="3BAFCF71"/>
    <w:rsid w:val="3BF7A962"/>
    <w:rsid w:val="3C10AB39"/>
    <w:rsid w:val="3C4ED38F"/>
    <w:rsid w:val="3DEE8DC6"/>
    <w:rsid w:val="3E8861B1"/>
    <w:rsid w:val="3E933B0E"/>
    <w:rsid w:val="3EFE1F59"/>
    <w:rsid w:val="3FD87CFD"/>
    <w:rsid w:val="3FDFA612"/>
    <w:rsid w:val="3FFB1AC2"/>
    <w:rsid w:val="3FFFCD88"/>
    <w:rsid w:val="41A58DAD"/>
    <w:rsid w:val="4235E3F1"/>
    <w:rsid w:val="42F17B1F"/>
    <w:rsid w:val="433E40A7"/>
    <w:rsid w:val="450F91E2"/>
    <w:rsid w:val="452661BF"/>
    <w:rsid w:val="47778E6E"/>
    <w:rsid w:val="4781DFEC"/>
    <w:rsid w:val="484A7E9C"/>
    <w:rsid w:val="4C50757A"/>
    <w:rsid w:val="4C904B79"/>
    <w:rsid w:val="4D46526B"/>
    <w:rsid w:val="4E7F2D60"/>
    <w:rsid w:val="4FC3B4B6"/>
    <w:rsid w:val="500AA494"/>
    <w:rsid w:val="53245423"/>
    <w:rsid w:val="53A53D55"/>
    <w:rsid w:val="53B9B335"/>
    <w:rsid w:val="544C879D"/>
    <w:rsid w:val="546744FA"/>
    <w:rsid w:val="55FACBEF"/>
    <w:rsid w:val="56BF3FA6"/>
    <w:rsid w:val="56C62EA0"/>
    <w:rsid w:val="572CEA8D"/>
    <w:rsid w:val="5861A835"/>
    <w:rsid w:val="58733715"/>
    <w:rsid w:val="5894E753"/>
    <w:rsid w:val="59787055"/>
    <w:rsid w:val="59A65669"/>
    <w:rsid w:val="5C6C669F"/>
    <w:rsid w:val="5D64EBF2"/>
    <w:rsid w:val="5DE66C5B"/>
    <w:rsid w:val="5F4FB23C"/>
    <w:rsid w:val="5FFBF4AA"/>
    <w:rsid w:val="5FFD9FF8"/>
    <w:rsid w:val="60D3EAC7"/>
    <w:rsid w:val="60E6A6B5"/>
    <w:rsid w:val="6105B1E9"/>
    <w:rsid w:val="62F07C16"/>
    <w:rsid w:val="63565B81"/>
    <w:rsid w:val="637DA172"/>
    <w:rsid w:val="639744BB"/>
    <w:rsid w:val="643DE03C"/>
    <w:rsid w:val="667F0267"/>
    <w:rsid w:val="6719CE5F"/>
    <w:rsid w:val="683A99C3"/>
    <w:rsid w:val="6AF351CF"/>
    <w:rsid w:val="6B7F3BFA"/>
    <w:rsid w:val="6BFF023B"/>
    <w:rsid w:val="6D6F5394"/>
    <w:rsid w:val="6D751A8D"/>
    <w:rsid w:val="6DFF6FD5"/>
    <w:rsid w:val="6E685A79"/>
    <w:rsid w:val="6EBC33C1"/>
    <w:rsid w:val="6EBF62A4"/>
    <w:rsid w:val="6EFF3BFF"/>
    <w:rsid w:val="6F0A5D2F"/>
    <w:rsid w:val="6F2F02EA"/>
    <w:rsid w:val="6F5E6C30"/>
    <w:rsid w:val="6F6FFA6D"/>
    <w:rsid w:val="6F8678D7"/>
    <w:rsid w:val="6FB2E3AF"/>
    <w:rsid w:val="6FB47A9B"/>
    <w:rsid w:val="6FF793F9"/>
    <w:rsid w:val="70998DD4"/>
    <w:rsid w:val="71220DA8"/>
    <w:rsid w:val="72FA134C"/>
    <w:rsid w:val="742B1928"/>
    <w:rsid w:val="74562581"/>
    <w:rsid w:val="752179CD"/>
    <w:rsid w:val="75FBCC84"/>
    <w:rsid w:val="7742E54B"/>
    <w:rsid w:val="774FE0AD"/>
    <w:rsid w:val="77AF7BD2"/>
    <w:rsid w:val="77C53E63"/>
    <w:rsid w:val="77DE82FE"/>
    <w:rsid w:val="78FBE912"/>
    <w:rsid w:val="7ACDB2E0"/>
    <w:rsid w:val="7B1B8A9A"/>
    <w:rsid w:val="7B5F054D"/>
    <w:rsid w:val="7BB5FFBC"/>
    <w:rsid w:val="7BB73DCA"/>
    <w:rsid w:val="7BDDD90A"/>
    <w:rsid w:val="7BEE219F"/>
    <w:rsid w:val="7C35C047"/>
    <w:rsid w:val="7C52D2FD"/>
    <w:rsid w:val="7C646807"/>
    <w:rsid w:val="7C6B871B"/>
    <w:rsid w:val="7CBD50C4"/>
    <w:rsid w:val="7CBE118B"/>
    <w:rsid w:val="7CC76951"/>
    <w:rsid w:val="7D89CC64"/>
    <w:rsid w:val="7DFDE482"/>
    <w:rsid w:val="7E97E852"/>
    <w:rsid w:val="7EF73159"/>
    <w:rsid w:val="7EF796BA"/>
    <w:rsid w:val="7F1DD43E"/>
    <w:rsid w:val="7F7BF157"/>
    <w:rsid w:val="7FDBDA95"/>
    <w:rsid w:val="7FED2516"/>
    <w:rsid w:val="7FFF1C36"/>
    <w:rsid w:val="80F4F92B"/>
    <w:rsid w:val="81265B8F"/>
    <w:rsid w:val="814F19B4"/>
    <w:rsid w:val="82490835"/>
    <w:rsid w:val="8263D098"/>
    <w:rsid w:val="8320C8D1"/>
    <w:rsid w:val="837C7A51"/>
    <w:rsid w:val="844CBC1C"/>
    <w:rsid w:val="862DB99F"/>
    <w:rsid w:val="873233CA"/>
    <w:rsid w:val="88FC1419"/>
    <w:rsid w:val="892A974A"/>
    <w:rsid w:val="89520B88"/>
    <w:rsid w:val="89B75785"/>
    <w:rsid w:val="8A983794"/>
    <w:rsid w:val="8BA8691D"/>
    <w:rsid w:val="8CB82DA2"/>
    <w:rsid w:val="8D58B1CB"/>
    <w:rsid w:val="8D88F4A8"/>
    <w:rsid w:val="8DB8542F"/>
    <w:rsid w:val="8F2F422F"/>
    <w:rsid w:val="92C1E908"/>
    <w:rsid w:val="9423C211"/>
    <w:rsid w:val="94BF75ED"/>
    <w:rsid w:val="961DCBAF"/>
    <w:rsid w:val="9637F80B"/>
    <w:rsid w:val="977F3C75"/>
    <w:rsid w:val="97F4CB55"/>
    <w:rsid w:val="982E9EB5"/>
    <w:rsid w:val="98597A2D"/>
    <w:rsid w:val="988A0BD9"/>
    <w:rsid w:val="98F6A5DF"/>
    <w:rsid w:val="9A6B1489"/>
    <w:rsid w:val="9AE524A0"/>
    <w:rsid w:val="9D7F771E"/>
    <w:rsid w:val="9FA1DFDC"/>
    <w:rsid w:val="A1253796"/>
    <w:rsid w:val="A18AE790"/>
    <w:rsid w:val="A2F73F2C"/>
    <w:rsid w:val="A34C6ED7"/>
    <w:rsid w:val="A45A1C48"/>
    <w:rsid w:val="A4677EA0"/>
    <w:rsid w:val="A5AB6899"/>
    <w:rsid w:val="A60C040C"/>
    <w:rsid w:val="A65E9B4F"/>
    <w:rsid w:val="A725D839"/>
    <w:rsid w:val="A794CBDE"/>
    <w:rsid w:val="A86C0B9D"/>
    <w:rsid w:val="A94BCF9E"/>
    <w:rsid w:val="A9CB615F"/>
    <w:rsid w:val="AB777344"/>
    <w:rsid w:val="ADD90133"/>
    <w:rsid w:val="ADFF047D"/>
    <w:rsid w:val="ADFF7A77"/>
    <w:rsid w:val="AE4D1A85"/>
    <w:rsid w:val="AFAA88F2"/>
    <w:rsid w:val="B1E54933"/>
    <w:rsid w:val="B1F63F1F"/>
    <w:rsid w:val="B272480D"/>
    <w:rsid w:val="B29CF890"/>
    <w:rsid w:val="B6F4EE2F"/>
    <w:rsid w:val="B6F8D2F8"/>
    <w:rsid w:val="B7221C09"/>
    <w:rsid w:val="B7FD22B5"/>
    <w:rsid w:val="B8541FF4"/>
    <w:rsid w:val="B98CF8F2"/>
    <w:rsid w:val="BA5ED536"/>
    <w:rsid w:val="BAEC7140"/>
    <w:rsid w:val="BB1E7A81"/>
    <w:rsid w:val="BCFFF4D9"/>
    <w:rsid w:val="BDEA5C77"/>
    <w:rsid w:val="BDF4BEC1"/>
    <w:rsid w:val="BE3F2B18"/>
    <w:rsid w:val="BEFD943F"/>
    <w:rsid w:val="BF87CFEA"/>
    <w:rsid w:val="BFE7B48A"/>
    <w:rsid w:val="BFF3FDCB"/>
    <w:rsid w:val="C2980747"/>
    <w:rsid w:val="C2E80804"/>
    <w:rsid w:val="C43BEB86"/>
    <w:rsid w:val="C6DF09CD"/>
    <w:rsid w:val="C777A7B1"/>
    <w:rsid w:val="C7D22880"/>
    <w:rsid w:val="C9E5D2F6"/>
    <w:rsid w:val="CB1C8A10"/>
    <w:rsid w:val="CBF3E4F7"/>
    <w:rsid w:val="CC1664F9"/>
    <w:rsid w:val="CC7713C6"/>
    <w:rsid w:val="CD30A601"/>
    <w:rsid w:val="CDB42C3C"/>
    <w:rsid w:val="CE739F73"/>
    <w:rsid w:val="CF3F0120"/>
    <w:rsid w:val="CF7C8F2D"/>
    <w:rsid w:val="D1EF3546"/>
    <w:rsid w:val="D2980669"/>
    <w:rsid w:val="D3D0EC64"/>
    <w:rsid w:val="D57B93BB"/>
    <w:rsid w:val="D59F31A9"/>
    <w:rsid w:val="D5EA6A56"/>
    <w:rsid w:val="D6172393"/>
    <w:rsid w:val="D629B0FF"/>
    <w:rsid w:val="D7B62944"/>
    <w:rsid w:val="D858E3D8"/>
    <w:rsid w:val="D927B5A6"/>
    <w:rsid w:val="D9FDB6B8"/>
    <w:rsid w:val="DA6A37DC"/>
    <w:rsid w:val="DB6D7A81"/>
    <w:rsid w:val="DBAAC7CD"/>
    <w:rsid w:val="DBAE354F"/>
    <w:rsid w:val="DC45286F"/>
    <w:rsid w:val="DCAFBD38"/>
    <w:rsid w:val="DDA88CB5"/>
    <w:rsid w:val="DDAFB482"/>
    <w:rsid w:val="DDBB1323"/>
    <w:rsid w:val="DDC20172"/>
    <w:rsid w:val="DDC6393A"/>
    <w:rsid w:val="DDEFC057"/>
    <w:rsid w:val="DDFEEE3E"/>
    <w:rsid w:val="DED87BDA"/>
    <w:rsid w:val="DEDDE9CB"/>
    <w:rsid w:val="DEEDFCAE"/>
    <w:rsid w:val="DF69468C"/>
    <w:rsid w:val="DFA504B8"/>
    <w:rsid w:val="DFF15840"/>
    <w:rsid w:val="E03168F7"/>
    <w:rsid w:val="E1D49061"/>
    <w:rsid w:val="E23FE71D"/>
    <w:rsid w:val="E398D201"/>
    <w:rsid w:val="E411CD4C"/>
    <w:rsid w:val="E5D54981"/>
    <w:rsid w:val="E656DC8A"/>
    <w:rsid w:val="E70E8B84"/>
    <w:rsid w:val="E7134E07"/>
    <w:rsid w:val="E7864CFF"/>
    <w:rsid w:val="E8266C7C"/>
    <w:rsid w:val="E830CF4B"/>
    <w:rsid w:val="E885DD17"/>
    <w:rsid w:val="E928210B"/>
    <w:rsid w:val="E93573AA"/>
    <w:rsid w:val="E93B9B86"/>
    <w:rsid w:val="E9483063"/>
    <w:rsid w:val="EA46166A"/>
    <w:rsid w:val="EA7DF13C"/>
    <w:rsid w:val="EABD6BFE"/>
    <w:rsid w:val="EB2FDDE1"/>
    <w:rsid w:val="EB9CAC18"/>
    <w:rsid w:val="EBD8A365"/>
    <w:rsid w:val="ECE52276"/>
    <w:rsid w:val="EDFA2444"/>
    <w:rsid w:val="EDFB5C5E"/>
    <w:rsid w:val="EEFB9D98"/>
    <w:rsid w:val="EF03C47D"/>
    <w:rsid w:val="EF1DDC5A"/>
    <w:rsid w:val="EF4D2F9A"/>
    <w:rsid w:val="EF7BAA21"/>
    <w:rsid w:val="EFAE5414"/>
    <w:rsid w:val="EFF68990"/>
    <w:rsid w:val="F0ED0C99"/>
    <w:rsid w:val="F1728DF9"/>
    <w:rsid w:val="F1C12AC0"/>
    <w:rsid w:val="F1C762BC"/>
    <w:rsid w:val="F3DF32B1"/>
    <w:rsid w:val="F3F4CD6B"/>
    <w:rsid w:val="F41F6B96"/>
    <w:rsid w:val="F5F33AFC"/>
    <w:rsid w:val="F6170E11"/>
    <w:rsid w:val="F635B4F7"/>
    <w:rsid w:val="F6500A0D"/>
    <w:rsid w:val="F79F1800"/>
    <w:rsid w:val="F7FA188F"/>
    <w:rsid w:val="F8596B63"/>
    <w:rsid w:val="F87EDAB5"/>
    <w:rsid w:val="F8E148A5"/>
    <w:rsid w:val="F93E18BF"/>
    <w:rsid w:val="F97DCB92"/>
    <w:rsid w:val="FA8EE142"/>
    <w:rsid w:val="FA8F05DB"/>
    <w:rsid w:val="FAC76DD6"/>
    <w:rsid w:val="FB8AC08A"/>
    <w:rsid w:val="FBBF6F31"/>
    <w:rsid w:val="FBC17123"/>
    <w:rsid w:val="FBDF348A"/>
    <w:rsid w:val="FBF733C4"/>
    <w:rsid w:val="FBFD95C3"/>
    <w:rsid w:val="FBFFA7E7"/>
    <w:rsid w:val="FCFC93FF"/>
    <w:rsid w:val="FD0FAD1E"/>
    <w:rsid w:val="FD3DD1E4"/>
    <w:rsid w:val="FDAFBA1F"/>
    <w:rsid w:val="FDD5A178"/>
    <w:rsid w:val="FDE6DBF6"/>
    <w:rsid w:val="FDFB268F"/>
    <w:rsid w:val="FDFECE4A"/>
    <w:rsid w:val="FED73421"/>
    <w:rsid w:val="FF0FD378"/>
    <w:rsid w:val="FF1D367C"/>
    <w:rsid w:val="FF477A4F"/>
    <w:rsid w:val="FF4F3FCF"/>
    <w:rsid w:val="FF6F067B"/>
    <w:rsid w:val="FF8DECAA"/>
    <w:rsid w:val="FFA3512A"/>
    <w:rsid w:val="FFBFD575"/>
    <w:rsid w:val="FFDE17C3"/>
    <w:rsid w:val="FFEF1E02"/>
    <w:rsid w:val="FFF3196F"/>
    <w:rsid w:val="FFF96E1C"/>
    <w:rsid w:val="FFFD9877"/>
    <w:rsid w:val="FFFDDC90"/>
    <w:rsid w:val="FFFE6A62"/>
    <w:rsid w:val="FFFF8AEE"/>
    <w:rsid w:val="FFFF9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Salutation"/>
    <w:basedOn w:val="1"/>
    <w:next w:val="1"/>
    <w:qFormat/>
    <w:uiPriority w:val="0"/>
    <w:rPr>
      <w:rFonts w:eastAsia="宋体"/>
    </w:rPr>
  </w:style>
  <w:style w:type="paragraph" w:styleId="4">
    <w:name w:val="Body Text"/>
    <w:basedOn w:val="1"/>
    <w:next w:val="2"/>
    <w:qFormat/>
    <w:uiPriority w:val="0"/>
    <w:pPr>
      <w:widowControl/>
      <w:spacing w:line="360" w:lineRule="auto"/>
      <w:jc w:val="left"/>
    </w:pPr>
    <w:rPr>
      <w:rFonts w:ascii="Calibri" w:hAnsi="Calibri" w:eastAsia="宋体"/>
      <w:color w:val="000000"/>
      <w:kern w:val="0"/>
      <w:sz w:val="24"/>
      <w:szCs w:val="24"/>
      <w:lang w:eastAsia="en-US" w:bidi="en-US"/>
    </w:r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rFonts w:eastAsia="宋体"/>
      <w:sz w:val="20"/>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rPr>
      <w:rFonts w:ascii="Times New Roman" w:hAnsi="Times New Roman" w:eastAsia="宋体" w:cs="Times New Roman"/>
    </w:rPr>
  </w:style>
  <w:style w:type="character" w:customStyle="1" w:styleId="12">
    <w:name w:val="页眉 字符"/>
    <w:link w:val="6"/>
    <w:qFormat/>
    <w:uiPriority w:val="0"/>
    <w:rPr>
      <w:rFonts w:eastAsia="仿宋_GB2312" w:cs="Times New Roman"/>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529</Words>
  <Characters>3021</Characters>
  <Lines>25</Lines>
  <Paragraphs>7</Paragraphs>
  <TotalTime>34</TotalTime>
  <ScaleCrop>false</ScaleCrop>
  <LinksUpToDate>false</LinksUpToDate>
  <CharactersWithSpaces>3543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2016-04-21T03:31:00Z</dcterms:created>
  <dc:creator>Administrator</dc:creator>
  <cp:lastModifiedBy>冲^_→哥</cp:lastModifiedBy>
  <dcterms:modified xsi:type="dcterms:W3CDTF">2023-01-06T15:47:09Z</dcterms:modified>
  <dc:title>附件n</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55E81ADCB45940B696968F7F02189706</vt:lpwstr>
  </property>
</Properties>
</file>