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1" w:name="_Toc15396597"/>
      <w:bookmarkStart w:id="2" w:name="_Toc15377193"/>
      <w:bookmarkStart w:id="3" w:name="_Toc15378441"/>
      <w:bookmarkStart w:id="4" w:name="_Toc15396475"/>
      <w:bookmarkStart w:id="5" w:name="_Toc15377425"/>
      <w:r>
        <w:rPr>
          <w:rFonts w:ascii="黑体" w:eastAsia="黑体"/>
          <w:color w:val="000000"/>
          <w:sz w:val="72"/>
          <w:szCs w:val="72"/>
        </w:rPr>
        <w:t>2020</w:t>
      </w:r>
      <w:r>
        <w:rPr>
          <w:rFonts w:ascii="方正小标宋简体" w:eastAsia="方正小标宋简体" w:hint="eastAsia"/>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hint="eastAsia"/>
          <w:color w:val="000000"/>
          <w:sz w:val="72"/>
          <w:szCs w:val="72"/>
        </w:rPr>
      </w:pPr>
      <w:bookmarkStart w:id="6" w:name="_Toc15377426"/>
      <w:bookmarkStart w:id="7" w:name="_Toc15378442"/>
      <w:bookmarkStart w:id="8" w:name="_Toc15396476"/>
      <w:bookmarkStart w:id="9" w:name="_Toc15396598"/>
      <w:bookmarkStart w:id="10" w:name="_Toc15377194"/>
      <w:r>
        <w:rPr>
          <w:rFonts w:ascii="方正小标宋简体" w:eastAsia="方正小标宋简体" w:hint="eastAsia"/>
          <w:color w:val="000000"/>
          <w:sz w:val="72"/>
          <w:szCs w:val="72"/>
        </w:rPr>
        <w:t>四川省</w:t>
      </w:r>
      <w:bookmarkStart w:id="11" w:name="_Toc15306268"/>
      <w:bookmarkEnd w:id="0"/>
      <w:r>
        <w:rPr>
          <w:rFonts w:ascii="方正小标宋简体" w:eastAsia="方正小标宋简体" w:hint="eastAsia"/>
          <w:color w:val="000000"/>
          <w:sz w:val="72"/>
          <w:szCs w:val="72"/>
        </w:rPr>
        <w:t>攀枝花市总工会</w:t>
      </w:r>
    </w:p>
    <w:p>
      <w:pPr>
        <w:adjustRightInd w:val="0"/>
        <w:snapToGrid w:val="0"/>
        <w:spacing w:line="360" w:lineRule="auto"/>
        <w:jc w:val="center"/>
        <w:outlineLvl w:val="0"/>
        <w:rPr>
          <w:rFonts w:ascii="方正小标宋简体" w:eastAsia="方正小标宋简体"/>
          <w:color w:val="000000"/>
          <w:sz w:val="72"/>
          <w:szCs w:val="72"/>
        </w:rPr>
      </w:pPr>
      <w:r>
        <w:rPr>
          <w:rFonts w:ascii="方正小标宋简体" w:eastAsia="方正小标宋简体" w:hint="eastAsia"/>
          <w:color w:val="000000"/>
          <w:sz w:val="72"/>
          <w:szCs w:val="72"/>
        </w:rPr>
        <w:t>部门决算</w:t>
      </w:r>
      <w:bookmarkEnd w:id="6"/>
      <w:bookmarkEnd w:id="7"/>
      <w:bookmarkEnd w:id="8"/>
      <w:bookmarkEnd w:id="9"/>
      <w:bookmarkEnd w:id="10"/>
      <w:bookmarkEnd w:id="11"/>
    </w:p>
    <w:p>
      <w:pPr>
        <w:widowControl/>
        <w:jc w:val="center"/>
        <w:rPr>
          <w:rFonts w:ascii="黑体" w:eastAsia="黑体"/>
          <w:color w:val="000000"/>
          <w:sz w:val="48"/>
          <w:szCs w:val="48"/>
        </w:rPr>
      </w:pPr>
      <w:r>
        <w:rPr>
          <w:rFonts w:ascii="方正小标宋简体" w:eastAsia="方正小标宋简体"/>
          <w:color w:val="000000"/>
          <w:sz w:val="36"/>
          <w:szCs w:val="36"/>
        </w:rPr>
        <w:br w:type="page"/>
      </w:r>
      <w:r>
        <w:rPr>
          <w:rFonts w:ascii="黑体" w:eastAsia="黑体" w:hint="eastAsia"/>
          <w:color w:val="000000"/>
          <w:sz w:val="48"/>
          <w:szCs w:val="48"/>
        </w:rPr>
        <w:t>目录</w:t>
      </w:r>
    </w:p>
    <w:p>
      <w:pPr>
        <w:widowControl/>
        <w:jc w:val="center"/>
        <w:rPr>
          <w:rFonts w:ascii="黑体" w:eastAsia="黑体"/>
          <w:sz w:val="28"/>
          <w:szCs w:val="28"/>
        </w:rPr>
      </w:pPr>
    </w:p>
    <w:p>
      <w:pPr>
        <w:pStyle w:val="24"/>
        <w:tabs>
          <w:tab w:val="right" w:leader="dot" w:pos="8296"/>
        </w:tabs>
      </w:pPr>
      <w:r>
        <w:rPr>
          <w:rFonts w:hint="eastAsia"/>
        </w:rPr>
        <w:t>公开时间：</w:t>
      </w:r>
      <w:r>
        <w:t>2021</w:t>
      </w:r>
      <w:r>
        <w:rPr>
          <w:rFonts w:hint="eastAsia"/>
        </w:rPr>
        <w:t>年</w:t>
      </w:r>
      <w:r>
        <w:t>9</w:t>
      </w:r>
      <w:r>
        <w:rPr>
          <w:rFonts w:hint="eastAsia"/>
        </w:rPr>
        <w:t>月</w:t>
      </w:r>
      <w:r>
        <w:t>16</w:t>
      </w:r>
      <w:r>
        <w:rPr>
          <w:rFonts w:hint="eastAsia"/>
        </w:rPr>
        <w:t>日</w:t>
      </w:r>
    </w:p>
    <w:p/>
    <w:p>
      <w:pPr>
        <w:pStyle w:val="24"/>
        <w:tabs>
          <w:tab w:val="right" w:leader="dot" w:pos="8296"/>
        </w:tabs>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r>
        <w:rPr>
          <w:sz w:val="24"/>
        </w:rPr>
        <w:t>…………………………………………………4</w:t>
      </w:r>
    </w:p>
    <w:p>
      <w:pPr>
        <w:pStyle w:val="21"/>
        <w:tabs>
          <w:tab w:val="right" w:leader="dot" w:pos="8296"/>
        </w:tabs>
        <w:adjustRightInd w:val="0"/>
        <w:snapToGrid w:val="0"/>
        <w:spacing w:line="440" w:lineRule="exact"/>
        <w:jc w:val="left"/>
        <w:rPr>
          <w:rFonts w:ascii="仿宋" w:hAnsi="仿宋"/>
          <w:sz w:val="24"/>
        </w:rPr>
      </w:pPr>
      <w:r>
        <w:rPr>
          <w:rFonts w:hint="eastAsia"/>
          <w:sz w:val="24"/>
        </w:rPr>
        <w:t>一、基本职能及主要工作</w:t>
      </w:r>
      <w:r>
        <w:rPr>
          <w:sz w:val="24"/>
        </w:rPr>
        <w:t>………………………………………</w:t>
      </w:r>
      <w:r>
        <w:rPr>
          <w:rFonts w:hint="eastAsia"/>
          <w:sz w:val="24"/>
        </w:rPr>
        <w:t xml:space="preserve">4 </w:t>
      </w:r>
    </w:p>
    <w:p>
      <w:pPr>
        <w:pStyle w:val="21"/>
        <w:tabs>
          <w:tab w:val="right" w:leader="dot" w:pos="8296"/>
        </w:tabs>
        <w:adjustRightInd w:val="0"/>
        <w:snapToGrid w:val="0"/>
        <w:spacing w:line="440" w:lineRule="exact"/>
        <w:jc w:val="left"/>
        <w:rPr>
          <w:rFonts w:ascii="仿宋" w:hAnsi="仿宋"/>
          <w:sz w:val="24"/>
        </w:rPr>
      </w:pPr>
      <w:r>
        <w:rPr>
          <w:rFonts w:hint="eastAsia"/>
          <w:sz w:val="24"/>
        </w:rPr>
        <w:t>二、机构设置</w:t>
      </w:r>
      <w:r>
        <w:rPr>
          <w:sz w:val="24"/>
        </w:rPr>
        <w:t>……………………………………………………</w:t>
      </w:r>
      <w:r>
        <w:rPr>
          <w:rFonts w:hint="eastAsia"/>
          <w:sz w:val="24"/>
        </w:rPr>
        <w:t xml:space="preserve">7 </w:t>
      </w:r>
    </w:p>
    <w:p>
      <w:pPr>
        <w:pStyle w:val="24"/>
        <w:tabs>
          <w:tab w:val="right" w:leader="dot" w:pos="8296"/>
        </w:tabs>
        <w:adjustRightInd w:val="0"/>
        <w:snapToGrid w:val="0"/>
        <w:spacing w:before="0" w:line="440" w:lineRule="exact"/>
        <w:jc w:val="left"/>
        <w:rPr>
          <w:sz w:val="24"/>
          <w:szCs w:val="24"/>
        </w:rPr>
      </w:pPr>
      <w:r>
        <w:rPr>
          <w:rFonts w:hint="eastAsia"/>
          <w:sz w:val="24"/>
        </w:rPr>
        <w:t>第二部分度部门决算情况说明</w:t>
      </w:r>
      <w:r>
        <w:rPr>
          <w:sz w:val="24"/>
        </w:rPr>
        <w:t>………………</w:t>
      </w:r>
      <w:bookmarkStart w:id="12" w:name="_GoBack"/>
      <w:bookmarkEnd w:id="12"/>
      <w:r>
        <w:rPr>
          <w:sz w:val="24"/>
        </w:rPr>
        <w:t>………………………7</w:t>
      </w:r>
    </w:p>
    <w:p>
      <w:pPr>
        <w:pStyle w:val="21"/>
        <w:tabs>
          <w:tab w:val="right" w:leader="dot" w:pos="8296"/>
        </w:tabs>
        <w:adjustRightInd w:val="0"/>
        <w:snapToGrid w:val="0"/>
        <w:spacing w:line="440" w:lineRule="exact"/>
        <w:jc w:val="left"/>
        <w:rPr>
          <w:rFonts w:ascii="仿宋" w:hAnsi="仿宋"/>
          <w:sz w:val="24"/>
        </w:rPr>
      </w:pPr>
      <w:r>
        <w:rPr>
          <w:rFonts w:hint="eastAsia"/>
          <w:sz w:val="24"/>
        </w:rPr>
        <w:t>一、收入支出决算总体情况说明</w:t>
      </w:r>
      <w:r>
        <w:rPr>
          <w:sz w:val="24"/>
        </w:rPr>
        <w:t>………………………………</w:t>
      </w:r>
      <w:r>
        <w:rPr>
          <w:rFonts w:hint="eastAsia"/>
          <w:sz w:val="24"/>
        </w:rPr>
        <w:t>7</w:t>
      </w:r>
    </w:p>
    <w:p>
      <w:pPr>
        <w:pStyle w:val="21"/>
        <w:tabs>
          <w:tab w:val="right" w:leader="dot" w:pos="8296"/>
        </w:tabs>
        <w:adjustRightInd w:val="0"/>
        <w:snapToGrid w:val="0"/>
        <w:spacing w:line="440" w:lineRule="exact"/>
        <w:jc w:val="left"/>
        <w:rPr>
          <w:rFonts w:ascii="仿宋" w:hAnsi="仿宋"/>
          <w:sz w:val="24"/>
        </w:rPr>
      </w:pPr>
      <w:r>
        <w:rPr>
          <w:rFonts w:hint="eastAsia"/>
          <w:sz w:val="24"/>
        </w:rPr>
        <w:t>二、收入决算情况说明</w:t>
      </w:r>
      <w:r>
        <w:rPr>
          <w:sz w:val="24"/>
        </w:rPr>
        <w:t>…………………………………………</w:t>
      </w:r>
      <w:r>
        <w:rPr>
          <w:rFonts w:hint="eastAsia"/>
          <w:sz w:val="24"/>
        </w:rPr>
        <w:t>.8</w:t>
      </w:r>
    </w:p>
    <w:p>
      <w:pPr>
        <w:pStyle w:val="21"/>
        <w:tabs>
          <w:tab w:val="right" w:leader="dot" w:pos="8296"/>
        </w:tabs>
        <w:adjustRightInd w:val="0"/>
        <w:snapToGrid w:val="0"/>
        <w:spacing w:line="440" w:lineRule="exact"/>
        <w:jc w:val="left"/>
        <w:rPr>
          <w:rFonts w:ascii="仿宋" w:hAnsi="仿宋"/>
          <w:sz w:val="24"/>
        </w:rPr>
      </w:pPr>
      <w:r>
        <w:rPr>
          <w:rFonts w:hint="eastAsia"/>
          <w:sz w:val="24"/>
        </w:rPr>
        <w:t>三、支出决算情况说明</w:t>
      </w:r>
      <w:r>
        <w:rPr>
          <w:sz w:val="24"/>
        </w:rPr>
        <w:t>…………………………………………</w:t>
      </w:r>
      <w:r>
        <w:rPr>
          <w:rFonts w:hint="eastAsia"/>
          <w:sz w:val="24"/>
        </w:rPr>
        <w:t>.8</w:t>
      </w:r>
    </w:p>
    <w:p>
      <w:pPr>
        <w:pStyle w:val="21"/>
        <w:tabs>
          <w:tab w:val="right" w:leader="dot" w:pos="8296"/>
        </w:tabs>
        <w:adjustRightInd w:val="0"/>
        <w:snapToGrid w:val="0"/>
        <w:spacing w:line="440" w:lineRule="exact"/>
        <w:jc w:val="left"/>
        <w:rPr>
          <w:rFonts w:ascii="仿宋" w:hAnsi="仿宋"/>
          <w:sz w:val="24"/>
        </w:rPr>
      </w:pPr>
      <w:r>
        <w:rPr>
          <w:rFonts w:hint="eastAsia"/>
          <w:sz w:val="24"/>
        </w:rPr>
        <w:t>四、财政拨款收入支出决算总体情况说明</w:t>
      </w:r>
      <w:r>
        <w:rPr>
          <w:sz w:val="24"/>
        </w:rPr>
        <w:t>……………………</w:t>
      </w:r>
      <w:r>
        <w:rPr>
          <w:rFonts w:hint="eastAsia"/>
          <w:sz w:val="24"/>
        </w:rPr>
        <w:t>.9</w:t>
      </w:r>
    </w:p>
    <w:p>
      <w:pPr>
        <w:pStyle w:val="21"/>
        <w:tabs>
          <w:tab w:val="right" w:leader="dot" w:pos="8296"/>
        </w:tabs>
        <w:adjustRightInd w:val="0"/>
        <w:snapToGrid w:val="0"/>
        <w:spacing w:line="440" w:lineRule="exact"/>
        <w:jc w:val="left"/>
        <w:rPr>
          <w:rFonts w:ascii="仿宋" w:hAnsi="仿宋"/>
          <w:sz w:val="24"/>
        </w:rPr>
      </w:pPr>
      <w:r>
        <w:rPr>
          <w:rFonts w:hint="eastAsia"/>
          <w:sz w:val="24"/>
        </w:rPr>
        <w:t>五、一般公共预算财政拨款支出决算情况说明</w:t>
      </w:r>
      <w:r>
        <w:rPr>
          <w:sz w:val="24"/>
        </w:rPr>
        <w:t>………………</w:t>
      </w:r>
      <w:r>
        <w:rPr>
          <w:rFonts w:hint="eastAsia"/>
          <w:sz w:val="24"/>
        </w:rPr>
        <w:t>.9</w:t>
      </w:r>
    </w:p>
    <w:p>
      <w:pPr>
        <w:pStyle w:val="21"/>
        <w:tabs>
          <w:tab w:val="right" w:leader="dot" w:pos="8296"/>
        </w:tabs>
        <w:adjustRightInd w:val="0"/>
        <w:snapToGrid w:val="0"/>
        <w:spacing w:line="440" w:lineRule="exact"/>
        <w:jc w:val="left"/>
        <w:rPr>
          <w:rFonts w:ascii="仿宋" w:hAnsi="仿宋"/>
          <w:sz w:val="24"/>
        </w:rPr>
      </w:pPr>
      <w:r>
        <w:rPr>
          <w:rFonts w:hint="eastAsia"/>
          <w:sz w:val="24"/>
        </w:rPr>
        <w:t>六、一般公共预算财政拨款基本支出决算情况说明</w:t>
      </w:r>
      <w:r>
        <w:rPr>
          <w:sz w:val="24"/>
        </w:rPr>
        <w:t>…………</w:t>
      </w:r>
      <w:r>
        <w:rPr>
          <w:rFonts w:hint="eastAsia"/>
          <w:sz w:val="24"/>
        </w:rPr>
        <w:t>.11</w:t>
      </w:r>
    </w:p>
    <w:p>
      <w:pPr>
        <w:pStyle w:val="21"/>
        <w:tabs>
          <w:tab w:val="right" w:leader="dot" w:pos="8296"/>
        </w:tabs>
        <w:adjustRightInd w:val="0"/>
        <w:snapToGrid w:val="0"/>
        <w:spacing w:line="440" w:lineRule="exact"/>
        <w:jc w:val="left"/>
        <w:rPr>
          <w:rFonts w:ascii="仿宋" w:hAnsi="仿宋"/>
          <w:sz w:val="24"/>
        </w:rPr>
      </w:pPr>
      <w:r>
        <w:rPr>
          <w:rFonts w:hint="eastAsia"/>
          <w:sz w:val="24"/>
        </w:rPr>
        <w:t>七、</w:t>
      </w:r>
      <w:r>
        <w:rPr>
          <w:sz w:val="24"/>
        </w:rPr>
        <w:t>“</w:t>
      </w:r>
      <w:r>
        <w:rPr>
          <w:rFonts w:hint="eastAsia"/>
          <w:sz w:val="24"/>
        </w:rPr>
        <w:t>三公”经费财政拨款支出决算情况说明</w:t>
      </w:r>
      <w:r>
        <w:rPr>
          <w:sz w:val="24"/>
        </w:rPr>
        <w:t>………………</w:t>
      </w:r>
      <w:r>
        <w:rPr>
          <w:rFonts w:hint="eastAsia"/>
          <w:sz w:val="24"/>
        </w:rPr>
        <w:t>..11</w:t>
      </w:r>
    </w:p>
    <w:p>
      <w:pPr>
        <w:pStyle w:val="21"/>
        <w:tabs>
          <w:tab w:val="right" w:leader="dot" w:pos="8296"/>
        </w:tabs>
        <w:adjustRightInd w:val="0"/>
        <w:snapToGrid w:val="0"/>
        <w:spacing w:line="440" w:lineRule="exact"/>
        <w:jc w:val="left"/>
        <w:rPr>
          <w:rFonts w:ascii="仿宋" w:hAnsi="仿宋"/>
          <w:sz w:val="24"/>
        </w:rPr>
      </w:pPr>
      <w:r>
        <w:rPr>
          <w:rFonts w:hint="eastAsia"/>
          <w:sz w:val="24"/>
        </w:rPr>
        <w:t>八、政府性基金预算支出决算情况说明</w:t>
      </w:r>
      <w:r>
        <w:rPr>
          <w:sz w:val="24"/>
        </w:rPr>
        <w:t>……………………</w:t>
      </w:r>
      <w:r>
        <w:rPr>
          <w:rFonts w:hint="eastAsia"/>
          <w:sz w:val="24"/>
        </w:rPr>
        <w:t>....12</w:t>
      </w:r>
    </w:p>
    <w:p>
      <w:pPr>
        <w:pStyle w:val="21"/>
        <w:tabs>
          <w:tab w:val="right" w:leader="dot" w:pos="8296"/>
        </w:tabs>
        <w:adjustRightInd w:val="0"/>
        <w:snapToGrid w:val="0"/>
        <w:spacing w:line="440" w:lineRule="exact"/>
        <w:ind w:leftChars="0" w:left="0"/>
        <w:jc w:val="left"/>
        <w:rPr>
          <w:rFonts w:ascii="仿宋" w:hAnsi="仿宋"/>
          <w:sz w:val="24"/>
        </w:rPr>
      </w:pPr>
      <w:r>
        <w:rPr>
          <w:rFonts w:ascii="仿宋" w:eastAsia="仿宋" w:hint="eastAsia"/>
          <w:sz w:val="24"/>
        </w:rPr>
        <w:t>九、</w:t>
      </w:r>
      <w:r>
        <w:rPr>
          <w:sz w:val="24"/>
        </w:rPr>
        <w:t xml:space="preserve"> </w:t>
      </w:r>
      <w:r>
        <w:rPr>
          <w:rFonts w:hint="eastAsia"/>
          <w:sz w:val="24"/>
        </w:rPr>
        <w:t>国有资本经营预算支出决算情况说明</w:t>
      </w:r>
      <w:r>
        <w:rPr>
          <w:sz w:val="24"/>
        </w:rPr>
        <w:t>…………………</w:t>
      </w:r>
      <w:r>
        <w:rPr>
          <w:rFonts w:hint="eastAsia"/>
          <w:sz w:val="24"/>
        </w:rPr>
        <w:t>.12</w:t>
      </w:r>
    </w:p>
    <w:p>
      <w:pPr>
        <w:adjustRightInd w:val="0"/>
        <w:snapToGrid w:val="0"/>
        <w:spacing w:line="440" w:lineRule="exact"/>
        <w:ind w:firstLineChars="200" w:firstLine="480"/>
        <w:jc w:val="left"/>
        <w:rPr>
          <w:rFonts w:ascii="仿宋" w:eastAsia="仿宋"/>
          <w:sz w:val="24"/>
        </w:rPr>
      </w:pPr>
      <w:r>
        <w:rPr>
          <w:rStyle w:val="19"/>
          <w:rFonts w:ascii="仿宋" w:eastAsia="仿宋" w:hint="eastAsia"/>
          <w:color w:val="000000"/>
          <w:sz w:val="24"/>
          <w:u w:val="none"/>
        </w:rPr>
        <w:t>十、</w:t>
      </w:r>
      <w:r>
        <w:rPr>
          <w:rFonts w:hint="eastAsia"/>
          <w:sz w:val="24"/>
        </w:rPr>
        <w:t>其他重要事项的情况说明</w:t>
      </w:r>
      <w:r>
        <w:rPr>
          <w:sz w:val="24"/>
        </w:rPr>
        <w:t>…………………………………</w:t>
      </w:r>
      <w:r>
        <w:rPr>
          <w:rFonts w:ascii="仿宋" w:eastAsia="仿宋" w:hint="eastAsia"/>
          <w:sz w:val="24"/>
        </w:rPr>
        <w:t>12</w:t>
      </w:r>
    </w:p>
    <w:p>
      <w:pPr>
        <w:pStyle w:val="24"/>
        <w:tabs>
          <w:tab w:val="right" w:leader="dot" w:pos="8296"/>
        </w:tabs>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r>
        <w:rPr>
          <w:sz w:val="24"/>
        </w:rPr>
        <w:t>…………………………………………………</w:t>
      </w:r>
      <w:r>
        <w:rPr>
          <w:rFonts w:hint="eastAsia"/>
          <w:sz w:val="24"/>
        </w:rPr>
        <w:t>16</w:t>
      </w:r>
    </w:p>
    <w:p>
      <w:pPr>
        <w:pStyle w:val="24"/>
        <w:tabs>
          <w:tab w:val="right" w:leader="dot" w:pos="8296"/>
        </w:tabs>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r>
        <w:rPr>
          <w:sz w:val="24"/>
        </w:rPr>
        <w:t>………………………………………………………19</w:t>
      </w:r>
    </w:p>
    <w:p>
      <w:pPr>
        <w:pStyle w:val="21"/>
        <w:tabs>
          <w:tab w:val="right" w:leader="dot" w:pos="8296"/>
        </w:tabs>
        <w:adjustRightInd w:val="0"/>
        <w:snapToGrid w:val="0"/>
        <w:spacing w:line="440" w:lineRule="exact"/>
        <w:jc w:val="left"/>
        <w:rPr>
          <w:rFonts w:ascii="仿宋" w:hAnsi="仿宋"/>
          <w:sz w:val="24"/>
        </w:rPr>
      </w:pPr>
      <w:r>
        <w:rPr>
          <w:rFonts w:hint="eastAsia"/>
          <w:sz w:val="24"/>
        </w:rPr>
        <w:t>附件</w:t>
      </w:r>
      <w:r>
        <w:rPr>
          <w:sz w:val="24"/>
        </w:rPr>
        <w:t>1……………………………………………………………</w:t>
      </w:r>
      <w:r>
        <w:rPr>
          <w:rFonts w:hint="eastAsia"/>
          <w:sz w:val="24"/>
        </w:rPr>
        <w:t>19</w:t>
      </w:r>
    </w:p>
    <w:p>
      <w:pPr>
        <w:pStyle w:val="21"/>
        <w:tabs>
          <w:tab w:val="right" w:leader="dot" w:pos="8296"/>
        </w:tabs>
        <w:adjustRightInd w:val="0"/>
        <w:snapToGrid w:val="0"/>
        <w:spacing w:line="440" w:lineRule="exact"/>
        <w:jc w:val="left"/>
        <w:rPr>
          <w:rFonts w:ascii="仿宋" w:hAnsi="仿宋"/>
          <w:sz w:val="24"/>
        </w:rPr>
      </w:pPr>
      <w:r>
        <w:rPr>
          <w:rFonts w:hint="eastAsia"/>
          <w:sz w:val="24"/>
        </w:rPr>
        <w:t>附件</w:t>
      </w:r>
      <w:r>
        <w:rPr>
          <w:sz w:val="24"/>
        </w:rPr>
        <w:t>2……………………………………………………………</w:t>
      </w:r>
      <w:r>
        <w:rPr>
          <w:rFonts w:hint="eastAsia"/>
          <w:sz w:val="24"/>
        </w:rPr>
        <w:t>23</w:t>
      </w:r>
    </w:p>
    <w:p>
      <w:pPr>
        <w:pStyle w:val="24"/>
        <w:tabs>
          <w:tab w:val="right" w:leader="dot" w:pos="8296"/>
        </w:tabs>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sz w:val="24"/>
        </w:rPr>
        <w:t>………………………………………………………29</w:t>
      </w:r>
    </w:p>
    <w:p>
      <w:pPr>
        <w:pStyle w:val="21"/>
        <w:tabs>
          <w:tab w:val="right" w:leader="dot" w:pos="8296"/>
        </w:tabs>
        <w:adjustRightInd w:val="0"/>
        <w:snapToGrid w:val="0"/>
        <w:spacing w:line="440" w:lineRule="exact"/>
        <w:jc w:val="left"/>
        <w:rPr>
          <w:rFonts w:hint="eastAsia"/>
          <w:sz w:val="24"/>
        </w:rPr>
      </w:pPr>
      <w:r>
        <w:rPr>
          <w:rFonts w:ascii="仿宋" w:eastAsia="仿宋" w:hint="eastAsia"/>
          <w:sz w:val="24"/>
        </w:rPr>
        <w:t>一、</w:t>
      </w:r>
      <w:r>
        <w:rPr>
          <w:rFonts w:hint="eastAsia"/>
          <w:sz w:val="24"/>
        </w:rPr>
        <w:t>收入支出决算总表</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二、</w:t>
      </w:r>
      <w:r>
        <w:rPr>
          <w:rFonts w:hint="eastAsia"/>
          <w:sz w:val="24"/>
        </w:rPr>
        <w:t>收入</w:t>
      </w:r>
      <w:r>
        <w:rPr>
          <w:rFonts w:ascii="仿宋" w:eastAsia="仿宋" w:hint="eastAsia"/>
          <w:sz w:val="24"/>
        </w:rPr>
        <w:t>决算</w:t>
      </w:r>
      <w:r>
        <w:rPr>
          <w:rFonts w:hint="eastAsia"/>
          <w:sz w:val="24"/>
        </w:rPr>
        <w:t>表</w:t>
      </w:r>
      <w:r>
        <w:rPr>
          <w:sz w:val="24"/>
        </w:rPr>
        <w:t>…………………………………………………</w:t>
      </w:r>
      <w:r>
        <w:rPr>
          <w:rFonts w:hint="eastAsia"/>
          <w:sz w:val="24"/>
        </w:rPr>
        <w:t>.</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三、</w:t>
      </w:r>
      <w:r>
        <w:rPr>
          <w:rFonts w:hint="eastAsia"/>
          <w:sz w:val="24"/>
        </w:rPr>
        <w:t>支出</w:t>
      </w:r>
      <w:r>
        <w:rPr>
          <w:rFonts w:ascii="仿宋" w:eastAsia="仿宋" w:hint="eastAsia"/>
          <w:sz w:val="24"/>
        </w:rPr>
        <w:t>决算</w:t>
      </w:r>
      <w:r>
        <w:rPr>
          <w:rFonts w:hint="eastAsia"/>
          <w:sz w:val="24"/>
        </w:rPr>
        <w:t>表</w:t>
      </w:r>
      <w:r>
        <w:rPr>
          <w:sz w:val="24"/>
        </w:rPr>
        <w:t>…………………………………………………</w:t>
      </w:r>
      <w:r>
        <w:rPr>
          <w:rFonts w:hint="eastAsia"/>
          <w:sz w:val="24"/>
        </w:rPr>
        <w:t>.</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四、</w:t>
      </w:r>
      <w:r>
        <w:rPr>
          <w:rFonts w:hint="eastAsia"/>
          <w:sz w:val="24"/>
        </w:rPr>
        <w:t>财政拨款收入支出决算总表</w:t>
      </w:r>
      <w:r>
        <w:rPr>
          <w:sz w:val="24"/>
        </w:rPr>
        <w:t>………………………………</w:t>
      </w:r>
      <w:r>
        <w:rPr>
          <w:rFonts w:hint="eastAsia"/>
          <w:sz w:val="24"/>
        </w:rPr>
        <w:t>.</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五、财政拨款支出决算明细表</w:t>
      </w:r>
      <w:r>
        <w:rPr>
          <w:rFonts w:ascii="仿宋" w:eastAsia="仿宋"/>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六、</w:t>
      </w:r>
      <w:r>
        <w:rPr>
          <w:rFonts w:hint="eastAsia"/>
          <w:sz w:val="24"/>
        </w:rPr>
        <w:t>一般公共预算财政拨款支出决算表</w:t>
      </w:r>
      <w:r>
        <w:rPr>
          <w:sz w:val="24"/>
        </w:rPr>
        <w:t>………………………</w:t>
      </w:r>
      <w:r>
        <w:rPr>
          <w:rFonts w:hint="eastAsia"/>
          <w:sz w:val="24"/>
        </w:rPr>
        <w:t>.</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七、</w:t>
      </w:r>
      <w:r>
        <w:rPr>
          <w:rFonts w:hint="eastAsia"/>
          <w:sz w:val="24"/>
        </w:rPr>
        <w:t>一般公共预算财政拨款支出决算明细表</w:t>
      </w:r>
      <w:r>
        <w:rPr>
          <w:sz w:val="24"/>
        </w:rPr>
        <w:t>…………………</w:t>
      </w:r>
      <w:r>
        <w:rPr>
          <w:rFonts w:hint="eastAsia"/>
          <w:sz w:val="24"/>
        </w:rPr>
        <w:t>.</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八、</w:t>
      </w:r>
      <w:r>
        <w:rPr>
          <w:rFonts w:hint="eastAsia"/>
          <w:sz w:val="24"/>
        </w:rPr>
        <w:t>一般公共预算财政拨款基本支出决算表</w:t>
      </w:r>
      <w:r>
        <w:rPr>
          <w:sz w:val="24"/>
        </w:rPr>
        <w:t>………………</w:t>
      </w:r>
      <w:r>
        <w:rPr>
          <w:rFonts w:hint="eastAsia"/>
          <w:sz w:val="24"/>
        </w:rPr>
        <w:t>..</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九、</w:t>
      </w:r>
      <w:r>
        <w:rPr>
          <w:rFonts w:hint="eastAsia"/>
          <w:sz w:val="24"/>
        </w:rPr>
        <w:t>一般公共预算财政拨款项目支出决算表</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十、</w:t>
      </w:r>
      <w:r>
        <w:rPr>
          <w:rFonts w:hint="eastAsia"/>
          <w:sz w:val="24"/>
        </w:rPr>
        <w:t>一般公共预算财政拨款“三公”经费支出决算表</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十一、</w:t>
      </w:r>
      <w:r>
        <w:rPr>
          <w:rFonts w:hint="eastAsia"/>
          <w:sz w:val="24"/>
        </w:rPr>
        <w:t>政府性基金预算财政拨款收入支出决算表</w:t>
      </w:r>
      <w:r>
        <w:rPr>
          <w:sz w:val="24"/>
        </w:rPr>
        <w:t>…………</w:t>
      </w:r>
      <w:r>
        <w:rPr>
          <w:rFonts w:hint="eastAsia"/>
          <w:sz w:val="24"/>
        </w:rPr>
        <w:t>..</w:t>
      </w:r>
      <w:r>
        <w:rPr>
          <w:sz w:val="24"/>
        </w:rPr>
        <w:t>29</w:t>
      </w:r>
    </w:p>
    <w:p>
      <w:pPr>
        <w:pStyle w:val="21"/>
        <w:tabs>
          <w:tab w:val="right" w:leader="dot" w:pos="8296"/>
        </w:tabs>
        <w:adjustRightInd w:val="0"/>
        <w:snapToGrid w:val="0"/>
        <w:spacing w:line="440" w:lineRule="exact"/>
        <w:jc w:val="left"/>
        <w:rPr>
          <w:rFonts w:ascii="仿宋" w:eastAsia="仿宋"/>
          <w:sz w:val="24"/>
        </w:rPr>
      </w:pPr>
      <w:r>
        <w:rPr>
          <w:rFonts w:ascii="仿宋" w:eastAsia="仿宋" w:hint="eastAsia"/>
          <w:sz w:val="24"/>
        </w:rPr>
        <w:t>十二、</w:t>
      </w:r>
      <w:r>
        <w:rPr>
          <w:rFonts w:hint="eastAsia"/>
          <w:sz w:val="24"/>
        </w:rPr>
        <w:t>政府性基金预算财政拨款“三公”经费支出决算表</w:t>
      </w:r>
      <w:r>
        <w:rPr>
          <w:sz w:val="24"/>
        </w:rPr>
        <w:t>…29</w:t>
      </w:r>
    </w:p>
    <w:p>
      <w:pPr>
        <w:pStyle w:val="21"/>
        <w:tabs>
          <w:tab w:val="right" w:leader="dot" w:pos="8296"/>
        </w:tabs>
        <w:adjustRightInd w:val="0"/>
        <w:snapToGrid w:val="0"/>
        <w:spacing w:line="440" w:lineRule="exact"/>
        <w:jc w:val="left"/>
        <w:rPr>
          <w:rFonts w:ascii="仿宋" w:eastAsia="仿宋" w:hint="eastAsia"/>
          <w:sz w:val="24"/>
        </w:rPr>
      </w:pPr>
      <w:r>
        <w:rPr>
          <w:rFonts w:ascii="仿宋" w:eastAsia="仿宋" w:hint="eastAsia"/>
          <w:sz w:val="24"/>
        </w:rPr>
        <w:t>十三、国有资本经营预算财政拨款收入支出决算表</w:t>
      </w:r>
      <w:r>
        <w:rPr>
          <w:rFonts w:ascii="仿宋" w:eastAsia="仿宋"/>
          <w:sz w:val="24"/>
        </w:rPr>
        <w:t>…………29</w:t>
      </w:r>
    </w:p>
    <w:p>
      <w:pPr>
        <w:pStyle w:val="21"/>
        <w:tabs>
          <w:tab w:val="right" w:leader="dot" w:pos="8296"/>
        </w:tabs>
        <w:adjustRightInd w:val="0"/>
        <w:snapToGrid w:val="0"/>
        <w:spacing w:line="440" w:lineRule="exact"/>
        <w:jc w:val="left"/>
        <w:rPr>
          <w:rFonts w:ascii="仿宋" w:eastAsia="仿宋" w:hint="eastAsia"/>
          <w:sz w:val="24"/>
        </w:rPr>
      </w:pPr>
      <w:r>
        <w:rPr>
          <w:rFonts w:ascii="仿宋" w:eastAsia="仿宋" w:hint="eastAsia"/>
          <w:sz w:val="24"/>
        </w:rPr>
        <w:t>十四、国有资本经营预算财政拨款支出决算表</w:t>
      </w:r>
      <w:r>
        <w:rPr>
          <w:rFonts w:ascii="仿宋" w:eastAsia="仿宋"/>
          <w:sz w:val="24"/>
        </w:rPr>
        <w:t>………………29</w:t>
      </w:r>
    </w:p>
    <w:p>
      <w:pPr>
        <w:widowControl/>
        <w:spacing w:line="440" w:lineRule="exact"/>
        <w:jc w:val="left"/>
        <w:rPr>
          <w:rFonts w:ascii="仿宋" w:eastAsia="仿宋"/>
          <w:bCs/>
          <w:kern w:val="44"/>
          <w:sz w:val="24"/>
        </w:rPr>
      </w:pPr>
      <w:bookmarkStart w:id="13" w:name="_Toc15377196"/>
      <w:bookmarkStart w:id="14" w:name="_Toc15396599"/>
      <w:r>
        <w:rPr>
          <w:rFonts w:ascii="仿宋" w:eastAsia="仿宋"/>
          <w:b/>
          <w:sz w:val="24"/>
        </w:rPr>
        <w:br w:type="page"/>
      </w:r>
    </w:p>
    <w:p>
      <w:pPr>
        <w:pStyle w:val="1"/>
        <w:jc w:val="center"/>
        <w:rPr>
          <w:rStyle w:val="1Char"/>
          <w:rFonts w:ascii="黑体" w:eastAsia="黑体"/>
          <w:b/>
        </w:rPr>
      </w:pPr>
      <w:r>
        <w:rPr>
          <w:rFonts w:ascii="黑体" w:eastAsia="黑体" w:hint="eastAsia"/>
          <w:b w:val="0"/>
        </w:rPr>
        <w:t>第一部分</w:t>
      </w:r>
      <w:r>
        <w:rPr>
          <w:rFonts w:ascii="黑体" w:eastAsia="黑体"/>
          <w:b w:val="0"/>
        </w:rPr>
        <w:t xml:space="preserve"> </w:t>
      </w:r>
      <w:r>
        <w:rPr>
          <w:rStyle w:val="1Char"/>
          <w:rFonts w:ascii="黑体" w:eastAsia="黑体" w:hint="eastAsia"/>
        </w:rPr>
        <w:t>部门概况</w:t>
      </w:r>
      <w:bookmarkEnd w:id="13"/>
      <w:bookmarkEnd w:id="14"/>
    </w:p>
    <w:p>
      <w:pPr>
        <w:widowControl/>
        <w:jc w:val="left"/>
        <w:rPr>
          <w:rFonts w:ascii="黑体" w:eastAsia="黑体"/>
          <w:color w:val="000000"/>
          <w:sz w:val="32"/>
          <w:szCs w:val="32"/>
        </w:rPr>
      </w:pPr>
    </w:p>
    <w:p>
      <w:pPr>
        <w:pStyle w:val="2"/>
        <w:rPr>
          <w:rStyle w:val="2Char"/>
          <w:rFonts w:ascii="仿宋" w:eastAsia="仿宋"/>
        </w:rPr>
      </w:pPr>
      <w:bookmarkStart w:id="15" w:name="_Toc15396600"/>
      <w:bookmarkStart w:id="16" w:name="_Toc15377197"/>
      <w:r>
        <w:rPr>
          <w:rFonts w:ascii="黑体" w:eastAsia="黑体" w:hint="eastAsia"/>
          <w:b w:val="0"/>
          <w:color w:val="000000"/>
        </w:rPr>
        <w:t>一、基</w:t>
      </w:r>
      <w:r>
        <w:rPr>
          <w:rStyle w:val="2Char"/>
          <w:rFonts w:ascii="黑体" w:eastAsia="黑体" w:hint="eastAsia"/>
        </w:rPr>
        <w:t>本职能及主要工作</w:t>
      </w:r>
      <w:bookmarkEnd w:id="15"/>
      <w:bookmarkEnd w:id="16"/>
    </w:p>
    <w:p>
      <w:pPr>
        <w:pStyle w:val="16"/>
        <w:adjustRightInd w:val="0"/>
        <w:snapToGrid w:val="0"/>
        <w:spacing w:beforeLines="0" w:before="93" w:line="600" w:lineRule="exact"/>
        <w:ind w:firstLineChars="208" w:firstLine="666"/>
        <w:outlineLvl w:val="2"/>
        <w:rPr>
          <w:rFonts w:ascii="仿宋" w:eastAsia="仿宋" w:hint="eastAsia"/>
          <w:bCs/>
          <w:color w:val="000000"/>
          <w:sz w:val="32"/>
          <w:szCs w:val="32"/>
        </w:rPr>
      </w:pPr>
      <w:bookmarkStart w:id="17" w:name="_Toc15378445"/>
      <w:bookmarkStart w:id="18" w:name="_Toc15377198"/>
      <w:r>
        <w:rPr>
          <w:rFonts w:ascii="仿宋" w:eastAsia="仿宋" w:hint="eastAsia"/>
          <w:bCs/>
          <w:color w:val="000000"/>
          <w:sz w:val="32"/>
          <w:szCs w:val="32"/>
        </w:rPr>
        <w:t>（一）主要职能。（职能参照省政府批准的三定方案）</w:t>
      </w:r>
      <w:bookmarkEnd w:id="17"/>
      <w:bookmarkEnd w:id="18"/>
    </w:p>
    <w:p>
      <w:pPr>
        <w:pStyle w:val="16"/>
        <w:adjustRightInd w:val="0"/>
        <w:snapToGrid w:val="0"/>
        <w:spacing w:beforeLines="0" w:before="93" w:line="600" w:lineRule="exact"/>
        <w:ind w:leftChars="45" w:left="95" w:firstLineChars="200" w:firstLine="640"/>
        <w:outlineLvl w:val="2"/>
        <w:rPr>
          <w:rFonts w:ascii="仿宋" w:eastAsia="仿宋"/>
          <w:bCs/>
          <w:color w:val="000000"/>
          <w:sz w:val="32"/>
          <w:szCs w:val="32"/>
        </w:rPr>
      </w:pPr>
      <w:r>
        <w:rPr>
          <w:rFonts w:ascii="仿宋" w:eastAsia="仿宋" w:hint="eastAsia"/>
          <w:bCs/>
          <w:color w:val="000000"/>
          <w:sz w:val="32"/>
          <w:szCs w:val="32"/>
        </w:rPr>
        <w:t>攀枝花市总工会成立于</w:t>
      </w:r>
      <w:r>
        <w:rPr>
          <w:rFonts w:ascii="仿宋" w:eastAsia="仿宋"/>
          <w:bCs/>
          <w:color w:val="000000"/>
          <w:sz w:val="32"/>
          <w:szCs w:val="32"/>
        </w:rPr>
        <w:t>1965</w:t>
      </w:r>
      <w:r>
        <w:rPr>
          <w:rFonts w:ascii="仿宋" w:eastAsia="仿宋" w:hint="eastAsia"/>
          <w:bCs/>
          <w:color w:val="000000"/>
          <w:sz w:val="32"/>
          <w:szCs w:val="32"/>
        </w:rPr>
        <w:t>年</w:t>
      </w:r>
      <w:r>
        <w:rPr>
          <w:rFonts w:ascii="仿宋" w:eastAsia="仿宋"/>
          <w:bCs/>
          <w:color w:val="000000"/>
          <w:sz w:val="32"/>
          <w:szCs w:val="32"/>
        </w:rPr>
        <w:t>11</w:t>
      </w:r>
      <w:r>
        <w:rPr>
          <w:rFonts w:ascii="仿宋" w:eastAsia="仿宋" w:hint="eastAsia"/>
          <w:bCs/>
          <w:color w:val="000000"/>
          <w:sz w:val="32"/>
          <w:szCs w:val="32"/>
        </w:rPr>
        <w:t>月，在市委、省总工会领导下开展工作，其主要工作职能是：</w:t>
      </w:r>
    </w:p>
    <w:p>
      <w:pPr>
        <w:pStyle w:val="16"/>
        <w:adjustRightInd w:val="0"/>
        <w:snapToGrid w:val="0"/>
        <w:spacing w:beforeLines="0" w:before="93" w:line="600" w:lineRule="exact"/>
        <w:ind w:leftChars="45" w:left="95" w:firstLineChars="160" w:firstLine="512"/>
        <w:outlineLvl w:val="2"/>
        <w:rPr>
          <w:rFonts w:ascii="仿宋" w:eastAsia="仿宋"/>
          <w:bCs/>
          <w:color w:val="000000"/>
          <w:sz w:val="32"/>
          <w:szCs w:val="32"/>
        </w:rPr>
      </w:pPr>
      <w:r>
        <w:rPr>
          <w:rFonts w:ascii="仿宋" w:eastAsia="仿宋"/>
          <w:bCs/>
          <w:color w:val="000000"/>
          <w:sz w:val="32"/>
          <w:szCs w:val="32"/>
        </w:rPr>
        <w:t>1.</w:t>
      </w:r>
      <w:r>
        <w:rPr>
          <w:rFonts w:ascii="仿宋" w:eastAsia="仿宋" w:hint="eastAsia"/>
          <w:bCs/>
          <w:color w:val="000000"/>
          <w:sz w:val="32"/>
          <w:szCs w:val="32"/>
        </w:rPr>
        <w:t>根据党的基本理论、基本路线、基本纲领和工运方针，围绕党和国家工作大局，贯彻执行全国工会代表大会、执委会和四川省、攀枝花市工会代表大会、全委会确定的方针、任务和作出的决议；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2.</w:t>
      </w:r>
      <w:r>
        <w:rPr>
          <w:rFonts w:ascii="仿宋" w:eastAsia="仿宋" w:hint="eastAsia"/>
          <w:bCs/>
          <w:color w:val="000000"/>
          <w:sz w:val="32"/>
          <w:szCs w:val="32"/>
        </w:rPr>
        <w:t>依照法律和《中国工会章程》，组织和指导各级工会坚定不移地推动党的全心全意依靠工人阶级根本指导方针的贯彻落实，进一步突出和履行维护职能；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3.</w:t>
      </w:r>
      <w:r>
        <w:rPr>
          <w:rFonts w:ascii="仿宋" w:eastAsia="仿宋" w:hint="eastAsia"/>
          <w:bCs/>
          <w:color w:val="000000"/>
          <w:sz w:val="32"/>
          <w:szCs w:val="32"/>
        </w:rPr>
        <w:t>对有关职工合法权益的重大问题进行调查研究，向市委、市政府和四川省总工会反映职工群众的思想、愿望和要求，提出意见和建议；参与涉及职工切身利益的政策、措施和法规草案的拟定；指导企业生产经营安全保障工作，参与企业生产经营过程中发生的职工重大伤亡事故的调查处理；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4.</w:t>
      </w:r>
      <w:r>
        <w:rPr>
          <w:rFonts w:ascii="仿宋" w:eastAsia="仿宋" w:hint="eastAsia"/>
          <w:bCs/>
          <w:color w:val="000000"/>
          <w:sz w:val="32"/>
          <w:szCs w:val="32"/>
        </w:rPr>
        <w:t>负责工会理论政策的研究，研究制定工会的组织制度和民主制度，监督检查《中国工会章程》的贯彻执行；研究指导工会自身改革和建设；指导各级工会组织开展以职工代表大会为基本制度的民主选举、民主决策、民主管理和民主监督工作，推动建立平等协商、集体合同制度和监督保证机制的工作；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5.</w:t>
      </w:r>
      <w:r>
        <w:rPr>
          <w:rFonts w:ascii="仿宋" w:eastAsia="仿宋" w:hint="eastAsia"/>
          <w:bCs/>
          <w:color w:val="000000"/>
          <w:sz w:val="32"/>
          <w:szCs w:val="32"/>
        </w:rPr>
        <w:t>协助县（区）党委和市级有关部门、大企业党组（党委）管理县（区）总工会和有关市级产业工会、直属企业（集团公司）工会和市属基层工会的领导干部；监督、检查市总工会机关及直属单位党员干部廉政建设情况；研究制定工会干部的管理制度和培训规划，负责县（区）总工会、产业工会、大中型企事业工会领导干部的培训工作；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6.</w:t>
      </w:r>
      <w:r>
        <w:rPr>
          <w:rFonts w:ascii="仿宋" w:eastAsia="仿宋" w:hint="eastAsia"/>
          <w:bCs/>
          <w:color w:val="000000"/>
          <w:sz w:val="32"/>
          <w:szCs w:val="32"/>
        </w:rPr>
        <w:t>协助市政府做好市劳动模范的推荐、评选和管理工作；协助省总工会做好在攀全省劳模和“五一劳动奖章”、“五一劳动奖状”获得者的推荐、管理工作；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7.</w:t>
      </w:r>
      <w:r>
        <w:rPr>
          <w:rFonts w:ascii="仿宋" w:eastAsia="仿宋" w:hint="eastAsia"/>
          <w:bCs/>
          <w:color w:val="000000"/>
          <w:sz w:val="32"/>
          <w:szCs w:val="32"/>
        </w:rPr>
        <w:t>负责全市工会经费和工会资产的管理、审查、审计工作；研究、制定工会组织兴办职工劳动福利事业的有关制度和规定；负责对全市工会职工劳动福利事业的指导、协调工作；　　</w:t>
      </w:r>
    </w:p>
    <w:p>
      <w:pPr>
        <w:pStyle w:val="16"/>
        <w:adjustRightInd w:val="0"/>
        <w:snapToGrid w:val="0"/>
        <w:spacing w:beforeLines="0" w:before="93" w:line="600" w:lineRule="exact"/>
        <w:ind w:firstLineChars="208" w:firstLine="666"/>
        <w:outlineLvl w:val="2"/>
        <w:rPr>
          <w:rFonts w:ascii="仿宋" w:eastAsia="仿宋" w:hint="eastAsia"/>
          <w:bCs/>
          <w:color w:val="000000"/>
          <w:sz w:val="32"/>
          <w:szCs w:val="32"/>
        </w:rPr>
      </w:pPr>
      <w:r>
        <w:rPr>
          <w:rFonts w:ascii="仿宋" w:eastAsia="仿宋"/>
          <w:bCs/>
          <w:color w:val="000000"/>
          <w:sz w:val="32"/>
          <w:szCs w:val="32"/>
        </w:rPr>
        <w:t>8.</w:t>
      </w:r>
      <w:r>
        <w:rPr>
          <w:rFonts w:ascii="仿宋" w:eastAsia="仿宋" w:hint="eastAsia"/>
          <w:bCs/>
          <w:color w:val="000000"/>
          <w:sz w:val="32"/>
          <w:szCs w:val="32"/>
        </w:rPr>
        <w:t>承办市委、市政府和省总工会交办的其它事项。</w:t>
      </w:r>
    </w:p>
    <w:p>
      <w:pPr>
        <w:pStyle w:val="16"/>
        <w:adjustRightInd w:val="0"/>
        <w:snapToGrid w:val="0"/>
        <w:spacing w:beforeLines="0" w:before="93" w:line="600" w:lineRule="exact"/>
        <w:ind w:firstLineChars="208" w:firstLine="666"/>
        <w:outlineLvl w:val="2"/>
        <w:rPr>
          <w:rFonts w:ascii="仿宋" w:eastAsia="仿宋" w:hint="eastAsia"/>
          <w:bCs/>
          <w:color w:val="000000"/>
          <w:sz w:val="32"/>
          <w:szCs w:val="32"/>
        </w:rPr>
      </w:pPr>
      <w:bookmarkStart w:id="19" w:name="_Toc15378446"/>
      <w:bookmarkStart w:id="20" w:name="_Toc15377199"/>
      <w:r>
        <w:rPr>
          <w:rFonts w:ascii="仿宋" w:eastAsia="仿宋" w:hint="eastAsia"/>
          <w:bCs/>
          <w:color w:val="000000"/>
          <w:sz w:val="32"/>
          <w:szCs w:val="32"/>
        </w:rPr>
        <w:t>（二）2020年重点工作完成情况。</w:t>
      </w:r>
      <w:bookmarkEnd w:id="19"/>
      <w:bookmarkEnd w:id="20"/>
    </w:p>
    <w:p>
      <w:pPr>
        <w:pStyle w:val="16"/>
        <w:adjustRightInd w:val="0"/>
        <w:snapToGrid w:val="0"/>
        <w:spacing w:beforeLines="0" w:before="93" w:line="600" w:lineRule="exact"/>
        <w:ind w:firstLineChars="208" w:firstLine="666"/>
        <w:outlineLvl w:val="2"/>
        <w:rPr>
          <w:rFonts w:ascii="仿宋" w:eastAsia="仿宋" w:hint="eastAsia"/>
          <w:bCs/>
          <w:color w:val="000000"/>
          <w:sz w:val="32"/>
          <w:szCs w:val="32"/>
        </w:rPr>
      </w:pPr>
      <w:r>
        <w:rPr>
          <w:rFonts w:ascii="仿宋" w:eastAsia="仿宋" w:hint="eastAsia"/>
          <w:bCs/>
          <w:color w:val="000000"/>
          <w:sz w:val="32"/>
          <w:szCs w:val="32"/>
        </w:rPr>
        <w:t>大力弘扬劳动、劳模、工匠和三线精神。选树10个“阳光花城最美劳动者”、70个“攀枝花市工人先锋号”、33个市级劳模（安全生产）创新工作室、100个五一巾帼标兵岗（标兵），以榜样力量激发广大职工干事创业热情。出台《“攀枝花工匠”评选表彰管理暂行办法》，组建劳模、工匠宣讲队，通过基层点课、工会搭梯、文艺搭台、网络搭桥等开展宣讲近100场次。依托现有资源，积极筹办“三线精神劳模（工匠）研修学院”，并与中国劳动关系大学等合作单位签订战略合作协议。</w:t>
      </w:r>
    </w:p>
    <w:p>
      <w:pPr>
        <w:ind w:firstLineChars="200" w:firstLine="640"/>
        <w:rPr>
          <w:rFonts w:ascii="仿宋" w:eastAsia="仿宋" w:hint="eastAsia"/>
          <w:bCs/>
          <w:color w:val="000000"/>
          <w:sz w:val="32"/>
          <w:szCs w:val="32"/>
        </w:rPr>
      </w:pPr>
      <w:r>
        <w:rPr>
          <w:rFonts w:ascii="仿宋" w:eastAsia="仿宋" w:hint="eastAsia"/>
          <w:bCs/>
          <w:color w:val="000000"/>
          <w:kern w:val="0"/>
          <w:sz w:val="32"/>
          <w:szCs w:val="32"/>
        </w:rPr>
        <w:t>二、实施精准帮扶。开展“春送岗位”活动，采取“线上办”和“不见面”方式实现就地就近就业，发布就业岗位信息1300余条，帮助3600余名下岗职工、农民工实现再就业。投入专项资金500余万元，“夏送清凉”惠及一线职工、八大群体以及农民工等8万余人次。投入资金250万元开展“寒窗助学”活动，帮扶困难家庭学生子女1600人以上。实施帮扶服务“五大行动”，全年帮扶慰问困难职工（农民工）家庭4300户/次、发放资金1144.936万元。针对全国级、省级困难职工发放疫情专项生活补贴近200万元。启动户外劳动者服务站建设，规范提升67个，新建27个。依托“职工心灵驿站”、心理咨询热线，为“后疫情时期”职工提供心理援助1000余次，开展各类心理讲座和心理团辅31场，参与职工人数2000余人次。</w:t>
      </w:r>
    </w:p>
    <w:p>
      <w:pPr>
        <w:pStyle w:val="2"/>
        <w:rPr>
          <w:rStyle w:val="2Char"/>
        </w:rPr>
      </w:pPr>
      <w:bookmarkStart w:id="21" w:name="_Toc15396601"/>
      <w:bookmarkStart w:id="22" w:name="_Toc15377200"/>
      <w:r>
        <w:rPr>
          <w:rFonts w:ascii="黑体" w:eastAsia="黑体" w:hint="eastAsia"/>
          <w:b w:val="0"/>
          <w:color w:val="000000"/>
        </w:rPr>
        <w:t>二、机</w:t>
      </w:r>
      <w:r>
        <w:rPr>
          <w:rStyle w:val="2Char"/>
          <w:rFonts w:ascii="黑体" w:eastAsia="黑体" w:hint="eastAsia"/>
        </w:rPr>
        <w:t>构设置</w:t>
      </w:r>
      <w:bookmarkEnd w:id="21"/>
      <w:bookmarkEnd w:id="22"/>
    </w:p>
    <w:p>
      <w:pPr>
        <w:ind w:firstLineChars="250" w:firstLine="800"/>
        <w:rPr>
          <w:rFonts w:ascii="仿宋" w:eastAsia="仿宋" w:hint="eastAsia"/>
          <w:sz w:val="32"/>
          <w:szCs w:val="32"/>
        </w:rPr>
      </w:pPr>
      <w:r>
        <w:rPr>
          <w:rFonts w:ascii="仿宋" w:eastAsia="仿宋" w:hint="eastAsia"/>
          <w:sz w:val="32"/>
          <w:szCs w:val="32"/>
        </w:rPr>
        <w:t>攀枝花市总工会下属二级单位0个，其中行政单位0个，参照公务员法管理的事业单位</w:t>
      </w:r>
      <w:r>
        <w:rPr>
          <w:rFonts w:ascii="仿宋" w:eastAsia="仿宋" w:hint="eastAsia"/>
          <w:bCs/>
          <w:sz w:val="32"/>
          <w:szCs w:val="32"/>
        </w:rPr>
        <w:t>0</w:t>
      </w:r>
      <w:r>
        <w:rPr>
          <w:rFonts w:ascii="仿宋" w:eastAsia="仿宋" w:hint="eastAsia"/>
          <w:sz w:val="32"/>
          <w:szCs w:val="32"/>
        </w:rPr>
        <w:t>个，其他事业单位0个。</w:t>
      </w:r>
    </w:p>
    <w:p>
      <w:pPr>
        <w:ind w:firstLineChars="250" w:firstLine="800"/>
        <w:rPr>
          <w:rFonts w:ascii="仿宋" w:eastAsia="仿宋" w:hint="eastAsia"/>
          <w:sz w:val="32"/>
          <w:szCs w:val="32"/>
        </w:rPr>
      </w:pPr>
    </w:p>
    <w:p>
      <w:pPr>
        <w:pStyle w:val="1"/>
        <w:ind w:right="440"/>
        <w:jc w:val="right"/>
        <w:rPr>
          <w:rStyle w:val="1Char"/>
          <w:rFonts w:ascii="黑体" w:eastAsia="黑体"/>
        </w:rPr>
      </w:pPr>
      <w:bookmarkStart w:id="23" w:name="_Toc15396602"/>
      <w:bookmarkStart w:id="24" w:name="_Toc15377204"/>
      <w:r>
        <w:rPr>
          <w:rFonts w:ascii="黑体" w:eastAsia="黑体" w:hint="eastAsia"/>
          <w:b w:val="0"/>
          <w:color w:val="000000"/>
        </w:rPr>
        <w:t>第二部分</w:t>
      </w:r>
      <w:r>
        <w:rPr>
          <w:rFonts w:ascii="黑体" w:eastAsia="黑体"/>
          <w:color w:val="000000"/>
        </w:rPr>
        <w:t xml:space="preserve"> </w:t>
      </w:r>
      <w:r>
        <w:rPr>
          <w:rStyle w:val="1Char"/>
          <w:rFonts w:ascii="黑体" w:eastAsia="黑体"/>
        </w:rPr>
        <w:t>2020</w:t>
      </w:r>
      <w:r>
        <w:rPr>
          <w:rStyle w:val="1Char"/>
          <w:rFonts w:ascii="黑体" w:eastAsia="黑体" w:hint="eastAsia"/>
        </w:rPr>
        <w:t>年度部门决算情况说明</w:t>
      </w:r>
      <w:bookmarkEnd w:id="23"/>
      <w:bookmarkEnd w:id="24"/>
    </w:p>
    <w:p/>
    <w:p>
      <w:pPr>
        <w:pStyle w:val="22"/>
        <w:numPr>
          <w:ilvl w:val="0"/>
          <w:numId w:val="1"/>
        </w:numPr>
        <w:spacing w:line="600" w:lineRule="exact"/>
        <w:ind w:firstLineChars="0"/>
        <w:outlineLvl w:val="1"/>
        <w:rPr>
          <w:rStyle w:val="2Char"/>
          <w:rFonts w:ascii="黑体" w:eastAsia="黑体"/>
          <w:b w:val="0"/>
        </w:rPr>
      </w:pPr>
      <w:bookmarkStart w:id="25" w:name="_Toc15377205"/>
      <w:bookmarkStart w:id="26" w:name="_Toc15396603"/>
      <w:r>
        <w:rPr>
          <w:rFonts w:ascii="黑体" w:eastAsia="黑体" w:hint="eastAsia"/>
          <w:color w:val="000000"/>
          <w:sz w:val="32"/>
          <w:szCs w:val="32"/>
        </w:rPr>
        <w:t>收</w:t>
      </w:r>
      <w:r>
        <w:rPr>
          <w:rStyle w:val="2Char"/>
          <w:rFonts w:ascii="黑体" w:eastAsia="黑体" w:hint="eastAsia"/>
          <w:b w:val="0"/>
        </w:rPr>
        <w:t>入支出决算总体情况说明</w:t>
      </w:r>
      <w:bookmarkEnd w:id="25"/>
      <w:bookmarkEnd w:id="26"/>
    </w:p>
    <w:p>
      <w:pPr>
        <w:spacing w:line="600" w:lineRule="exact"/>
        <w:ind w:firstLineChars="200" w:firstLine="640"/>
        <w:rPr>
          <w:rFonts w:ascii="仿宋" w:eastAsia="仿宋" w:hint="eastAsia"/>
          <w:color w:val="000000"/>
          <w:sz w:val="32"/>
          <w:szCs w:val="32"/>
        </w:rPr>
      </w:pPr>
      <w:r>
        <w:rPr>
          <w:rFonts w:ascii="仿宋" w:eastAsia="仿宋"/>
          <w:color w:val="000000"/>
          <w:sz w:val="32"/>
          <w:szCs w:val="32"/>
        </w:rPr>
        <w:t>2020</w:t>
      </w:r>
      <w:r>
        <w:rPr>
          <w:rFonts w:ascii="仿宋" w:eastAsia="仿宋" w:hint="eastAsia"/>
          <w:color w:val="000000"/>
          <w:sz w:val="32"/>
          <w:szCs w:val="32"/>
        </w:rPr>
        <w:t>年度收入总计974.01万元，支出总计850.78万元。与</w:t>
      </w:r>
      <w:r>
        <w:rPr>
          <w:rFonts w:ascii="仿宋" w:eastAsia="仿宋"/>
          <w:color w:val="000000"/>
          <w:sz w:val="32"/>
          <w:szCs w:val="32"/>
        </w:rPr>
        <w:t>2019</w:t>
      </w:r>
      <w:r>
        <w:rPr>
          <w:rFonts w:ascii="仿宋" w:eastAsia="仿宋" w:hint="eastAsia"/>
          <w:color w:val="000000"/>
          <w:sz w:val="32"/>
          <w:szCs w:val="32"/>
        </w:rPr>
        <w:t>年相比，收入总计增加82.86万元，增长8.5</w:t>
      </w:r>
      <w:r>
        <w:rPr>
          <w:rFonts w:ascii="仿宋" w:eastAsia="仿宋"/>
          <w:color w:val="000000"/>
          <w:sz w:val="32"/>
          <w:szCs w:val="32"/>
        </w:rPr>
        <w:t>%</w:t>
      </w:r>
      <w:r>
        <w:rPr>
          <w:rFonts w:ascii="仿宋" w:eastAsia="仿宋" w:hint="eastAsia"/>
          <w:color w:val="000000"/>
          <w:sz w:val="32"/>
          <w:szCs w:val="32"/>
        </w:rPr>
        <w:t>；支出总计减少41.34万元，下降4.86</w:t>
      </w:r>
      <w:r>
        <w:rPr>
          <w:rFonts w:ascii="仿宋" w:eastAsia="仿宋"/>
          <w:color w:val="000000"/>
          <w:sz w:val="32"/>
          <w:szCs w:val="32"/>
        </w:rPr>
        <w:t>%</w:t>
      </w:r>
      <w:r>
        <w:rPr>
          <w:rFonts w:ascii="仿宋" w:eastAsia="仿宋" w:hint="eastAsia"/>
          <w:color w:val="000000"/>
          <w:sz w:val="32"/>
          <w:szCs w:val="32"/>
        </w:rPr>
        <w:t>。主要变动原因是单位人员变动，人员经费略有增减。</w:t>
      </w:r>
    </w:p>
    <w:p>
      <w:pPr>
        <w:spacing w:line="600" w:lineRule="exact"/>
        <w:ind w:firstLineChars="200" w:firstLine="640"/>
        <w:rPr>
          <w:rFonts w:ascii="仿宋" w:eastAsia="仿宋" w:hint="eastAsia"/>
          <w:color w:val="000000"/>
          <w:sz w:val="32"/>
          <w:szCs w:val="32"/>
        </w:rPr>
      </w:pPr>
      <w:r>
        <w:rPr>
          <w:rFonts w:ascii="仿宋" w:eastAsia="仿宋" w:hint="eastAsia"/>
          <w:color w:val="000000"/>
          <w:sz w:val="32"/>
          <w:szCs w:val="32"/>
        </w:rPr>
        <w:t>（图</w:t>
      </w:r>
      <w:r>
        <w:rPr>
          <w:rFonts w:ascii="仿宋" w:eastAsia="仿宋"/>
          <w:color w:val="000000"/>
          <w:sz w:val="32"/>
          <w:szCs w:val="32"/>
        </w:rPr>
        <w:t>1</w:t>
      </w:r>
      <w:r>
        <w:rPr>
          <w:rFonts w:ascii="仿宋" w:eastAsia="仿宋" w:hint="eastAsia"/>
          <w:color w:val="000000"/>
          <w:sz w:val="32"/>
          <w:szCs w:val="32"/>
        </w:rPr>
        <w:t>：收、支决算总计变动情况图）</w:t>
      </w:r>
    </w:p>
    <w:p>
      <w:pPr>
        <w:spacing w:line="600" w:lineRule="exact"/>
        <w:rPr>
          <w:rFonts w:ascii="仿宋" w:eastAsia="仿宋" w:hint="eastAsia"/>
          <w:color w:val="000000"/>
          <w:sz w:val="32"/>
          <w:szCs w:val="32"/>
        </w:rPr>
      </w:pPr>
      <w:r>
        <w:drawing>
          <wp:anchor distT="4340" distB="14259" distL="118677" distR="128683" simplePos="0" relativeHeight="17" behindDoc="0" locked="0" layoutInCell="1" hidden="0" allowOverlap="1">
            <wp:simplePos x="0" y="0"/>
            <wp:positionH relativeFrom="column">
              <wp:posOffset>537777</wp:posOffset>
            </wp:positionH>
            <wp:positionV relativeFrom="paragraph">
              <wp:posOffset>260880</wp:posOffset>
            </wp:positionV>
            <wp:extent cx="3151505" cy="2677795"/>
            <wp:effectExtent l="0" t="0" r="0" b="0"/>
            <wp:wrapSquare wrapText="bothSides"/>
            <wp:docPr id="1" name="图表 1"/>
            <wp:cNvGraphicFramePr>
              <a:graphicFrameLocks noChangeAspect="0"/>
            </wp:cNvGraphicFramePr>
            <a:graphic>
              <a:graphicData uri="http://schemas.openxmlformats.org/drawingml/2006/chart">
                <c:chart xmlns:c="http://schemas.openxmlformats.org/drawingml/2006/chart" r:id="rId4"/>
              </a:graphicData>
            </a:graphic>
          </wp:anchor>
        </w:drawing>
      </w: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jc w:val="left"/>
        <w:rPr>
          <w:rFonts w:ascii="仿宋_GB2312" w:eastAsia="仿宋_GB2312"/>
          <w:color w:val="000000"/>
          <w:sz w:val="32"/>
          <w:szCs w:val="32"/>
        </w:rPr>
      </w:pPr>
    </w:p>
    <w:p>
      <w:pPr>
        <w:spacing w:line="600" w:lineRule="exact"/>
        <w:ind w:firstLineChars="200" w:firstLine="420"/>
        <w:jc w:val="left"/>
      </w:pPr>
    </w:p>
    <w:p>
      <w:pPr>
        <w:spacing w:line="600" w:lineRule="exact"/>
        <w:ind w:firstLineChars="200" w:firstLine="420"/>
        <w:jc w:val="left"/>
      </w:pPr>
    </w:p>
    <w:p>
      <w:pPr>
        <w:spacing w:line="600" w:lineRule="exact"/>
        <w:jc w:val="left"/>
        <w:rPr>
          <w:rFonts w:ascii="仿宋_GB2312" w:eastAsia="仿宋_GB2312"/>
          <w:color w:val="000000"/>
          <w:sz w:val="32"/>
          <w:szCs w:val="32"/>
        </w:rPr>
      </w:pPr>
    </w:p>
    <w:p>
      <w:pPr>
        <w:pStyle w:val="22"/>
        <w:numPr>
          <w:ilvl w:val="0"/>
          <w:numId w:val="1"/>
        </w:numPr>
        <w:spacing w:line="600" w:lineRule="exact"/>
        <w:ind w:firstLineChars="0"/>
        <w:outlineLvl w:val="1"/>
        <w:rPr>
          <w:rStyle w:val="2Char"/>
          <w:rFonts w:ascii="黑体" w:eastAsia="黑体"/>
          <w:b w:val="0"/>
        </w:rPr>
      </w:pPr>
      <w:bookmarkStart w:id="27" w:name="_Toc15396604"/>
      <w:bookmarkStart w:id="28" w:name="_Toc15377206"/>
      <w:r>
        <w:rPr>
          <w:rFonts w:ascii="黑体" w:eastAsia="黑体" w:hint="eastAsia"/>
          <w:color w:val="000000"/>
          <w:sz w:val="32"/>
          <w:szCs w:val="32"/>
        </w:rPr>
        <w:t>收</w:t>
      </w:r>
      <w:r>
        <w:rPr>
          <w:rStyle w:val="2Char"/>
          <w:rFonts w:ascii="黑体" w:eastAsia="黑体" w:hint="eastAsia"/>
          <w:b w:val="0"/>
        </w:rPr>
        <w:t>入决算情况说明</w:t>
      </w:r>
      <w:bookmarkEnd w:id="27"/>
      <w:bookmarkEnd w:id="28"/>
    </w:p>
    <w:p>
      <w:pPr>
        <w:spacing w:line="600" w:lineRule="exact"/>
        <w:ind w:firstLineChars="200" w:firstLine="640"/>
        <w:outlineLvl w:val="1"/>
        <w:rPr>
          <w:rFonts w:ascii="仿宋" w:eastAsia="仿宋" w:hint="eastAsia"/>
          <w:color w:val="000000"/>
          <w:sz w:val="32"/>
          <w:szCs w:val="32"/>
        </w:rPr>
      </w:pPr>
      <w:r>
        <w:rPr>
          <w:rFonts w:ascii="仿宋" w:eastAsia="仿宋"/>
          <w:color w:val="000000"/>
          <w:sz w:val="32"/>
          <w:szCs w:val="32"/>
        </w:rPr>
        <w:t>2020</w:t>
      </w:r>
      <w:r>
        <w:rPr>
          <w:rFonts w:ascii="仿宋" w:eastAsia="仿宋" w:hint="eastAsia"/>
          <w:color w:val="000000"/>
          <w:sz w:val="32"/>
          <w:szCs w:val="32"/>
        </w:rPr>
        <w:t>年本年收入合计974.01万元，其中：一般公共预算财政拨款收入901.94万元，占92.60</w:t>
      </w:r>
      <w:r>
        <w:rPr>
          <w:rFonts w:ascii="仿宋" w:eastAsia="仿宋"/>
          <w:color w:val="000000"/>
          <w:sz w:val="32"/>
          <w:szCs w:val="32"/>
        </w:rPr>
        <w:t>%</w:t>
      </w:r>
      <w:r>
        <w:rPr>
          <w:rFonts w:ascii="仿宋" w:eastAsia="仿宋" w:hint="eastAsia"/>
          <w:color w:val="000000"/>
          <w:sz w:val="32"/>
          <w:szCs w:val="32"/>
        </w:rPr>
        <w:t>；政府性基金预算财政拨款收入72.07万元，占7.40</w:t>
      </w:r>
      <w:r>
        <w:rPr>
          <w:rFonts w:ascii="仿宋" w:eastAsia="仿宋"/>
          <w:color w:val="000000"/>
          <w:sz w:val="32"/>
          <w:szCs w:val="32"/>
        </w:rPr>
        <w:t>%</w:t>
      </w:r>
      <w:r>
        <w:rPr>
          <w:rFonts w:ascii="仿宋" w:eastAsia="仿宋" w:hint="eastAsia"/>
          <w:color w:val="000000"/>
          <w:sz w:val="32"/>
          <w:szCs w:val="32"/>
        </w:rPr>
        <w:t>。</w:t>
      </w:r>
    </w:p>
    <w:p>
      <w:pPr>
        <w:spacing w:line="600" w:lineRule="exact"/>
        <w:ind w:firstLineChars="200" w:firstLine="640"/>
        <w:rPr>
          <w:rFonts w:ascii="仿宋" w:eastAsia="仿宋" w:hint="eastAsia"/>
          <w:color w:val="000000"/>
          <w:sz w:val="32"/>
          <w:szCs w:val="32"/>
        </w:rPr>
      </w:pPr>
      <w:r>
        <w:rPr>
          <w:rFonts w:ascii="仿宋" w:eastAsia="仿宋" w:hint="eastAsia"/>
          <w:color w:val="000000"/>
          <w:sz w:val="32"/>
          <w:szCs w:val="32"/>
        </w:rPr>
        <w:t>（图</w:t>
      </w:r>
      <w:r>
        <w:rPr>
          <w:rFonts w:ascii="仿宋" w:eastAsia="仿宋"/>
          <w:color w:val="000000"/>
          <w:sz w:val="32"/>
          <w:szCs w:val="32"/>
        </w:rPr>
        <w:t>2</w:t>
      </w:r>
      <w:r>
        <w:rPr>
          <w:rFonts w:ascii="仿宋" w:eastAsia="仿宋" w:hint="eastAsia"/>
          <w:color w:val="000000"/>
          <w:sz w:val="32"/>
          <w:szCs w:val="32"/>
        </w:rPr>
        <w:t>：收入决算结构图）</w:t>
      </w:r>
    </w:p>
    <w:p>
      <w:pPr>
        <w:spacing w:line="600" w:lineRule="exact"/>
        <w:ind w:firstLineChars="200" w:firstLine="420"/>
        <w:rPr>
          <w:rFonts w:ascii="仿宋" w:eastAsia="仿宋" w:hint="eastAsia"/>
          <w:color w:val="000000"/>
          <w:sz w:val="32"/>
          <w:szCs w:val="32"/>
        </w:rPr>
      </w:pPr>
      <w:r>
        <w:drawing>
          <wp:anchor distT="4263" distB="14006" distL="118626" distR="128513" simplePos="0" relativeHeight="19" behindDoc="0" locked="0" layoutInCell="1" hidden="0" allowOverlap="1">
            <wp:simplePos x="0" y="0"/>
            <wp:positionH relativeFrom="column">
              <wp:posOffset>652026</wp:posOffset>
            </wp:positionH>
            <wp:positionV relativeFrom="paragraph">
              <wp:posOffset>223338</wp:posOffset>
            </wp:positionV>
            <wp:extent cx="3114039" cy="2630804"/>
            <wp:effectExtent l="0" t="0" r="0" b="0"/>
            <wp:wrapSquare wrapText="bothSides"/>
            <wp:docPr id="2" name="图表 1"/>
            <wp:cNvGraphicFramePr>
              <a:graphicFrameLocks noChangeAspect="0"/>
            </wp:cNvGraphicFramePr>
            <a:graphic>
              <a:graphicData uri="http://schemas.openxmlformats.org/drawingml/2006/chart">
                <c:chart xmlns:c="http://schemas.openxmlformats.org/drawingml/2006/chart" r:id="rId5"/>
              </a:graphicData>
            </a:graphic>
          </wp:anchor>
        </w:drawing>
      </w: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Style w:val="2Char"/>
          <w:rFonts w:ascii="黑体" w:eastAsia="黑体"/>
          <w:b w:val="0"/>
        </w:rPr>
      </w:pPr>
      <w:bookmarkStart w:id="29" w:name="_Toc15396605"/>
      <w:bookmarkStart w:id="30" w:name="_Toc15377207"/>
    </w:p>
    <w:p>
      <w:pPr>
        <w:pStyle w:val="22"/>
        <w:ind w:firstLineChars="0" w:firstLine="0"/>
        <w:outlineLvl w:val="1"/>
        <w:rPr>
          <w:rStyle w:val="2Char"/>
          <w:rFonts w:ascii="黑体" w:eastAsia="黑体"/>
          <w:b w:val="0"/>
        </w:rPr>
      </w:pPr>
      <w:r>
        <w:rPr>
          <w:rFonts w:ascii="黑体" w:eastAsia="黑体" w:hint="eastAsia"/>
          <w:color w:val="000000"/>
          <w:sz w:val="32"/>
          <w:szCs w:val="32"/>
        </w:rPr>
        <w:t>三、支</w:t>
      </w:r>
      <w:r>
        <w:rPr>
          <w:rStyle w:val="2Char"/>
          <w:rFonts w:ascii="黑体" w:eastAsia="黑体" w:hint="eastAsia"/>
          <w:b w:val="0"/>
        </w:rPr>
        <w:t>出决算情况说明</w:t>
      </w:r>
      <w:bookmarkEnd w:id="29"/>
      <w:bookmarkEnd w:id="30"/>
    </w:p>
    <w:p>
      <w:pPr>
        <w:spacing w:line="600" w:lineRule="exact"/>
        <w:ind w:firstLineChars="200" w:firstLine="640"/>
        <w:outlineLvl w:val="1"/>
        <w:rPr>
          <w:rFonts w:ascii="仿宋" w:eastAsia="仿宋"/>
          <w:color w:val="000000"/>
          <w:sz w:val="32"/>
          <w:szCs w:val="32"/>
          <w:shd w:val="pct10" w:color="auto" w:fill="FFFFFF"/>
        </w:rPr>
      </w:pPr>
      <w:r>
        <w:rPr>
          <w:rFonts w:ascii="仿宋" w:eastAsia="仿宋"/>
          <w:color w:val="000000"/>
          <w:sz w:val="32"/>
          <w:szCs w:val="32"/>
        </w:rPr>
        <w:t>2020</w:t>
      </w:r>
      <w:r>
        <w:rPr>
          <w:rFonts w:ascii="仿宋" w:eastAsia="仿宋" w:hint="eastAsia"/>
          <w:color w:val="000000"/>
          <w:sz w:val="32"/>
          <w:szCs w:val="32"/>
        </w:rPr>
        <w:t>年本年支出合计850.78万元，其中：基本支出360.58万元，占42.38</w:t>
      </w:r>
      <w:r>
        <w:rPr>
          <w:rFonts w:ascii="仿宋" w:eastAsia="仿宋"/>
          <w:color w:val="000000"/>
          <w:sz w:val="32"/>
          <w:szCs w:val="32"/>
        </w:rPr>
        <w:t>%</w:t>
      </w:r>
      <w:r>
        <w:rPr>
          <w:rFonts w:ascii="仿宋" w:eastAsia="仿宋" w:hint="eastAsia"/>
          <w:color w:val="000000"/>
          <w:sz w:val="32"/>
          <w:szCs w:val="32"/>
        </w:rPr>
        <w:t>；项目支出490.20万元，占57.62</w:t>
      </w:r>
      <w:r>
        <w:rPr>
          <w:rFonts w:ascii="仿宋" w:eastAsia="仿宋"/>
          <w:color w:val="000000"/>
          <w:sz w:val="32"/>
          <w:szCs w:val="32"/>
        </w:rPr>
        <w:t>%</w:t>
      </w:r>
      <w:r>
        <w:rPr>
          <w:rFonts w:ascii="仿宋" w:eastAsia="仿宋" w:hint="eastAsia"/>
          <w:color w:val="000000"/>
          <w:sz w:val="32"/>
          <w:szCs w:val="32"/>
        </w:rPr>
        <w:t>。</w:t>
      </w:r>
    </w:p>
    <w:p>
      <w:pPr>
        <w:spacing w:line="600" w:lineRule="exact"/>
        <w:ind w:firstLineChars="200" w:firstLine="640"/>
        <w:rPr>
          <w:rFonts w:ascii="仿宋" w:eastAsia="仿宋" w:hint="eastAsia"/>
          <w:color w:val="000000"/>
          <w:sz w:val="32"/>
          <w:szCs w:val="32"/>
        </w:rPr>
      </w:pPr>
      <w:r>
        <w:rPr>
          <w:rFonts w:ascii="仿宋" w:eastAsia="仿宋" w:hint="eastAsia"/>
          <w:color w:val="000000"/>
          <w:sz w:val="32"/>
          <w:szCs w:val="32"/>
        </w:rPr>
        <w:t>（图</w:t>
      </w:r>
      <w:r>
        <w:rPr>
          <w:rFonts w:ascii="仿宋" w:eastAsia="仿宋"/>
          <w:color w:val="000000"/>
          <w:sz w:val="32"/>
          <w:szCs w:val="32"/>
        </w:rPr>
        <w:t>3</w:t>
      </w:r>
      <w:r>
        <w:rPr>
          <w:rFonts w:ascii="仿宋" w:eastAsia="仿宋" w:hint="eastAsia"/>
          <w:color w:val="000000"/>
          <w:sz w:val="32"/>
          <w:szCs w:val="32"/>
        </w:rPr>
        <w:t>：支出决算结构图）</w:t>
      </w:r>
    </w:p>
    <w:p>
      <w:pPr>
        <w:spacing w:line="600" w:lineRule="exact"/>
        <w:ind w:firstLineChars="200" w:firstLine="420"/>
        <w:rPr>
          <w:rFonts w:ascii="仿宋" w:eastAsia="仿宋" w:hint="eastAsia"/>
          <w:color w:val="000000"/>
          <w:sz w:val="32"/>
          <w:szCs w:val="32"/>
        </w:rPr>
      </w:pPr>
      <w:r>
        <w:drawing>
          <wp:anchor distT="4075" distB="13396" distL="118587" distR="128386" simplePos="0" relativeHeight="21" behindDoc="0" locked="0" layoutInCell="1" hidden="0" allowOverlap="1">
            <wp:simplePos x="0" y="0"/>
            <wp:positionH relativeFrom="column">
              <wp:posOffset>737077</wp:posOffset>
            </wp:positionH>
            <wp:positionV relativeFrom="paragraph">
              <wp:posOffset>127267</wp:posOffset>
            </wp:positionV>
            <wp:extent cx="3086735" cy="2515870"/>
            <wp:effectExtent l="0" t="0" r="0" b="0"/>
            <wp:wrapTight wrapText="bothSides">
              <wp:wrapPolygon>
                <wp:start x="-25" y="-79"/>
                <wp:lineTo x="-25" y="21591"/>
                <wp:lineTo x="21569" y="21591"/>
                <wp:lineTo x="21569" y="-79"/>
                <wp:lineTo x="-25" y="-79"/>
              </wp:wrapPolygon>
            </wp:wrapTight>
            <wp:docPr id="3" name="图表 1"/>
            <wp:cNvGraphicFramePr>
              <a:graphicFrameLocks noChangeAspect="0"/>
            </wp:cNvGraphicFramePr>
            <a:graphic>
              <a:graphicData uri="http://schemas.openxmlformats.org/drawingml/2006/chart">
                <c:chart xmlns:c="http://schemas.openxmlformats.org/drawingml/2006/chart" r:id="rId6"/>
              </a:graphicData>
            </a:graphic>
          </wp:anchor>
        </w:drawing>
      </w: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r>
        <w:rPr>
          <w:rFonts w:ascii="仿宋" w:eastAsia="仿宋" w:hint="eastAsia"/>
          <w:color w:val="000000"/>
          <w:sz w:val="32"/>
          <w:szCs w:val="32"/>
        </w:rPr>
        <w:br/>
      </w:r>
    </w:p>
    <w:p>
      <w:pPr>
        <w:spacing w:line="600" w:lineRule="exact"/>
        <w:ind w:firstLineChars="200" w:firstLine="640"/>
        <w:rPr>
          <w:rFonts w:ascii="仿宋" w:eastAsia="仿宋" w:hint="eastAsia"/>
          <w:color w:val="000000"/>
          <w:sz w:val="32"/>
          <w:szCs w:val="32"/>
        </w:rPr>
      </w:pPr>
    </w:p>
    <w:p>
      <w:pPr>
        <w:spacing w:line="600" w:lineRule="exact"/>
        <w:outlineLvl w:val="1"/>
        <w:rPr>
          <w:rFonts w:ascii="黑体" w:eastAsia="黑体" w:hint="eastAsia"/>
          <w:color w:val="000000"/>
          <w:sz w:val="32"/>
          <w:szCs w:val="32"/>
        </w:rPr>
      </w:pPr>
      <w:bookmarkStart w:id="31" w:name="_Toc15396606"/>
      <w:bookmarkStart w:id="32" w:name="_Toc15377208"/>
    </w:p>
    <w:p>
      <w:pPr>
        <w:spacing w:line="600" w:lineRule="exact"/>
        <w:ind w:firstLineChars="200" w:firstLine="640"/>
        <w:outlineLvl w:val="1"/>
        <w:rPr>
          <w:rFonts w:ascii="黑体" w:eastAsia="黑体" w:hint="eastAsia"/>
          <w:color w:val="000000"/>
          <w:sz w:val="32"/>
          <w:szCs w:val="32"/>
        </w:rPr>
      </w:pPr>
    </w:p>
    <w:p>
      <w:pPr>
        <w:spacing w:line="600" w:lineRule="exact"/>
        <w:ind w:firstLineChars="200" w:firstLine="640"/>
        <w:outlineLvl w:val="1"/>
        <w:rPr>
          <w:rStyle w:val="2Char"/>
          <w:rFonts w:ascii="黑体" w:eastAsia="黑体"/>
          <w:b w:val="0"/>
        </w:rPr>
      </w:pPr>
      <w:r>
        <w:rPr>
          <w:rFonts w:ascii="黑体" w:eastAsia="黑体" w:hint="eastAsia"/>
          <w:color w:val="000000"/>
          <w:sz w:val="32"/>
          <w:szCs w:val="32"/>
        </w:rPr>
        <w:t>四、财</w:t>
      </w:r>
      <w:r>
        <w:rPr>
          <w:rStyle w:val="2Char"/>
          <w:rFonts w:ascii="黑体" w:eastAsia="黑体" w:hint="eastAsia"/>
          <w:b w:val="0"/>
        </w:rPr>
        <w:t>政拨款收入支出决算总体情况说明</w:t>
      </w:r>
      <w:bookmarkEnd w:id="31"/>
      <w:bookmarkEnd w:id="32"/>
    </w:p>
    <w:p>
      <w:pPr>
        <w:spacing w:line="600" w:lineRule="exact"/>
        <w:ind w:firstLineChars="200" w:firstLine="640"/>
        <w:rPr>
          <w:rFonts w:ascii="仿宋" w:eastAsia="仿宋"/>
          <w:color w:val="000000"/>
          <w:sz w:val="32"/>
          <w:szCs w:val="32"/>
        </w:rPr>
      </w:pPr>
      <w:r>
        <w:rPr>
          <w:rFonts w:ascii="仿宋" w:eastAsia="仿宋"/>
          <w:color w:val="000000"/>
          <w:sz w:val="32"/>
          <w:szCs w:val="32"/>
        </w:rPr>
        <w:t>2020</w:t>
      </w:r>
      <w:r>
        <w:rPr>
          <w:rFonts w:ascii="仿宋" w:eastAsia="仿宋" w:hint="eastAsia"/>
          <w:color w:val="000000"/>
          <w:sz w:val="32"/>
          <w:szCs w:val="32"/>
        </w:rPr>
        <w:t>年度财政拨款收入总计974.01万元，支出总计974.01万元。与</w:t>
      </w:r>
      <w:r>
        <w:rPr>
          <w:rFonts w:ascii="仿宋" w:eastAsia="仿宋"/>
          <w:color w:val="000000"/>
          <w:sz w:val="32"/>
          <w:szCs w:val="32"/>
        </w:rPr>
        <w:t>2019</w:t>
      </w:r>
      <w:r>
        <w:rPr>
          <w:rFonts w:ascii="仿宋" w:eastAsia="仿宋" w:hint="eastAsia"/>
          <w:color w:val="000000"/>
          <w:sz w:val="32"/>
          <w:szCs w:val="32"/>
        </w:rPr>
        <w:t>年相比，财政拨款收入总计增加81.88万元，增长8.4</w:t>
      </w:r>
      <w:r>
        <w:rPr>
          <w:rFonts w:ascii="仿宋" w:eastAsia="仿宋"/>
          <w:color w:val="000000"/>
          <w:sz w:val="32"/>
          <w:szCs w:val="32"/>
        </w:rPr>
        <w:t>%</w:t>
      </w:r>
      <w:r>
        <w:rPr>
          <w:rFonts w:ascii="仿宋" w:eastAsia="仿宋" w:hint="eastAsia"/>
          <w:color w:val="000000"/>
          <w:sz w:val="32"/>
          <w:szCs w:val="32"/>
        </w:rPr>
        <w:t>；支出总计增加81.88万元，增长8.4</w:t>
      </w:r>
      <w:r>
        <w:rPr>
          <w:rFonts w:ascii="仿宋" w:eastAsia="仿宋"/>
          <w:color w:val="000000"/>
          <w:sz w:val="32"/>
          <w:szCs w:val="32"/>
        </w:rPr>
        <w:t>%</w:t>
      </w:r>
      <w:r>
        <w:rPr>
          <w:rFonts w:ascii="仿宋" w:eastAsia="仿宋" w:hint="eastAsia"/>
          <w:color w:val="000000"/>
          <w:sz w:val="32"/>
          <w:szCs w:val="32"/>
        </w:rPr>
        <w:t>。主要变动原因是单位人员变动，人员经费略有增加。</w:t>
      </w:r>
    </w:p>
    <w:p>
      <w:pPr>
        <w:spacing w:line="600" w:lineRule="exact"/>
        <w:ind w:firstLineChars="200" w:firstLine="640"/>
        <w:rPr>
          <w:rFonts w:ascii="仿宋" w:eastAsia="仿宋" w:hint="eastAsia"/>
          <w:color w:val="000000"/>
          <w:sz w:val="32"/>
          <w:szCs w:val="32"/>
        </w:rPr>
      </w:pPr>
      <w:r>
        <w:rPr>
          <w:rFonts w:ascii="仿宋" w:eastAsia="仿宋" w:hint="eastAsia"/>
          <w:color w:val="000000"/>
          <w:sz w:val="32"/>
          <w:szCs w:val="32"/>
        </w:rPr>
        <w:t>（图</w:t>
      </w:r>
      <w:r>
        <w:rPr>
          <w:rFonts w:ascii="仿宋" w:eastAsia="仿宋"/>
          <w:color w:val="000000"/>
          <w:sz w:val="32"/>
          <w:szCs w:val="32"/>
        </w:rPr>
        <w:t>4</w:t>
      </w:r>
      <w:r>
        <w:rPr>
          <w:rFonts w:ascii="仿宋" w:eastAsia="仿宋" w:hint="eastAsia"/>
          <w:color w:val="000000"/>
          <w:sz w:val="32"/>
          <w:szCs w:val="32"/>
        </w:rPr>
        <w:t>：财政拨款收、支决算总计变动情况）</w:t>
      </w:r>
    </w:p>
    <w:p>
      <w:pPr>
        <w:spacing w:line="600" w:lineRule="exact"/>
        <w:rPr>
          <w:rFonts w:ascii="仿宋" w:eastAsia="仿宋" w:hint="eastAsia"/>
          <w:color w:val="000000"/>
          <w:sz w:val="32"/>
          <w:szCs w:val="32"/>
        </w:rPr>
      </w:pPr>
      <w:r>
        <w:drawing>
          <wp:anchor distT="4445" distB="14604" distL="118572" distR="128343" simplePos="0" relativeHeight="23" behindDoc="0" locked="0" layoutInCell="1" hidden="0" allowOverlap="1">
            <wp:simplePos x="0" y="0"/>
            <wp:positionH relativeFrom="column">
              <wp:posOffset>975824</wp:posOffset>
            </wp:positionH>
            <wp:positionV relativeFrom="paragraph">
              <wp:posOffset>265429</wp:posOffset>
            </wp:positionV>
            <wp:extent cx="3077210" cy="2743200"/>
            <wp:effectExtent l="0" t="0" r="0" b="0"/>
            <wp:wrapTight wrapText="bothSides">
              <wp:wrapPolygon>
                <wp:start x="-30" y="-65"/>
                <wp:lineTo x="-30" y="21534"/>
                <wp:lineTo x="21564" y="21534"/>
                <wp:lineTo x="21564" y="-65"/>
                <wp:lineTo x="-30" y="-65"/>
              </wp:wrapPolygon>
            </wp:wrapTight>
            <wp:docPr id="4" name="图表 1"/>
            <wp:cNvGraphicFramePr>
              <a:graphicFrameLocks noChangeAspect="0"/>
            </wp:cNvGraphicFramePr>
            <a:graphic>
              <a:graphicData uri="http://schemas.openxmlformats.org/drawingml/2006/chart">
                <c:chart xmlns:c="http://schemas.openxmlformats.org/drawingml/2006/chart" r:id="rId7"/>
              </a:graphicData>
            </a:graphic>
          </wp:anchor>
        </w:drawing>
      </w: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640"/>
        <w:rPr>
          <w:rFonts w:ascii="仿宋" w:eastAsia="仿宋"/>
          <w:b/>
          <w:color w:val="00B050"/>
          <w:sz w:val="32"/>
          <w:szCs w:val="32"/>
        </w:rPr>
      </w:pPr>
    </w:p>
    <w:p>
      <w:pPr>
        <w:spacing w:line="600" w:lineRule="exact"/>
        <w:ind w:firstLineChars="200" w:firstLine="640"/>
        <w:outlineLvl w:val="1"/>
        <w:rPr>
          <w:rFonts w:ascii="黑体" w:eastAsia="黑体" w:hint="eastAsia"/>
          <w:color w:val="000000"/>
          <w:sz w:val="32"/>
          <w:szCs w:val="32"/>
        </w:rPr>
      </w:pPr>
      <w:bookmarkStart w:id="33" w:name="_Toc15377209"/>
      <w:bookmarkStart w:id="34" w:name="_Toc15396607"/>
    </w:p>
    <w:p>
      <w:pPr>
        <w:spacing w:line="600" w:lineRule="exact"/>
        <w:ind w:firstLineChars="200" w:firstLine="640"/>
        <w:outlineLvl w:val="1"/>
        <w:rPr>
          <w:rFonts w:ascii="黑体" w:eastAsia="黑体" w:hint="eastAsia"/>
          <w:color w:val="000000"/>
          <w:sz w:val="32"/>
          <w:szCs w:val="32"/>
        </w:rPr>
      </w:pPr>
    </w:p>
    <w:p>
      <w:pPr>
        <w:spacing w:line="600" w:lineRule="exact"/>
        <w:ind w:firstLineChars="200" w:firstLine="640"/>
        <w:outlineLvl w:val="1"/>
        <w:rPr>
          <w:rStyle w:val="2Char"/>
          <w:rFonts w:ascii="黑体" w:eastAsia="黑体"/>
          <w:b w:val="0"/>
        </w:rPr>
      </w:pPr>
      <w:r>
        <w:rPr>
          <w:rFonts w:ascii="黑体" w:eastAsia="黑体" w:hint="eastAsia"/>
          <w:color w:val="000000"/>
          <w:sz w:val="32"/>
          <w:szCs w:val="32"/>
        </w:rPr>
        <w:t>五、</w:t>
      </w:r>
      <w:r>
        <w:rPr>
          <w:rFonts w:ascii="黑体" w:eastAsia="黑体" w:hint="eastAsia"/>
          <w:b/>
          <w:color w:val="000000"/>
          <w:sz w:val="32"/>
          <w:szCs w:val="32"/>
        </w:rPr>
        <w:t>一</w:t>
      </w:r>
      <w:r>
        <w:rPr>
          <w:rStyle w:val="2Char"/>
          <w:rFonts w:ascii="黑体" w:eastAsia="黑体" w:hint="eastAsia"/>
          <w:b w:val="0"/>
        </w:rPr>
        <w:t>般公共预算财政拨款支出决算情况说明</w:t>
      </w:r>
      <w:bookmarkEnd w:id="33"/>
      <w:bookmarkEnd w:id="34"/>
    </w:p>
    <w:p>
      <w:pPr>
        <w:spacing w:line="600" w:lineRule="exact"/>
        <w:ind w:firstLineChars="200" w:firstLine="640"/>
        <w:outlineLvl w:val="2"/>
        <w:rPr>
          <w:rFonts w:ascii="仿宋" w:eastAsia="仿宋"/>
          <w:b/>
          <w:color w:val="000000"/>
          <w:sz w:val="32"/>
          <w:szCs w:val="32"/>
        </w:rPr>
      </w:pPr>
      <w:bookmarkStart w:id="35" w:name="_Toc15377210"/>
      <w:r>
        <w:rPr>
          <w:rFonts w:ascii="仿宋" w:eastAsia="仿宋" w:hint="eastAsia"/>
          <w:b/>
          <w:color w:val="000000"/>
          <w:sz w:val="32"/>
          <w:szCs w:val="32"/>
        </w:rPr>
        <w:t>（一）一般公共预算财政拨款支出决算总体情况</w:t>
      </w:r>
      <w:bookmarkEnd w:id="35"/>
    </w:p>
    <w:p>
      <w:pPr>
        <w:spacing w:line="600" w:lineRule="exact"/>
        <w:ind w:firstLineChars="200" w:firstLine="640"/>
        <w:rPr>
          <w:rFonts w:ascii="仿宋" w:eastAsia="仿宋"/>
          <w:color w:val="000000"/>
          <w:sz w:val="32"/>
          <w:szCs w:val="32"/>
        </w:rPr>
      </w:pPr>
      <w:r>
        <w:rPr>
          <w:rFonts w:ascii="仿宋" w:eastAsia="仿宋"/>
          <w:color w:val="000000"/>
          <w:sz w:val="32"/>
          <w:szCs w:val="32"/>
        </w:rPr>
        <w:t>2020</w:t>
      </w:r>
      <w:r>
        <w:rPr>
          <w:rFonts w:ascii="仿宋" w:eastAsia="仿宋" w:hint="eastAsia"/>
          <w:color w:val="000000"/>
          <w:sz w:val="32"/>
          <w:szCs w:val="32"/>
        </w:rPr>
        <w:t>年一般公共预算财政拨款支出778.70万元，占本年支出合计的91.53</w:t>
      </w:r>
      <w:r>
        <w:rPr>
          <w:rFonts w:ascii="仿宋" w:eastAsia="仿宋"/>
          <w:color w:val="000000"/>
          <w:sz w:val="32"/>
          <w:szCs w:val="32"/>
        </w:rPr>
        <w:t>%</w:t>
      </w:r>
      <w:r>
        <w:rPr>
          <w:rFonts w:ascii="仿宋" w:eastAsia="仿宋" w:hint="eastAsia"/>
          <w:color w:val="000000"/>
          <w:sz w:val="32"/>
          <w:szCs w:val="32"/>
        </w:rPr>
        <w:t>。与</w:t>
      </w:r>
      <w:r>
        <w:rPr>
          <w:rFonts w:ascii="仿宋" w:eastAsia="仿宋"/>
          <w:color w:val="000000"/>
          <w:sz w:val="32"/>
          <w:szCs w:val="32"/>
        </w:rPr>
        <w:t>2019</w:t>
      </w:r>
      <w:r>
        <w:rPr>
          <w:rFonts w:ascii="仿宋" w:eastAsia="仿宋" w:hint="eastAsia"/>
          <w:color w:val="000000"/>
          <w:sz w:val="32"/>
          <w:szCs w:val="32"/>
        </w:rPr>
        <w:t>年相比，一般公共预算财政拨款减少63.44万元，减少8.15</w:t>
      </w:r>
      <w:r>
        <w:rPr>
          <w:rFonts w:ascii="仿宋" w:eastAsia="仿宋"/>
          <w:color w:val="000000"/>
          <w:sz w:val="32"/>
          <w:szCs w:val="32"/>
        </w:rPr>
        <w:t>%</w:t>
      </w:r>
      <w:r>
        <w:rPr>
          <w:rFonts w:ascii="仿宋" w:eastAsia="仿宋" w:hint="eastAsia"/>
          <w:color w:val="000000"/>
          <w:sz w:val="32"/>
          <w:szCs w:val="32"/>
        </w:rPr>
        <w:t>。主要变动原因是市级送温暖资金在政府性基金预算中支出。</w:t>
      </w:r>
    </w:p>
    <w:p>
      <w:pPr>
        <w:spacing w:line="600" w:lineRule="exact"/>
        <w:ind w:firstLineChars="200" w:firstLine="640"/>
        <w:rPr>
          <w:rFonts w:ascii="仿宋" w:eastAsia="仿宋" w:hint="eastAsia"/>
          <w:color w:val="000000"/>
          <w:sz w:val="32"/>
          <w:szCs w:val="32"/>
        </w:rPr>
      </w:pPr>
      <w:r>
        <w:rPr>
          <w:rFonts w:ascii="仿宋" w:eastAsia="仿宋" w:hint="eastAsia"/>
          <w:color w:val="000000"/>
          <w:sz w:val="32"/>
          <w:szCs w:val="32"/>
        </w:rPr>
        <w:t>（图</w:t>
      </w:r>
      <w:r>
        <w:rPr>
          <w:rFonts w:ascii="仿宋" w:eastAsia="仿宋"/>
          <w:color w:val="000000"/>
          <w:sz w:val="32"/>
          <w:szCs w:val="32"/>
        </w:rPr>
        <w:t>5</w:t>
      </w:r>
      <w:r>
        <w:rPr>
          <w:rFonts w:ascii="仿宋" w:eastAsia="仿宋" w:hint="eastAsia"/>
          <w:color w:val="000000"/>
          <w:sz w:val="32"/>
          <w:szCs w:val="32"/>
        </w:rPr>
        <w:t>：一般公共预算财政拨款支出决算变动情况）</w:t>
      </w:r>
    </w:p>
    <w:p>
      <w:pPr>
        <w:spacing w:line="600" w:lineRule="exact"/>
        <w:ind w:firstLineChars="200" w:firstLine="420"/>
        <w:rPr>
          <w:rFonts w:ascii="仿宋" w:eastAsia="仿宋" w:hint="eastAsia"/>
          <w:color w:val="000000"/>
          <w:sz w:val="32"/>
          <w:szCs w:val="32"/>
        </w:rPr>
      </w:pPr>
      <w:r>
        <w:drawing>
          <wp:anchor distT="4123" distB="13547" distL="118448" distR="127929" simplePos="0" relativeHeight="25" behindDoc="0" locked="0" layoutInCell="1" hidden="0" allowOverlap="1">
            <wp:simplePos x="0" y="0"/>
            <wp:positionH relativeFrom="column">
              <wp:posOffset>909023</wp:posOffset>
            </wp:positionH>
            <wp:positionV relativeFrom="paragraph">
              <wp:posOffset>176208</wp:posOffset>
            </wp:positionV>
            <wp:extent cx="3306445" cy="2544445"/>
            <wp:effectExtent l="0" t="0" r="0" b="0"/>
            <wp:wrapTight wrapText="bothSides">
              <wp:wrapPolygon>
                <wp:start x="-27" y="-33"/>
                <wp:lineTo x="-27" y="21555"/>
                <wp:lineTo x="21564" y="21555"/>
                <wp:lineTo x="21564" y="-33"/>
                <wp:lineTo x="-27" y="-33"/>
              </wp:wrapPolygon>
            </wp:wrapTight>
            <wp:docPr id="5" name="图表 1"/>
            <wp:cNvGraphicFramePr>
              <a:graphicFrameLocks noChangeAspect="0"/>
            </wp:cNvGraphicFramePr>
            <a:graphic>
              <a:graphicData uri="http://schemas.openxmlformats.org/drawingml/2006/chart">
                <c:chart xmlns:c="http://schemas.openxmlformats.org/drawingml/2006/chart" r:id="rId8"/>
              </a:graphicData>
            </a:graphic>
          </wp:anchor>
        </w:drawing>
      </w: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color w:val="000000"/>
          <w:sz w:val="32"/>
          <w:szCs w:val="32"/>
        </w:rPr>
      </w:pPr>
    </w:p>
    <w:p>
      <w:pPr>
        <w:spacing w:line="600" w:lineRule="exact"/>
        <w:ind w:firstLineChars="200" w:firstLine="640"/>
        <w:outlineLvl w:val="2"/>
        <w:rPr>
          <w:rFonts w:ascii="仿宋" w:eastAsia="仿宋" w:hint="eastAsia"/>
          <w:b/>
          <w:color w:val="000000"/>
          <w:sz w:val="32"/>
          <w:szCs w:val="32"/>
        </w:rPr>
      </w:pPr>
      <w:bookmarkStart w:id="36" w:name="_Toc15377211"/>
    </w:p>
    <w:p>
      <w:pPr>
        <w:spacing w:line="600" w:lineRule="exact"/>
        <w:ind w:firstLineChars="200" w:firstLine="640"/>
        <w:outlineLvl w:val="2"/>
        <w:rPr>
          <w:rFonts w:ascii="仿宋" w:eastAsia="仿宋" w:hint="eastAsia"/>
          <w:b/>
          <w:color w:val="000000"/>
          <w:sz w:val="32"/>
          <w:szCs w:val="32"/>
        </w:rPr>
      </w:pPr>
    </w:p>
    <w:p>
      <w:pPr>
        <w:spacing w:line="600" w:lineRule="exact"/>
        <w:ind w:firstLineChars="200" w:firstLine="640"/>
        <w:outlineLvl w:val="2"/>
        <w:rPr>
          <w:rFonts w:ascii="仿宋" w:eastAsia="仿宋" w:hint="eastAsia"/>
          <w:b/>
          <w:color w:val="000000"/>
          <w:sz w:val="32"/>
          <w:szCs w:val="32"/>
        </w:rPr>
      </w:pPr>
    </w:p>
    <w:p>
      <w:pPr>
        <w:spacing w:line="600" w:lineRule="exact"/>
        <w:outlineLvl w:val="2"/>
        <w:rPr>
          <w:rFonts w:ascii="仿宋" w:eastAsia="仿宋" w:hint="eastAsia"/>
          <w:b/>
          <w:color w:val="000000"/>
          <w:sz w:val="32"/>
          <w:szCs w:val="32"/>
        </w:rPr>
      </w:pP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（二）一般公共预算财政拨款支出决算结构情况</w:t>
      </w:r>
      <w:bookmarkEnd w:id="36"/>
    </w:p>
    <w:p>
      <w:pPr>
        <w:spacing w:line="600" w:lineRule="exact"/>
        <w:ind w:firstLine="640"/>
        <w:rPr>
          <w:rFonts w:ascii="仿宋" w:eastAsia="仿宋" w:hint="eastAsia"/>
          <w:color w:val="000000"/>
          <w:sz w:val="32"/>
          <w:szCs w:val="32"/>
        </w:rPr>
      </w:pPr>
      <w:r>
        <w:rPr>
          <w:rFonts w:ascii="仿宋" w:eastAsia="仿宋"/>
          <w:color w:val="000000"/>
          <w:sz w:val="32"/>
          <w:szCs w:val="32"/>
        </w:rPr>
        <w:t>2020</w:t>
      </w:r>
      <w:r>
        <w:rPr>
          <w:rFonts w:ascii="仿宋" w:eastAsia="仿宋" w:hint="eastAsia"/>
          <w:color w:val="000000"/>
          <w:sz w:val="32"/>
          <w:szCs w:val="32"/>
        </w:rPr>
        <w:t>年一般公共预算财政拨款支出778.70万元，主要用于以下方面</w:t>
      </w:r>
      <w:r>
        <w:rPr>
          <w:rFonts w:ascii="仿宋" w:eastAsia="仿宋"/>
          <w:color w:val="000000"/>
          <w:sz w:val="32"/>
          <w:szCs w:val="32"/>
        </w:rPr>
        <w:t>:</w:t>
      </w:r>
      <w:r>
        <w:rPr>
          <w:rFonts w:ascii="仿宋" w:eastAsia="仿宋" w:hint="eastAsia"/>
          <w:b/>
          <w:color w:val="000000"/>
          <w:sz w:val="32"/>
          <w:szCs w:val="32"/>
        </w:rPr>
        <w:t>一般公共服务（类）</w:t>
      </w:r>
      <w:r>
        <w:rPr>
          <w:rFonts w:ascii="仿宋" w:eastAsia="仿宋" w:hint="eastAsia"/>
          <w:color w:val="000000"/>
          <w:sz w:val="32"/>
          <w:szCs w:val="32"/>
        </w:rPr>
        <w:t>支出726.75万元，占93.33</w:t>
      </w:r>
      <w:r>
        <w:rPr>
          <w:rFonts w:ascii="仿宋" w:eastAsia="仿宋"/>
          <w:color w:val="000000"/>
          <w:sz w:val="32"/>
          <w:szCs w:val="32"/>
        </w:rPr>
        <w:t>%</w:t>
      </w:r>
      <w:r>
        <w:rPr>
          <w:rFonts w:ascii="仿宋" w:eastAsia="仿宋" w:hint="eastAsia"/>
          <w:color w:val="000000"/>
          <w:sz w:val="32"/>
          <w:szCs w:val="32"/>
        </w:rPr>
        <w:t>；</w:t>
      </w:r>
      <w:r>
        <w:rPr>
          <w:rFonts w:ascii="仿宋" w:eastAsia="仿宋" w:hint="eastAsia"/>
          <w:b/>
          <w:color w:val="000000"/>
          <w:sz w:val="32"/>
          <w:szCs w:val="32"/>
        </w:rPr>
        <w:t>社会保障和就业（类）</w:t>
      </w:r>
      <w:r>
        <w:rPr>
          <w:rFonts w:ascii="仿宋" w:eastAsia="仿宋" w:hint="eastAsia"/>
          <w:color w:val="000000"/>
          <w:sz w:val="32"/>
          <w:szCs w:val="32"/>
        </w:rPr>
        <w:t>支出51.95万元，占6.67</w:t>
      </w:r>
      <w:r>
        <w:rPr>
          <w:rFonts w:ascii="仿宋" w:eastAsia="仿宋"/>
          <w:color w:val="000000"/>
          <w:sz w:val="32"/>
          <w:szCs w:val="32"/>
        </w:rPr>
        <w:t>%</w:t>
      </w:r>
      <w:r>
        <w:rPr>
          <w:rFonts w:ascii="仿宋" w:eastAsia="仿宋" w:hint="eastAsia"/>
          <w:color w:val="000000"/>
          <w:sz w:val="32"/>
          <w:szCs w:val="32"/>
        </w:rPr>
        <w:t>。</w:t>
      </w:r>
    </w:p>
    <w:p>
      <w:pPr>
        <w:spacing w:line="600" w:lineRule="exact"/>
        <w:ind w:firstLineChars="200" w:firstLine="640"/>
        <w:rPr>
          <w:rFonts w:ascii="仿宋" w:eastAsia="仿宋" w:hint="eastAsia"/>
          <w:color w:val="000000"/>
          <w:sz w:val="32"/>
          <w:szCs w:val="32"/>
        </w:rPr>
      </w:pPr>
      <w:r>
        <w:rPr>
          <w:rFonts w:ascii="仿宋" w:eastAsia="仿宋" w:hint="eastAsia"/>
          <w:color w:val="000000"/>
          <w:sz w:val="32"/>
          <w:szCs w:val="32"/>
        </w:rPr>
        <w:t>（图</w:t>
      </w:r>
      <w:r>
        <w:rPr>
          <w:rFonts w:ascii="仿宋" w:eastAsia="仿宋"/>
          <w:color w:val="000000"/>
          <w:sz w:val="32"/>
          <w:szCs w:val="32"/>
        </w:rPr>
        <w:t>6</w:t>
      </w:r>
      <w:r>
        <w:rPr>
          <w:rFonts w:ascii="仿宋" w:eastAsia="仿宋" w:hint="eastAsia"/>
          <w:color w:val="000000"/>
          <w:sz w:val="32"/>
          <w:szCs w:val="32"/>
        </w:rPr>
        <w:t>：一般公共预算财政拨款支出决算结构）</w:t>
      </w:r>
    </w:p>
    <w:p>
      <w:pPr>
        <w:spacing w:line="600" w:lineRule="exact"/>
        <w:ind w:firstLineChars="200" w:firstLine="420"/>
        <w:rPr>
          <w:rFonts w:ascii="仿宋" w:eastAsia="仿宋" w:hint="eastAsia"/>
          <w:color w:val="000000"/>
          <w:sz w:val="32"/>
          <w:szCs w:val="32"/>
        </w:rPr>
      </w:pPr>
      <w:r>
        <w:drawing>
          <wp:anchor distT="3810" distB="12518" distL="118496" distR="128087" simplePos="0" relativeHeight="27" behindDoc="0" locked="0" layoutInCell="1" hidden="0" allowOverlap="1">
            <wp:simplePos x="0" y="0"/>
            <wp:positionH relativeFrom="column">
              <wp:posOffset>947169</wp:posOffset>
            </wp:positionH>
            <wp:positionV relativeFrom="paragraph">
              <wp:posOffset>203200</wp:posOffset>
            </wp:positionV>
            <wp:extent cx="3020695" cy="2603500"/>
            <wp:effectExtent l="0" t="0" r="0" b="0"/>
            <wp:wrapTight wrapText="bothSides">
              <wp:wrapPolygon>
                <wp:start x="-30" y="-27"/>
                <wp:lineTo x="-30" y="21546"/>
                <wp:lineTo x="21560" y="21546"/>
                <wp:lineTo x="21560" y="-27"/>
                <wp:lineTo x="-30" y="-27"/>
              </wp:wrapPolygon>
            </wp:wrapTight>
            <wp:docPr id="6" name="图表 1"/>
            <wp:cNvGraphicFramePr>
              <a:graphicFrameLocks noChangeAspect="0"/>
            </wp:cNvGraphicFramePr>
            <a:graphic>
              <a:graphicData uri="http://schemas.openxmlformats.org/drawingml/2006/chart">
                <c:chart xmlns:c="http://schemas.openxmlformats.org/drawingml/2006/chart" r:id="rId9"/>
              </a:graphicData>
            </a:graphic>
          </wp:anchor>
        </w:drawing>
      </w: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hint="eastAsia"/>
          <w:color w:val="000000"/>
          <w:sz w:val="32"/>
          <w:szCs w:val="32"/>
        </w:rPr>
      </w:pPr>
    </w:p>
    <w:p>
      <w:pPr>
        <w:spacing w:line="600" w:lineRule="exact"/>
        <w:ind w:firstLineChars="200" w:firstLine="640"/>
        <w:rPr>
          <w:rFonts w:ascii="仿宋" w:eastAsia="仿宋"/>
          <w:color w:val="000000"/>
          <w:sz w:val="32"/>
          <w:szCs w:val="32"/>
        </w:rPr>
      </w:pPr>
    </w:p>
    <w:p>
      <w:pPr>
        <w:spacing w:line="600" w:lineRule="exact"/>
        <w:ind w:firstLineChars="200" w:firstLine="640"/>
        <w:outlineLvl w:val="2"/>
        <w:rPr>
          <w:rFonts w:ascii="仿宋" w:eastAsia="仿宋" w:hint="eastAsia"/>
          <w:b/>
          <w:color w:val="000000"/>
          <w:sz w:val="32"/>
          <w:szCs w:val="32"/>
        </w:rPr>
      </w:pPr>
      <w:bookmarkStart w:id="37" w:name="_Toc15377212"/>
    </w:p>
    <w:p>
      <w:pPr>
        <w:spacing w:line="600" w:lineRule="exact"/>
        <w:ind w:firstLineChars="200" w:firstLine="640"/>
        <w:outlineLvl w:val="2"/>
        <w:rPr>
          <w:rFonts w:ascii="仿宋" w:eastAsia="仿宋" w:hint="eastAsia"/>
          <w:b/>
          <w:color w:val="000000"/>
          <w:sz w:val="32"/>
          <w:szCs w:val="32"/>
        </w:rPr>
      </w:pPr>
    </w:p>
    <w:p>
      <w:pPr>
        <w:spacing w:line="600" w:lineRule="exact"/>
        <w:ind w:firstLineChars="200" w:firstLine="640"/>
        <w:outlineLvl w:val="2"/>
        <w:rPr>
          <w:rFonts w:ascii="仿宋" w:eastAsia="仿宋" w:hint="eastAsia"/>
          <w:b/>
          <w:color w:val="000000"/>
          <w:sz w:val="32"/>
          <w:szCs w:val="32"/>
        </w:rPr>
      </w:pPr>
    </w:p>
    <w:p>
      <w:pPr>
        <w:spacing w:line="60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（三）一般公共预算财政拨款支出决算具体情况</w:t>
      </w:r>
      <w:bookmarkEnd w:id="37"/>
    </w:p>
    <w:p>
      <w:pPr>
        <w:spacing w:line="600" w:lineRule="exact"/>
        <w:ind w:firstLineChars="200" w:firstLine="640"/>
        <w:rPr>
          <w:rStyle w:val="18"/>
          <w:rFonts w:ascii="仿宋" w:eastAsia="仿宋" w:hint="eastAsia"/>
          <w:b w:val="0"/>
          <w:bCs/>
          <w:color w:val="000000"/>
          <w:sz w:val="32"/>
          <w:szCs w:val="32"/>
        </w:rPr>
      </w:pPr>
      <w:bookmarkStart w:id="38" w:name="_Toc15377213"/>
      <w:bookmarkStart w:id="39" w:name="_Toc15378460"/>
      <w:bookmarkStart w:id="40" w:name="_Toc15377444"/>
      <w:r>
        <w:rPr>
          <w:rStyle w:val="18"/>
          <w:rFonts w:ascii="仿宋" w:eastAsia="仿宋" w:hint="eastAsia"/>
          <w:b w:val="0"/>
          <w:bCs/>
          <w:color w:val="000000"/>
          <w:sz w:val="32"/>
          <w:szCs w:val="32"/>
        </w:rPr>
        <w:t>2020年一般公共预算支出决算数为778.70，完成预算100%。其中：</w:t>
      </w:r>
      <w:bookmarkEnd w:id="38"/>
      <w:bookmarkEnd w:id="39"/>
      <w:bookmarkEnd w:id="40"/>
    </w:p>
    <w:p>
      <w:pPr>
        <w:spacing w:line="600" w:lineRule="exact"/>
        <w:ind w:firstLineChars="200" w:firstLine="640"/>
        <w:rPr>
          <w:rFonts w:ascii="仿宋" w:eastAsia="仿宋"/>
          <w:b/>
          <w:color w:val="000000"/>
          <w:sz w:val="32"/>
          <w:szCs w:val="32"/>
        </w:rPr>
      </w:pPr>
      <w:r>
        <w:rPr>
          <w:rStyle w:val="18"/>
          <w:rFonts w:ascii="仿宋" w:eastAsia="仿宋"/>
          <w:bCs/>
          <w:color w:val="000000"/>
          <w:sz w:val="32"/>
          <w:szCs w:val="32"/>
        </w:rPr>
        <w:t>1.</w:t>
      </w:r>
      <w:r>
        <w:rPr>
          <w:rStyle w:val="18"/>
          <w:rFonts w:ascii="仿宋" w:eastAsia="仿宋" w:hint="eastAsia"/>
          <w:bCs/>
          <w:color w:val="000000"/>
          <w:sz w:val="32"/>
          <w:szCs w:val="32"/>
        </w:rPr>
        <w:t>一般公共服务</w:t>
      </w:r>
      <w:r>
        <w:rPr>
          <w:rStyle w:val="18"/>
          <w:rFonts w:ascii="仿宋" w:eastAsia="仿宋"/>
          <w:bCs/>
          <w:color w:val="000000"/>
          <w:sz w:val="32"/>
          <w:szCs w:val="32"/>
        </w:rPr>
        <w:t>:</w:t>
      </w:r>
      <w:r>
        <w:rPr>
          <w:rStyle w:val="18"/>
          <w:rFonts w:ascii="Calibri" w:eastAsia="仿宋" w:cs="Calibri" w:hAnsi="Calibri"/>
          <w:bCs/>
          <w:color w:val="000000"/>
          <w:sz w:val="32"/>
          <w:szCs w:val="32"/>
        </w:rPr>
        <w:t>①</w:t>
      </w:r>
      <w:r>
        <w:rPr>
          <w:rStyle w:val="18"/>
          <w:rFonts w:ascii="仿宋" w:eastAsia="仿宋"/>
          <w:bCs/>
          <w:color w:val="000000"/>
          <w:sz w:val="32"/>
          <w:szCs w:val="32"/>
        </w:rPr>
        <w:t>2012902:</w:t>
      </w:r>
      <w:r>
        <w:rPr>
          <w:rStyle w:val="18"/>
          <w:rFonts w:ascii="仿宋" w:eastAsia="仿宋"/>
          <w:b w:val="0"/>
          <w:bCs/>
          <w:color w:val="000000"/>
          <w:sz w:val="32"/>
          <w:szCs w:val="32"/>
        </w:rPr>
        <w:t xml:space="preserve"> </w:t>
      </w:r>
      <w:r>
        <w:rPr>
          <w:rStyle w:val="18"/>
          <w:rFonts w:ascii="仿宋" w:eastAsia="仿宋" w:hint="eastAsia"/>
          <w:b w:val="0"/>
          <w:bCs/>
          <w:color w:val="000000"/>
          <w:sz w:val="32"/>
          <w:szCs w:val="32"/>
        </w:rPr>
        <w:t>支出决算为219.00万元，完成预算</w:t>
      </w:r>
      <w:r>
        <w:rPr>
          <w:rStyle w:val="18"/>
          <w:rFonts w:ascii="仿宋" w:eastAsia="仿宋"/>
          <w:b w:val="0"/>
          <w:bCs/>
          <w:color w:val="000000"/>
          <w:sz w:val="32"/>
          <w:szCs w:val="32"/>
        </w:rPr>
        <w:t>100%</w:t>
      </w:r>
      <w:r>
        <w:rPr>
          <w:rStyle w:val="18"/>
          <w:rFonts w:ascii="Calibri" w:eastAsia="仿宋" w:cs="Calibri" w:hAnsi="Calibri"/>
          <w:b w:val="0"/>
          <w:bCs/>
          <w:color w:val="000000"/>
          <w:sz w:val="32"/>
          <w:szCs w:val="32"/>
        </w:rPr>
        <w:t>②</w:t>
      </w:r>
      <w:r>
        <w:rPr>
          <w:rStyle w:val="18"/>
          <w:rFonts w:ascii="仿宋" w:eastAsia="仿宋"/>
          <w:bCs/>
          <w:color w:val="000000"/>
          <w:sz w:val="32"/>
          <w:szCs w:val="32"/>
        </w:rPr>
        <w:t>20129</w:t>
      </w:r>
      <w:r>
        <w:rPr>
          <w:rStyle w:val="18"/>
          <w:rFonts w:ascii="仿宋" w:eastAsia="仿宋" w:hint="eastAsia"/>
          <w:bCs/>
          <w:color w:val="000000"/>
          <w:sz w:val="32"/>
          <w:szCs w:val="32"/>
        </w:rPr>
        <w:t>06</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ascii="仿宋" w:eastAsia="仿宋" w:hint="eastAsia"/>
          <w:b w:val="0"/>
          <w:bCs/>
          <w:color w:val="000000"/>
          <w:sz w:val="32"/>
          <w:szCs w:val="32"/>
        </w:rPr>
        <w:t>支出决算为137.84万元，完成预算</w:t>
      </w:r>
      <w:r>
        <w:rPr>
          <w:rStyle w:val="18"/>
          <w:rFonts w:ascii="仿宋" w:eastAsia="仿宋"/>
          <w:b w:val="0"/>
          <w:bCs/>
          <w:color w:val="000000"/>
          <w:sz w:val="32"/>
          <w:szCs w:val="32"/>
        </w:rPr>
        <w:t>100%</w:t>
      </w:r>
      <w:r>
        <w:rPr>
          <w:rStyle w:val="18"/>
          <w:rFonts w:ascii="仿宋" w:eastAsia="仿宋" w:hint="eastAsia"/>
          <w:b w:val="0"/>
          <w:bCs/>
          <w:color w:val="000000"/>
          <w:sz w:val="32"/>
          <w:szCs w:val="32"/>
        </w:rPr>
        <w:t>；</w:t>
      </w:r>
      <w:r>
        <w:rPr>
          <w:rStyle w:val="18"/>
          <w:rFonts w:ascii="Calibri" w:eastAsia="仿宋" w:cs="Calibri" w:hAnsi="Calibri"/>
          <w:bCs/>
          <w:color w:val="000000"/>
          <w:sz w:val="32"/>
          <w:szCs w:val="32"/>
        </w:rPr>
        <w:t>③</w:t>
      </w:r>
      <w:r>
        <w:rPr>
          <w:rStyle w:val="18"/>
          <w:rFonts w:ascii="仿宋" w:eastAsia="仿宋"/>
          <w:bCs/>
          <w:color w:val="000000"/>
          <w:sz w:val="32"/>
          <w:szCs w:val="32"/>
        </w:rPr>
        <w:t>201</w:t>
      </w:r>
      <w:r>
        <w:rPr>
          <w:rStyle w:val="18"/>
          <w:rFonts w:ascii="仿宋" w:eastAsia="仿宋" w:hint="eastAsia"/>
          <w:bCs/>
          <w:color w:val="000000"/>
          <w:sz w:val="32"/>
          <w:szCs w:val="32"/>
        </w:rPr>
        <w:t>2999</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ascii="仿宋" w:eastAsia="仿宋" w:hint="eastAsia"/>
          <w:b w:val="0"/>
          <w:bCs/>
          <w:color w:val="000000"/>
          <w:sz w:val="32"/>
          <w:szCs w:val="32"/>
        </w:rPr>
        <w:t>支出决算为366.52万元，完成预算</w:t>
      </w:r>
      <w:r>
        <w:rPr>
          <w:rStyle w:val="18"/>
          <w:rFonts w:ascii="仿宋" w:eastAsia="仿宋"/>
          <w:b w:val="0"/>
          <w:bCs/>
          <w:color w:val="000000"/>
          <w:sz w:val="32"/>
          <w:szCs w:val="32"/>
        </w:rPr>
        <w:t>100%</w:t>
      </w:r>
      <w:r>
        <w:rPr>
          <w:rStyle w:val="18"/>
          <w:rFonts w:ascii="仿宋" w:eastAsia="仿宋" w:hint="eastAsia"/>
          <w:b w:val="0"/>
          <w:bCs/>
          <w:color w:val="000000"/>
          <w:sz w:val="32"/>
          <w:szCs w:val="32"/>
        </w:rPr>
        <w:t>；</w:t>
      </w:r>
      <w:r>
        <w:rPr>
          <w:rStyle w:val="18"/>
          <w:rFonts w:ascii="仿宋" w:eastAsia="仿宋" w:cs="仿宋" w:hint="eastAsia"/>
          <w:bCs/>
          <w:color w:val="000000"/>
          <w:sz w:val="32"/>
          <w:szCs w:val="32"/>
        </w:rPr>
        <w:t>④</w:t>
      </w:r>
      <w:r>
        <w:rPr>
          <w:rStyle w:val="18"/>
          <w:rFonts w:ascii="仿宋" w:eastAsia="仿宋" w:hint="eastAsia"/>
          <w:bCs/>
          <w:color w:val="000000"/>
          <w:sz w:val="32"/>
          <w:szCs w:val="32"/>
        </w:rPr>
        <w:t>2013299：</w:t>
      </w:r>
      <w:r>
        <w:rPr>
          <w:rStyle w:val="18"/>
          <w:rFonts w:ascii="仿宋" w:eastAsia="仿宋" w:hint="eastAsia"/>
          <w:b w:val="0"/>
          <w:bCs/>
          <w:color w:val="000000"/>
          <w:sz w:val="32"/>
          <w:szCs w:val="32"/>
        </w:rPr>
        <w:t>支出决算为3.39万元，完成预算</w:t>
      </w:r>
      <w:r>
        <w:rPr>
          <w:rStyle w:val="18"/>
          <w:rFonts w:ascii="仿宋" w:eastAsia="仿宋"/>
          <w:b w:val="0"/>
          <w:bCs/>
          <w:color w:val="000000"/>
          <w:sz w:val="32"/>
          <w:szCs w:val="32"/>
        </w:rPr>
        <w:t>100%</w:t>
      </w:r>
      <w:r>
        <w:rPr>
          <w:rStyle w:val="18"/>
          <w:rFonts w:ascii="仿宋" w:eastAsia="仿宋" w:hint="eastAsia"/>
          <w:b w:val="0"/>
          <w:bCs/>
          <w:color w:val="000000"/>
          <w:sz w:val="32"/>
          <w:szCs w:val="32"/>
        </w:rPr>
        <w:t>；</w:t>
      </w:r>
    </w:p>
    <w:p>
      <w:pPr>
        <w:spacing w:line="600" w:lineRule="exact"/>
        <w:ind w:firstLineChars="200" w:firstLine="640"/>
        <w:rPr>
          <w:rFonts w:ascii="仿宋" w:eastAsia="仿宋"/>
          <w:b/>
          <w:color w:val="000000"/>
          <w:sz w:val="32"/>
          <w:szCs w:val="32"/>
        </w:rPr>
      </w:pPr>
      <w:r>
        <w:rPr>
          <w:rStyle w:val="18"/>
          <w:rFonts w:ascii="仿宋" w:eastAsia="仿宋"/>
          <w:bCs/>
          <w:color w:val="000000"/>
          <w:sz w:val="32"/>
          <w:szCs w:val="32"/>
        </w:rPr>
        <w:t>2.</w:t>
      </w:r>
      <w:r>
        <w:rPr>
          <w:rStyle w:val="18"/>
          <w:rFonts w:ascii="仿宋" w:eastAsia="仿宋" w:hint="eastAsia"/>
          <w:bCs/>
          <w:color w:val="000000"/>
          <w:sz w:val="32"/>
          <w:szCs w:val="32"/>
        </w:rPr>
        <w:t>社会保障和就业</w:t>
      </w:r>
      <w:r>
        <w:rPr>
          <w:rStyle w:val="18"/>
          <w:rFonts w:ascii="仿宋" w:eastAsia="仿宋"/>
          <w:bCs/>
          <w:color w:val="000000"/>
          <w:sz w:val="32"/>
          <w:szCs w:val="32"/>
        </w:rPr>
        <w:t>:</w:t>
      </w:r>
      <w:r>
        <w:rPr>
          <w:rStyle w:val="18"/>
          <w:rFonts w:ascii="Calibri" w:eastAsia="仿宋" w:cs="Calibri" w:hAnsi="Calibri"/>
          <w:b w:val="0"/>
          <w:bCs/>
          <w:color w:val="000000"/>
          <w:sz w:val="32"/>
          <w:szCs w:val="32"/>
        </w:rPr>
        <w:t>①</w:t>
      </w:r>
      <w:r>
        <w:rPr>
          <w:rStyle w:val="18"/>
          <w:rFonts w:ascii="仿宋" w:eastAsia="仿宋"/>
          <w:bCs/>
          <w:color w:val="000000"/>
          <w:sz w:val="32"/>
          <w:szCs w:val="32"/>
        </w:rPr>
        <w:t>208050</w:t>
      </w:r>
      <w:r>
        <w:rPr>
          <w:rStyle w:val="18"/>
          <w:rFonts w:ascii="仿宋" w:eastAsia="仿宋" w:hint="eastAsia"/>
          <w:bCs/>
          <w:color w:val="000000"/>
          <w:sz w:val="32"/>
          <w:szCs w:val="32"/>
        </w:rPr>
        <w:t>1：</w:t>
      </w:r>
      <w:r>
        <w:rPr>
          <w:rStyle w:val="18"/>
          <w:rFonts w:ascii="仿宋" w:eastAsia="仿宋" w:hint="eastAsia"/>
          <w:b w:val="0"/>
          <w:bCs/>
          <w:color w:val="000000"/>
          <w:sz w:val="32"/>
          <w:szCs w:val="32"/>
        </w:rPr>
        <w:t>支出决算为32.28万元，完成预算</w:t>
      </w:r>
      <w:r>
        <w:rPr>
          <w:rStyle w:val="18"/>
          <w:rFonts w:ascii="仿宋" w:eastAsia="仿宋"/>
          <w:b w:val="0"/>
          <w:bCs/>
          <w:color w:val="000000"/>
          <w:sz w:val="32"/>
          <w:szCs w:val="32"/>
        </w:rPr>
        <w:t>100%</w:t>
      </w:r>
      <w:r>
        <w:rPr>
          <w:rStyle w:val="18"/>
          <w:rFonts w:ascii="仿宋" w:eastAsia="仿宋" w:hint="eastAsia"/>
          <w:b w:val="0"/>
          <w:bCs/>
          <w:color w:val="000000"/>
          <w:sz w:val="32"/>
          <w:szCs w:val="32"/>
        </w:rPr>
        <w:t>；</w:t>
      </w:r>
      <w:r>
        <w:rPr>
          <w:rStyle w:val="18"/>
          <w:rFonts w:ascii="Calibri" w:eastAsia="仿宋" w:cs="Calibri" w:hAnsi="Calibri"/>
          <w:bCs/>
          <w:color w:val="000000"/>
          <w:sz w:val="32"/>
          <w:szCs w:val="32"/>
        </w:rPr>
        <w:t>②</w:t>
      </w:r>
      <w:r>
        <w:rPr>
          <w:rStyle w:val="18"/>
          <w:rFonts w:ascii="仿宋" w:eastAsia="仿宋"/>
          <w:bCs/>
          <w:color w:val="000000"/>
          <w:sz w:val="32"/>
          <w:szCs w:val="32"/>
        </w:rPr>
        <w:t>208</w:t>
      </w:r>
      <w:r>
        <w:rPr>
          <w:rStyle w:val="18"/>
          <w:rFonts w:ascii="仿宋" w:eastAsia="仿宋" w:hint="eastAsia"/>
          <w:bCs/>
          <w:color w:val="000000"/>
          <w:sz w:val="32"/>
          <w:szCs w:val="32"/>
        </w:rPr>
        <w:t>0502：</w:t>
      </w:r>
      <w:r>
        <w:rPr>
          <w:rStyle w:val="18"/>
          <w:rFonts w:ascii="仿宋" w:eastAsia="仿宋" w:hint="eastAsia"/>
          <w:b w:val="0"/>
          <w:bCs/>
          <w:color w:val="000000"/>
          <w:sz w:val="32"/>
          <w:szCs w:val="32"/>
        </w:rPr>
        <w:t>支出决算为8.55万元，完成预算</w:t>
      </w:r>
      <w:r>
        <w:rPr>
          <w:rStyle w:val="18"/>
          <w:rFonts w:ascii="仿宋" w:eastAsia="仿宋"/>
          <w:b w:val="0"/>
          <w:bCs/>
          <w:color w:val="000000"/>
          <w:sz w:val="32"/>
          <w:szCs w:val="32"/>
        </w:rPr>
        <w:t>100%</w:t>
      </w:r>
      <w:r>
        <w:rPr>
          <w:rStyle w:val="18"/>
          <w:rFonts w:ascii="仿宋" w:eastAsia="仿宋" w:hint="eastAsia"/>
          <w:b w:val="0"/>
          <w:bCs/>
          <w:color w:val="000000"/>
          <w:sz w:val="32"/>
          <w:szCs w:val="32"/>
        </w:rPr>
        <w:t>；</w:t>
      </w:r>
      <w:r>
        <w:rPr>
          <w:rStyle w:val="18"/>
          <w:rFonts w:ascii="Calibri" w:eastAsia="仿宋" w:cs="Calibri" w:hAnsi="Calibri"/>
          <w:bCs/>
          <w:color w:val="000000"/>
          <w:sz w:val="32"/>
          <w:szCs w:val="32"/>
        </w:rPr>
        <w:t>③</w:t>
      </w:r>
      <w:r>
        <w:rPr>
          <w:rStyle w:val="18"/>
          <w:rFonts w:ascii="仿宋" w:eastAsia="仿宋"/>
          <w:bCs/>
          <w:color w:val="000000"/>
          <w:sz w:val="32"/>
          <w:szCs w:val="32"/>
        </w:rPr>
        <w:t>208</w:t>
      </w:r>
      <w:r>
        <w:rPr>
          <w:rStyle w:val="18"/>
          <w:rFonts w:ascii="仿宋" w:eastAsia="仿宋" w:hint="eastAsia"/>
          <w:bCs/>
          <w:color w:val="000000"/>
          <w:sz w:val="32"/>
          <w:szCs w:val="32"/>
        </w:rPr>
        <w:t>0801：</w:t>
      </w:r>
      <w:r>
        <w:rPr>
          <w:rStyle w:val="18"/>
          <w:rFonts w:ascii="仿宋" w:eastAsia="仿宋" w:hint="eastAsia"/>
          <w:b w:val="0"/>
          <w:bCs/>
          <w:color w:val="000000"/>
          <w:sz w:val="32"/>
          <w:szCs w:val="32"/>
        </w:rPr>
        <w:t>支出决算为9.92万元，完成预算</w:t>
      </w:r>
      <w:r>
        <w:rPr>
          <w:rStyle w:val="18"/>
          <w:rFonts w:ascii="仿宋" w:eastAsia="仿宋"/>
          <w:b w:val="0"/>
          <w:bCs/>
          <w:color w:val="000000"/>
          <w:sz w:val="32"/>
          <w:szCs w:val="32"/>
        </w:rPr>
        <w:t>100%</w:t>
      </w:r>
      <w:r>
        <w:rPr>
          <w:rStyle w:val="18"/>
          <w:rFonts w:ascii="仿宋" w:eastAsia="仿宋" w:hint="eastAsia"/>
          <w:b w:val="0"/>
          <w:bCs/>
          <w:color w:val="000000"/>
          <w:sz w:val="32"/>
          <w:szCs w:val="32"/>
        </w:rPr>
        <w:t>；</w:t>
      </w:r>
      <w:r>
        <w:rPr>
          <w:rStyle w:val="18"/>
          <w:rFonts w:ascii="仿宋" w:eastAsia="仿宋" w:cs="仿宋" w:hint="eastAsia"/>
          <w:bCs/>
          <w:color w:val="000000"/>
          <w:sz w:val="32"/>
          <w:szCs w:val="32"/>
        </w:rPr>
        <w:t>④</w:t>
      </w:r>
      <w:r>
        <w:rPr>
          <w:rStyle w:val="18"/>
          <w:rFonts w:ascii="仿宋" w:eastAsia="仿宋"/>
          <w:bCs/>
          <w:color w:val="000000"/>
          <w:sz w:val="32"/>
          <w:szCs w:val="32"/>
        </w:rPr>
        <w:t>208</w:t>
      </w:r>
      <w:r>
        <w:rPr>
          <w:rStyle w:val="18"/>
          <w:rFonts w:ascii="仿宋" w:eastAsia="仿宋" w:hint="eastAsia"/>
          <w:bCs/>
          <w:color w:val="000000"/>
          <w:sz w:val="32"/>
          <w:szCs w:val="32"/>
        </w:rPr>
        <w:t>1001：</w:t>
      </w:r>
      <w:r>
        <w:rPr>
          <w:rStyle w:val="18"/>
          <w:rFonts w:ascii="仿宋" w:eastAsia="仿宋" w:hint="eastAsia"/>
          <w:b w:val="0"/>
          <w:bCs/>
          <w:color w:val="000000"/>
          <w:sz w:val="32"/>
          <w:szCs w:val="32"/>
        </w:rPr>
        <w:t>支出决算为1.20万元，完成预算</w:t>
      </w:r>
      <w:r>
        <w:rPr>
          <w:rStyle w:val="18"/>
          <w:rFonts w:ascii="仿宋" w:eastAsia="仿宋"/>
          <w:b w:val="0"/>
          <w:bCs/>
          <w:color w:val="000000"/>
          <w:sz w:val="32"/>
          <w:szCs w:val="32"/>
        </w:rPr>
        <w:t>100%</w:t>
      </w:r>
      <w:r>
        <w:rPr>
          <w:rStyle w:val="18"/>
          <w:rFonts w:ascii="仿宋" w:eastAsia="仿宋" w:hint="eastAsia"/>
          <w:b w:val="0"/>
          <w:bCs/>
          <w:color w:val="000000"/>
          <w:sz w:val="32"/>
          <w:szCs w:val="32"/>
        </w:rPr>
        <w:t>。</w:t>
      </w:r>
    </w:p>
    <w:p>
      <w:pPr>
        <w:tabs>
          <w:tab w:val="right" w:pos="8306"/>
        </w:tabs>
        <w:spacing w:line="600" w:lineRule="exact"/>
        <w:ind w:firstLine="640"/>
        <w:outlineLvl w:val="1"/>
        <w:rPr>
          <w:rStyle w:val="2Char"/>
        </w:rPr>
      </w:pPr>
      <w:bookmarkStart w:id="41" w:name="_Toc15396608"/>
      <w:bookmarkStart w:id="42" w:name="_Toc15377214"/>
      <w:r>
        <w:rPr>
          <w:rFonts w:ascii="黑体" w:eastAsia="黑体" w:hint="eastAsia"/>
          <w:color w:val="000000"/>
          <w:sz w:val="32"/>
          <w:szCs w:val="32"/>
        </w:rPr>
        <w:t>六</w:t>
      </w:r>
      <w:r>
        <w:rPr>
          <w:rFonts w:ascii="黑体" w:eastAsia="黑体" w:hint="eastAsia"/>
          <w:b/>
          <w:color w:val="000000"/>
          <w:sz w:val="32"/>
          <w:szCs w:val="32"/>
        </w:rPr>
        <w:t>、一</w:t>
      </w:r>
      <w:r>
        <w:rPr>
          <w:rStyle w:val="2Char"/>
          <w:rFonts w:ascii="黑体" w:eastAsia="黑体" w:hint="eastAsia"/>
          <w:b w:val="0"/>
        </w:rPr>
        <w:t>般公共预算财政拨款基本支出决算情况说明</w:t>
      </w:r>
      <w:bookmarkEnd w:id="41"/>
      <w:bookmarkEnd w:id="42"/>
      <w:r>
        <w:rPr>
          <w:rStyle w:val="2Char"/>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2020</w:t>
      </w:r>
      <w:r>
        <w:rPr>
          <w:rFonts w:ascii="仿宋" w:eastAsia="仿宋" w:hint="eastAsia"/>
          <w:color w:val="000000"/>
          <w:sz w:val="32"/>
          <w:szCs w:val="32"/>
        </w:rPr>
        <w:t>年一般公共预算财政拨款基本支出338.50万元，其中：</w:t>
      </w:r>
    </w:p>
    <w:p>
      <w:pPr>
        <w:spacing w:line="600" w:lineRule="exact"/>
        <w:ind w:firstLine="645"/>
        <w:rPr>
          <w:rFonts w:ascii="仿宋" w:eastAsia="仿宋"/>
          <w:b/>
          <w:color w:val="FF0000"/>
          <w:sz w:val="32"/>
          <w:szCs w:val="32"/>
        </w:rPr>
      </w:pPr>
      <w:r>
        <w:rPr>
          <w:rFonts w:ascii="仿宋" w:eastAsia="仿宋" w:hint="eastAsia"/>
          <w:color w:val="000000"/>
          <w:sz w:val="32"/>
          <w:szCs w:val="32"/>
        </w:rPr>
        <w:t>人员经费338.50万元，主要包括：离休费、退休费、抚恤金、生活补助等。</w:t>
      </w:r>
      <w:r>
        <w:rPr>
          <w:rFonts w:ascii="仿宋" w:eastAsia="仿宋"/>
          <w:color w:val="000000"/>
          <w:sz w:val="32"/>
          <w:szCs w:val="32"/>
        </w:rPr>
        <w:br/>
      </w:r>
      <w:r>
        <w:rPr>
          <w:rFonts w:ascii="仿宋" w:eastAsia="仿宋" w:hint="eastAsia"/>
          <w:color w:val="000000"/>
          <w:sz w:val="32"/>
          <w:szCs w:val="32"/>
        </w:rPr>
        <w:t>　　日常公用经费0万元。</w:t>
      </w:r>
    </w:p>
    <w:p>
      <w:pPr>
        <w:spacing w:line="600" w:lineRule="exact"/>
        <w:ind w:firstLine="640"/>
        <w:outlineLvl w:val="1"/>
        <w:rPr>
          <w:rStyle w:val="2Char"/>
          <w:rFonts w:ascii="黑体" w:eastAsia="黑体"/>
          <w:b w:val="0"/>
        </w:rPr>
      </w:pPr>
      <w:bookmarkStart w:id="43" w:name="_Toc15396609"/>
      <w:bookmarkStart w:id="44" w:name="_Toc15377215"/>
      <w:r>
        <w:rPr>
          <w:rFonts w:ascii="黑体" w:eastAsia="黑体" w:hint="eastAsia"/>
          <w:color w:val="000000"/>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43"/>
      <w:bookmarkEnd w:id="44"/>
    </w:p>
    <w:p>
      <w:pPr>
        <w:spacing w:line="600" w:lineRule="exact"/>
        <w:ind w:firstLine="640"/>
        <w:outlineLvl w:val="2"/>
        <w:rPr>
          <w:rFonts w:ascii="仿宋" w:eastAsia="仿宋"/>
          <w:b/>
          <w:color w:val="000000"/>
          <w:sz w:val="32"/>
          <w:szCs w:val="32"/>
        </w:rPr>
      </w:pPr>
      <w:bookmarkStart w:id="45" w:name="_Toc15377216"/>
      <w:r>
        <w:rPr>
          <w:rFonts w:ascii="仿宋" w:eastAsia="仿宋" w:hint="eastAsia"/>
          <w:b/>
          <w:color w:val="000000"/>
          <w:sz w:val="32"/>
          <w:szCs w:val="32"/>
        </w:rPr>
        <w:t>（一）“三公”经费财政拨款支出决算总体情况说明</w:t>
      </w:r>
      <w:bookmarkEnd w:id="45"/>
    </w:p>
    <w:p>
      <w:pPr>
        <w:spacing w:line="600" w:lineRule="exact"/>
        <w:ind w:firstLine="640"/>
        <w:rPr>
          <w:rFonts w:ascii="仿宋" w:eastAsia="仿宋" w:hint="eastAsia"/>
          <w:b/>
          <w:color w:val="FF0000"/>
          <w:sz w:val="32"/>
          <w:szCs w:val="32"/>
        </w:rPr>
      </w:pPr>
      <w:r>
        <w:rPr>
          <w:rFonts w:ascii="仿宋" w:eastAsia="仿宋"/>
          <w:color w:val="000000"/>
          <w:sz w:val="32"/>
          <w:szCs w:val="32"/>
        </w:rPr>
        <w:t>2020</w:t>
      </w:r>
      <w:r>
        <w:rPr>
          <w:rFonts w:ascii="仿宋" w:eastAsia="仿宋" w:hint="eastAsia"/>
          <w:color w:val="000000"/>
          <w:sz w:val="32"/>
          <w:szCs w:val="32"/>
        </w:rPr>
        <w:t>年“三公”经费财政拨款支出决算为0元。</w:t>
      </w:r>
    </w:p>
    <w:p>
      <w:pPr>
        <w:spacing w:line="600" w:lineRule="exact"/>
        <w:ind w:firstLine="640"/>
        <w:outlineLvl w:val="2"/>
        <w:rPr>
          <w:rFonts w:ascii="仿宋" w:eastAsia="仿宋"/>
          <w:b/>
          <w:color w:val="000000"/>
          <w:sz w:val="32"/>
          <w:szCs w:val="32"/>
        </w:rPr>
      </w:pPr>
      <w:bookmarkStart w:id="46" w:name="_Toc15377217"/>
      <w:r>
        <w:rPr>
          <w:rFonts w:ascii="仿宋" w:eastAsia="仿宋" w:hint="eastAsia"/>
          <w:b/>
          <w:color w:val="000000"/>
          <w:sz w:val="32"/>
          <w:szCs w:val="32"/>
        </w:rPr>
        <w:t>（二）“三公”经费财政拨款支出决算具体情况说明</w:t>
      </w:r>
      <w:bookmarkEnd w:id="46"/>
    </w:p>
    <w:p>
      <w:pPr>
        <w:spacing w:line="600" w:lineRule="exact"/>
        <w:ind w:firstLineChars="200" w:firstLine="640"/>
        <w:rPr>
          <w:rFonts w:ascii="仿宋" w:eastAsia="仿宋"/>
          <w:color w:val="000000"/>
          <w:sz w:val="32"/>
          <w:szCs w:val="32"/>
        </w:rPr>
      </w:pPr>
      <w:r>
        <w:rPr>
          <w:rFonts w:ascii="仿宋" w:eastAsia="仿宋"/>
          <w:color w:val="000000"/>
          <w:sz w:val="32"/>
          <w:szCs w:val="32"/>
        </w:rPr>
        <w:t>2020</w:t>
      </w:r>
      <w:r>
        <w:rPr>
          <w:rFonts w:ascii="仿宋" w:eastAsia="仿宋" w:hint="eastAsia"/>
          <w:color w:val="000000"/>
          <w:sz w:val="32"/>
          <w:szCs w:val="32"/>
        </w:rPr>
        <w:t>年“三公”经费财政拨款支出决算中，因公出国（境）费支出决算0万元，占0</w:t>
      </w:r>
      <w:r>
        <w:rPr>
          <w:rFonts w:ascii="仿宋" w:eastAsia="仿宋"/>
          <w:color w:val="000000"/>
          <w:sz w:val="32"/>
          <w:szCs w:val="32"/>
        </w:rPr>
        <w:t>%</w:t>
      </w:r>
      <w:r>
        <w:rPr>
          <w:rFonts w:ascii="仿宋" w:eastAsia="仿宋" w:hint="eastAsia"/>
          <w:color w:val="000000"/>
          <w:sz w:val="32"/>
          <w:szCs w:val="32"/>
        </w:rPr>
        <w:t>；公务用车购置及运行维护费支出决算0万元，占0</w:t>
      </w:r>
      <w:r>
        <w:rPr>
          <w:rFonts w:ascii="仿宋" w:eastAsia="仿宋"/>
          <w:color w:val="000000"/>
          <w:sz w:val="32"/>
          <w:szCs w:val="32"/>
        </w:rPr>
        <w:t>%</w:t>
      </w:r>
      <w:r>
        <w:rPr>
          <w:rFonts w:ascii="仿宋" w:eastAsia="仿宋" w:hint="eastAsia"/>
          <w:color w:val="000000"/>
          <w:sz w:val="32"/>
          <w:szCs w:val="32"/>
        </w:rPr>
        <w:t>；公务接待费支出决算0万元，占0</w:t>
      </w:r>
      <w:r>
        <w:rPr>
          <w:rFonts w:ascii="仿宋" w:eastAsia="仿宋"/>
          <w:color w:val="000000"/>
          <w:sz w:val="32"/>
          <w:szCs w:val="32"/>
        </w:rPr>
        <w:t>%</w:t>
      </w:r>
      <w:r>
        <w:rPr>
          <w:rFonts w:ascii="仿宋" w:eastAsia="仿宋" w:hint="eastAsia"/>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 w:eastAsia="仿宋" w:hint="eastAsia"/>
          <w:bCs/>
          <w:color w:val="000000"/>
          <w:sz w:val="32"/>
          <w:szCs w:val="32"/>
        </w:rPr>
        <w:t>完成预算</w:t>
      </w:r>
      <w:r>
        <w:rPr>
          <w:rFonts w:ascii="仿宋" w:eastAsia="仿宋"/>
          <w:bCs/>
          <w:color w:val="000000"/>
          <w:sz w:val="32"/>
          <w:szCs w:val="32"/>
        </w:rPr>
        <w:t>0%</w:t>
      </w:r>
      <w:r>
        <w:rPr>
          <w:rFonts w:ascii="仿宋" w:eastAsia="仿宋" w:hint="eastAsia"/>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_GB2312" w:eastAsia="仿宋_GB2312"/>
          <w:b/>
          <w:color w:val="000000"/>
          <w:sz w:val="32"/>
          <w:szCs w:val="32"/>
        </w:rPr>
        <w:t xml:space="preserve"> </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 w:eastAsia="仿宋" w:hint="eastAsia"/>
          <w:bCs/>
          <w:color w:val="000000"/>
          <w:sz w:val="32"/>
          <w:szCs w:val="32"/>
        </w:rPr>
        <w:t>完成预算</w:t>
      </w:r>
      <w:r>
        <w:rPr>
          <w:rFonts w:ascii="仿宋" w:eastAsia="仿宋"/>
          <w:bCs/>
          <w:color w:val="000000"/>
          <w:sz w:val="32"/>
          <w:szCs w:val="32"/>
        </w:rPr>
        <w:t>0%</w:t>
      </w:r>
      <w:r>
        <w:rPr>
          <w:rFonts w:ascii="仿宋" w:eastAsia="仿宋" w:hint="eastAsia"/>
          <w:bCs/>
          <w:color w:val="000000"/>
          <w:sz w:val="32"/>
          <w:szCs w:val="32"/>
        </w:rPr>
        <w:t>。</w:t>
      </w:r>
    </w:p>
    <w:p>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w:t>
      </w:r>
    </w:p>
    <w:p>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color w:val="000000"/>
          <w:sz w:val="32"/>
          <w:szCs w:val="32"/>
        </w:rPr>
        <w:t>0</w:t>
      </w:r>
      <w:r>
        <w:rPr>
          <w:rFonts w:ascii="仿宋_GB2312" w:eastAsia="仿宋_GB2312" w:hint="eastAsia"/>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 w:eastAsia="仿宋" w:hint="eastAsia"/>
          <w:bCs/>
          <w:color w:val="000000"/>
          <w:sz w:val="32"/>
          <w:szCs w:val="32"/>
        </w:rPr>
        <w:t>完成预算</w:t>
      </w:r>
      <w:r>
        <w:rPr>
          <w:rFonts w:ascii="仿宋" w:eastAsia="仿宋"/>
          <w:bCs/>
          <w:color w:val="000000"/>
          <w:sz w:val="32"/>
          <w:szCs w:val="32"/>
        </w:rPr>
        <w:t>0%</w:t>
      </w:r>
      <w:r>
        <w:rPr>
          <w:rFonts w:ascii="仿宋" w:eastAsia="仿宋" w:hint="eastAsia"/>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0</w:t>
      </w:r>
      <w:r>
        <w:rPr>
          <w:rFonts w:ascii="仿宋_GB2312" w:eastAsia="仿宋_GB2312" w:hint="eastAsia"/>
          <w:color w:val="000000"/>
          <w:sz w:val="32"/>
          <w:szCs w:val="32"/>
        </w:rPr>
        <w:t>万元。</w:t>
      </w:r>
    </w:p>
    <w:p>
      <w:pPr>
        <w:spacing w:line="600" w:lineRule="exact"/>
        <w:ind w:firstLine="640"/>
        <w:rPr>
          <w:rFonts w:ascii="仿宋_GB2312" w:eastAsia="仿宋_GB2312"/>
          <w:color w:val="000000"/>
          <w:sz w:val="32"/>
          <w:szCs w:val="32"/>
        </w:rPr>
      </w:pPr>
      <w:r>
        <w:rPr>
          <w:rFonts w:ascii="仿宋" w:eastAsia="仿宋" w:hint="eastAsia"/>
          <w:b/>
          <w:color w:val="000000"/>
          <w:sz w:val="32"/>
          <w:szCs w:val="32"/>
        </w:rPr>
        <w:t>国内公务接待支出</w:t>
      </w:r>
      <w:r>
        <w:rPr>
          <w:rFonts w:ascii="仿宋" w:eastAsia="仿宋"/>
          <w:color w:val="000000"/>
          <w:sz w:val="32"/>
          <w:szCs w:val="32"/>
        </w:rPr>
        <w:t>0</w:t>
      </w:r>
      <w:r>
        <w:rPr>
          <w:rFonts w:ascii="仿宋_GB2312" w:eastAsia="仿宋_GB2312" w:hint="eastAsia"/>
          <w:color w:val="000000"/>
          <w:sz w:val="32"/>
          <w:szCs w:val="32"/>
        </w:rPr>
        <w:t>万元，国内公务接待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color w:val="000000"/>
          <w:sz w:val="32"/>
          <w:szCs w:val="32"/>
        </w:rPr>
        <w:t>0</w:t>
      </w:r>
      <w:r>
        <w:rPr>
          <w:rFonts w:ascii="仿宋_GB2312" w:eastAsia="仿宋_GB2312" w:hint="eastAsia"/>
          <w:color w:val="000000"/>
          <w:sz w:val="32"/>
          <w:szCs w:val="32"/>
        </w:rPr>
        <w:t>万元。</w:t>
      </w:r>
    </w:p>
    <w:p>
      <w:pPr>
        <w:spacing w:line="600" w:lineRule="exact"/>
        <w:ind w:firstLineChars="200" w:firstLine="640"/>
        <w:rPr>
          <w:rFonts w:ascii="仿宋_GB2312" w:eastAsia="仿宋_GB2312" w:hint="eastAsia"/>
          <w:color w:val="000000"/>
          <w:sz w:val="32"/>
          <w:szCs w:val="32"/>
        </w:rPr>
      </w:pPr>
      <w:r>
        <w:rPr>
          <w:rFonts w:ascii="仿宋" w:eastAsia="仿宋" w:hint="eastAsia"/>
          <w:b/>
          <w:color w:val="000000"/>
          <w:sz w:val="32"/>
          <w:szCs w:val="32"/>
        </w:rPr>
        <w:t>外事接待支出</w:t>
      </w:r>
      <w:r>
        <w:rPr>
          <w:rFonts w:ascii="仿宋" w:eastAsia="仿宋"/>
          <w:color w:val="000000"/>
          <w:sz w:val="32"/>
          <w:szCs w:val="32"/>
        </w:rPr>
        <w:t>0</w:t>
      </w:r>
      <w:r>
        <w:rPr>
          <w:rFonts w:ascii="仿宋_GB2312" w:eastAsia="仿宋_GB2312" w:hint="eastAsia"/>
          <w:color w:val="000000"/>
          <w:sz w:val="32"/>
          <w:szCs w:val="32"/>
        </w:rPr>
        <w:t>万元，外事接待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人，共计支出</w:t>
      </w:r>
      <w:r>
        <w:rPr>
          <w:rFonts w:ascii="仿宋_GB2312" w:eastAsia="仿宋_GB2312"/>
          <w:color w:val="000000"/>
          <w:sz w:val="32"/>
          <w:szCs w:val="32"/>
        </w:rPr>
        <w:t>0</w:t>
      </w:r>
      <w:r>
        <w:rPr>
          <w:rFonts w:ascii="仿宋_GB2312" w:eastAsia="仿宋_GB2312" w:hint="eastAsia"/>
          <w:color w:val="000000"/>
          <w:sz w:val="32"/>
          <w:szCs w:val="32"/>
        </w:rPr>
        <w:t>万元。</w:t>
      </w:r>
    </w:p>
    <w:p>
      <w:pPr>
        <w:spacing w:line="600" w:lineRule="exact"/>
        <w:ind w:firstLineChars="200" w:firstLine="640"/>
        <w:outlineLvl w:val="1"/>
        <w:rPr>
          <w:rStyle w:val="2Char"/>
          <w:rFonts w:ascii="黑体" w:eastAsia="黑体"/>
        </w:rPr>
      </w:pPr>
      <w:bookmarkStart w:id="47" w:name="_Toc15396610"/>
      <w:bookmarkStart w:id="48" w:name="_Toc15377218"/>
      <w:r>
        <w:rPr>
          <w:rFonts w:ascii="黑体" w:eastAsia="黑体" w:hint="eastAsia"/>
          <w:color w:val="000000"/>
          <w:sz w:val="32"/>
          <w:szCs w:val="32"/>
        </w:rPr>
        <w:t>八、</w:t>
      </w:r>
      <w:r>
        <w:rPr>
          <w:rStyle w:val="2Char"/>
          <w:rFonts w:ascii="黑体" w:eastAsia="黑体" w:hint="eastAsia"/>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年政府性基金预算拨款支出72.07万元。</w:t>
      </w:r>
    </w:p>
    <w:p>
      <w:pPr>
        <w:numPr>
          <w:ilvl w:val="0"/>
          <w:numId w:val="2"/>
        </w:numPr>
        <w:spacing w:line="600" w:lineRule="exact"/>
        <w:ind w:left="0" w:firstLine="640"/>
        <w:outlineLvl w:val="1"/>
        <w:rPr>
          <w:rStyle w:val="2Char"/>
          <w:rFonts w:ascii="黑体" w:eastAsia="黑体"/>
          <w:b w:val="0"/>
        </w:rPr>
      </w:pPr>
      <w:bookmarkStart w:id="49" w:name="_Toc15377219"/>
      <w:bookmarkStart w:id="50" w:name="_Toc15396611"/>
      <w:r>
        <w:rPr>
          <w:rStyle w:val="2Char"/>
          <w:rFonts w:ascii="黑体" w:eastAsia="黑体" w:hint="eastAsia"/>
          <w:b w:val="0"/>
        </w:rPr>
        <w:t>国有资本经营预算支出决算情况说明</w:t>
      </w:r>
      <w:bookmarkEnd w:id="49"/>
      <w:bookmarkEnd w:id="50"/>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2020</w:t>
      </w:r>
      <w:r>
        <w:rPr>
          <w:rFonts w:ascii="仿宋_GB2312" w:eastAsia="仿宋_GB2312" w:hint="eastAsia"/>
          <w:color w:val="000000"/>
          <w:sz w:val="32"/>
          <w:szCs w:val="32"/>
        </w:rPr>
        <w:t>年国有资本经营预算拨款支出0万元。</w:t>
      </w:r>
    </w:p>
    <w:p>
      <w:pPr>
        <w:spacing w:line="600" w:lineRule="exact"/>
        <w:ind w:firstLineChars="250" w:firstLine="800"/>
        <w:outlineLvl w:val="1"/>
        <w:rPr>
          <w:rStyle w:val="2Char"/>
          <w:rFonts w:ascii="黑体" w:eastAsia="黑体"/>
        </w:rPr>
      </w:pPr>
      <w:bookmarkStart w:id="51" w:name="_Toc15396612"/>
      <w:bookmarkStart w:id="52" w:name="_Toc15377221"/>
      <w:r>
        <w:rPr>
          <w:rFonts w:ascii="黑体" w:eastAsia="黑体" w:hint="eastAsia"/>
          <w:color w:val="000000"/>
          <w:sz w:val="32"/>
          <w:szCs w:val="32"/>
        </w:rPr>
        <w:t>十</w:t>
      </w:r>
      <w:r>
        <w:rPr>
          <w:rStyle w:val="2Char"/>
          <w:rFonts w:ascii="黑体" w:eastAsia="黑体" w:hint="eastAsia"/>
        </w:rPr>
        <w:t>、</w:t>
      </w:r>
      <w:r>
        <w:rPr>
          <w:rStyle w:val="2Char"/>
          <w:rFonts w:ascii="黑体" w:eastAsia="黑体" w:hint="eastAsia"/>
          <w:b w:val="0"/>
        </w:rPr>
        <w:t>其他重要事项的情况说明</w:t>
      </w:r>
      <w:bookmarkEnd w:id="51"/>
      <w:bookmarkEnd w:id="52"/>
    </w:p>
    <w:p>
      <w:pPr>
        <w:spacing w:line="600" w:lineRule="exact"/>
        <w:ind w:firstLineChars="200" w:firstLine="640"/>
        <w:outlineLvl w:val="2"/>
        <w:rPr>
          <w:rFonts w:ascii="仿宋" w:eastAsia="仿宋"/>
          <w:color w:val="000000"/>
          <w:sz w:val="32"/>
          <w:szCs w:val="32"/>
        </w:rPr>
      </w:pPr>
      <w:bookmarkStart w:id="53" w:name="_Toc15377222"/>
      <w:r>
        <w:rPr>
          <w:rFonts w:ascii="仿宋" w:eastAsia="仿宋" w:hint="eastAsia"/>
          <w:b/>
          <w:color w:val="000000"/>
          <w:sz w:val="32"/>
          <w:szCs w:val="32"/>
        </w:rPr>
        <w:t>（一）机关运行经费支出情况</w:t>
      </w:r>
      <w:bookmarkEnd w:id="53"/>
    </w:p>
    <w:p>
      <w:pPr>
        <w:spacing w:line="60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年，攀枝花市总工会机关运行经费支出0万元，与</w:t>
      </w:r>
      <w:r>
        <w:rPr>
          <w:rFonts w:ascii="仿宋_GB2312" w:eastAsia="仿宋_GB2312"/>
          <w:color w:val="000000"/>
          <w:sz w:val="32"/>
          <w:szCs w:val="32"/>
        </w:rPr>
        <w:t>2019</w:t>
      </w:r>
      <w:r>
        <w:rPr>
          <w:rFonts w:ascii="仿宋_GB2312" w:eastAsia="仿宋_GB2312" w:hint="eastAsia"/>
          <w:color w:val="000000"/>
          <w:sz w:val="32"/>
          <w:szCs w:val="32"/>
        </w:rPr>
        <w:t>年持平。</w:t>
      </w:r>
    </w:p>
    <w:p>
      <w:pPr>
        <w:autoSpaceDE w:val="0"/>
        <w:autoSpaceDN w:val="0"/>
        <w:adjustRightInd w:val="0"/>
        <w:spacing w:line="600" w:lineRule="exact"/>
        <w:ind w:firstLineChars="200" w:firstLine="640"/>
        <w:jc w:val="left"/>
        <w:outlineLvl w:val="2"/>
        <w:rPr>
          <w:rFonts w:ascii="仿宋" w:eastAsia="仿宋"/>
          <w:b/>
          <w:color w:val="000000"/>
          <w:sz w:val="32"/>
          <w:szCs w:val="32"/>
        </w:rPr>
      </w:pPr>
      <w:bookmarkStart w:id="54" w:name="_Toc15377223"/>
      <w:r>
        <w:rPr>
          <w:rFonts w:ascii="仿宋" w:eastAsia="仿宋" w:hint="eastAsia"/>
          <w:b/>
          <w:color w:val="000000"/>
          <w:sz w:val="32"/>
          <w:szCs w:val="32"/>
        </w:rPr>
        <w:t>（二）政府采购支出情况</w:t>
      </w:r>
      <w:bookmarkEnd w:id="54"/>
    </w:p>
    <w:p>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年，攀枝花市总工会政府采购支出总额0万元。</w:t>
      </w:r>
    </w:p>
    <w:p>
      <w:pPr>
        <w:autoSpaceDE w:val="0"/>
        <w:autoSpaceDN w:val="0"/>
        <w:adjustRightInd w:val="0"/>
        <w:spacing w:line="600" w:lineRule="exact"/>
        <w:ind w:firstLineChars="200" w:firstLine="640"/>
        <w:jc w:val="left"/>
        <w:outlineLvl w:val="2"/>
        <w:rPr>
          <w:rFonts w:ascii="仿宋" w:eastAsia="仿宋"/>
          <w:b/>
          <w:color w:val="000000"/>
          <w:sz w:val="32"/>
          <w:szCs w:val="32"/>
        </w:rPr>
      </w:pPr>
      <w:bookmarkStart w:id="55" w:name="_Toc15377224"/>
      <w:r>
        <w:rPr>
          <w:rFonts w:ascii="仿宋" w:eastAsia="仿宋" w:hint="eastAsia"/>
          <w:b/>
          <w:color w:val="000000"/>
          <w:sz w:val="32"/>
          <w:szCs w:val="32"/>
        </w:rPr>
        <w:t>（三）国有资产占有使用情况</w:t>
      </w:r>
      <w:bookmarkEnd w:id="55"/>
    </w:p>
    <w:p>
      <w:pPr>
        <w:autoSpaceDE w:val="0"/>
        <w:autoSpaceDN w:val="0"/>
        <w:adjustRightInd w:val="0"/>
        <w:spacing w:line="600" w:lineRule="exact"/>
        <w:ind w:firstLineChars="200" w:firstLine="640"/>
        <w:jc w:val="left"/>
        <w:rPr>
          <w:rFonts w:ascii="仿宋" w:eastAsia="仿宋_GB2312" w:hAnsi="仿宋" w:hint="eastAsia"/>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日，攀枝花市总工会共有车辆0辆。</w:t>
      </w:r>
    </w:p>
    <w:p>
      <w:pPr>
        <w:autoSpaceDE w:val="0"/>
        <w:autoSpaceDN w:val="0"/>
        <w:adjustRightInd w:val="0"/>
        <w:spacing w:line="600" w:lineRule="exact"/>
        <w:ind w:firstLineChars="200" w:firstLine="640"/>
        <w:jc w:val="left"/>
        <w:outlineLvl w:val="2"/>
        <w:rPr>
          <w:rFonts w:ascii="仿宋" w:eastAsia="仿宋"/>
          <w:b/>
          <w:color w:val="000000"/>
          <w:sz w:val="32"/>
          <w:szCs w:val="32"/>
        </w:rPr>
      </w:pPr>
      <w:r>
        <w:rPr>
          <w:rFonts w:ascii="仿宋" w:eastAsia="仿宋" w:hint="eastAsia"/>
          <w:b/>
          <w:color w:val="000000"/>
          <w:sz w:val="32"/>
          <w:szCs w:val="32"/>
        </w:rPr>
        <w:t>（四）预算绩效管理情况。</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本部门（单位）在年初预算编制阶段，组织对市财政困难职工帮扶资金项目开展了预算事前绩效评估，对1个项目编制了绩效目标，预算执行过程中，选取1个项目开展绩效监控，年终执行完毕后，对1个项目开展了绩效目标完成情况自评。</w:t>
      </w:r>
    </w:p>
    <w:p>
      <w:pPr>
        <w:widowControl/>
        <w:ind w:firstLineChars="200" w:firstLine="640"/>
        <w:textAlignment w:val="center"/>
        <w:rPr>
          <w:rFonts w:ascii="仿宋_GB2312" w:eastAsia="仿宋_GB2312" w:cs="仿宋_GB2312"/>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2020</w:t>
      </w:r>
      <w:r>
        <w:rPr>
          <w:rFonts w:ascii="仿宋_GB2312" w:eastAsia="仿宋_GB2312" w:cs="仿宋_GB2312" w:hint="eastAsia"/>
          <w:sz w:val="32"/>
          <w:szCs w:val="32"/>
        </w:rPr>
        <w:t>年部门整体支出开展绩效自评，从评价情况来看项目助力困难职工解困脱困，缓解贫困职工家庭生活的压力。本部门还自行组织了</w:t>
      </w:r>
      <w:r>
        <w:rPr>
          <w:rFonts w:ascii="仿宋_GB2312" w:eastAsia="仿宋_GB2312" w:cs="仿宋_GB2312"/>
          <w:sz w:val="32"/>
          <w:szCs w:val="32"/>
        </w:rPr>
        <w:t>1</w:t>
      </w:r>
      <w:r>
        <w:rPr>
          <w:rFonts w:ascii="仿宋_GB2312" w:eastAsia="仿宋_GB2312" w:cs="仿宋_GB2312" w:hint="eastAsia"/>
          <w:sz w:val="32"/>
          <w:szCs w:val="32"/>
        </w:rPr>
        <w:t>个项目支出绩效评价，从评价情况来看困难职工满意度达到</w:t>
      </w:r>
      <w:r>
        <w:rPr>
          <w:rFonts w:ascii="仿宋_GB2312" w:eastAsia="仿宋_GB2312" w:cs="仿宋_GB2312"/>
          <w:sz w:val="32"/>
          <w:szCs w:val="32"/>
        </w:rPr>
        <w:t>98%</w:t>
      </w:r>
      <w:r>
        <w:rPr>
          <w:rFonts w:ascii="仿宋_GB2312" w:eastAsia="仿宋_GB2312" w:cs="仿宋_GB2312" w:hint="eastAsia"/>
          <w:sz w:val="32"/>
          <w:szCs w:val="32"/>
        </w:rPr>
        <w:t>。</w:t>
      </w:r>
    </w:p>
    <w:p>
      <w:pPr>
        <w:numPr>
          <w:ilvl w:val="0"/>
          <w:numId w:val="3"/>
        </w:numPr>
        <w:spacing w:line="580" w:lineRule="exact"/>
        <w:ind w:left="0" w:firstLineChars="200" w:firstLine="640"/>
        <w:rPr>
          <w:rFonts w:ascii="仿宋_GB2312" w:eastAsia="仿宋_GB2312" w:cs="仿宋_GB2312" w:hint="eastAsia"/>
          <w:sz w:val="32"/>
          <w:szCs w:val="32"/>
        </w:rPr>
      </w:pPr>
      <w:r>
        <w:rPr>
          <w:rFonts w:ascii="楷体_GB2312" w:eastAsia="楷体_GB2312" w:cs="楷体_GB2312" w:hint="eastAsia"/>
          <w:sz w:val="32"/>
          <w:szCs w:val="32"/>
        </w:rPr>
        <w:t>项目绩效目标完成情况。</w:t>
      </w:r>
      <w:r>
        <w:rPr>
          <w:rFonts w:ascii="楷体_GB2312" w:eastAsia="楷体_GB2312" w:cs="楷体_GB2312"/>
          <w:sz w:val="32"/>
          <w:szCs w:val="32"/>
        </w:rPr>
        <w:br/>
      </w:r>
      <w:r>
        <w:rPr>
          <w:rFonts w:ascii="仿宋_GB2312" w:eastAsia="仿宋_GB2312" w:cs="仿宋_GB2312"/>
          <w:sz w:val="32"/>
          <w:szCs w:val="32"/>
        </w:rPr>
        <w:t xml:space="preserve">    </w:t>
      </w:r>
      <w:r>
        <w:rPr>
          <w:rFonts w:ascii="仿宋_GB2312" w:eastAsia="仿宋_GB2312" w:cs="仿宋_GB2312" w:hint="eastAsia"/>
          <w:sz w:val="32"/>
          <w:szCs w:val="32"/>
        </w:rPr>
        <w:t>本部门在</w:t>
      </w:r>
      <w:r>
        <w:rPr>
          <w:rFonts w:ascii="仿宋_GB2312" w:eastAsia="仿宋_GB2312" w:cs="仿宋_GB2312"/>
          <w:sz w:val="32"/>
          <w:szCs w:val="32"/>
        </w:rPr>
        <w:t>2020</w:t>
      </w:r>
      <w:r>
        <w:rPr>
          <w:rFonts w:ascii="仿宋_GB2312" w:eastAsia="仿宋_GB2312" w:cs="仿宋_GB2312" w:hint="eastAsia"/>
          <w:sz w:val="32"/>
          <w:szCs w:val="32"/>
        </w:rPr>
        <w:t>年度部门决算中反映“市财政困难职工帮扶资金”</w:t>
      </w:r>
      <w:r>
        <w:rPr>
          <w:rFonts w:ascii="仿宋_GB2312" w:eastAsia="仿宋_GB2312" w:cs="仿宋_GB2312"/>
          <w:sz w:val="32"/>
          <w:szCs w:val="32"/>
        </w:rPr>
        <w:t>1</w:t>
      </w:r>
      <w:r>
        <w:rPr>
          <w:rFonts w:ascii="仿宋_GB2312" w:eastAsia="仿宋_GB2312" w:cs="仿宋_GB2312" w:hint="eastAsia"/>
          <w:sz w:val="32"/>
          <w:szCs w:val="32"/>
        </w:rPr>
        <w:t>个项目绩效目标实际完成情况</w:t>
      </w:r>
    </w:p>
    <w:p>
      <w:pPr>
        <w:numPr>
          <w:ilvl w:val="0"/>
          <w:numId w:val="3"/>
        </w:numPr>
        <w:spacing w:line="580" w:lineRule="exact"/>
        <w:ind w:left="0" w:firstLineChars="200" w:firstLine="640"/>
        <w:rPr>
          <w:rFonts w:ascii="仿宋_GB2312" w:eastAsia="仿宋_GB2312" w:cs="仿宋_GB2312"/>
          <w:sz w:val="32"/>
          <w:szCs w:val="32"/>
        </w:rPr>
      </w:pPr>
      <w:r>
        <w:rPr>
          <w:rFonts w:ascii="仿宋_GB2312" w:eastAsia="仿宋_GB2312" w:cs="仿宋_GB2312" w:hint="eastAsia"/>
          <w:sz w:val="32"/>
          <w:szCs w:val="32"/>
        </w:rPr>
        <w:t>市财政困难职工帮扶资金项目绩效目标完成情况综述。项目全年预算数50.00万元，执行数为50.00万元，完成预算的100</w:t>
      </w:r>
      <w:r>
        <w:rPr>
          <w:rFonts w:ascii="仿宋_GB2312" w:eastAsia="仿宋_GB2312" w:cs="仿宋_GB2312"/>
          <w:sz w:val="32"/>
          <w:szCs w:val="32"/>
        </w:rPr>
        <w:t>%</w:t>
      </w:r>
      <w:r>
        <w:rPr>
          <w:rFonts w:ascii="仿宋_GB2312" w:eastAsia="仿宋_GB2312" w:cs="仿宋_GB2312" w:hint="eastAsia"/>
          <w:sz w:val="32"/>
          <w:szCs w:val="32"/>
        </w:rPr>
        <w:t>。通过项目实施，通过项目实施，发放生活救助金、医疗救助金及助学金，助力困难职工解困脱困，缓解贫困职工家庭生活的压力，在强化服务职工群众宗旨中凝聚民心。</w:t>
      </w: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p>
      <w:pPr>
        <w:spacing w:line="580" w:lineRule="exact"/>
        <w:ind w:firstLineChars="200" w:firstLine="640"/>
        <w:rPr>
          <w:rFonts w:ascii="仿宋_GB2312" w:eastAsia="仿宋_GB2312" w:cs="仿宋_GB2312"/>
          <w:sz w:val="32"/>
          <w:szCs w:val="32"/>
        </w:rPr>
      </w:pPr>
    </w:p>
    <w:tbl>
      <w:tblPr>
        <w:tblpPr w:leftFromText="180" w:rightFromText="180" w:vertAnchor="text" w:horzAnchor="page" w:tblpXSpec="center" w:tblpY="423"/>
        <w:tblOverlap w:val="never"/>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asci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cs="宋体"/>
                <w:color w:val="000000"/>
                <w:kern w:val="0"/>
                <w:sz w:val="36"/>
                <w:szCs w:val="36"/>
              </w:rPr>
              <w:t>(2020</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市财政困难职工帮扶资金</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hint="eastAsia"/>
                <w:color w:val="000000"/>
                <w:sz w:val="24"/>
              </w:rPr>
            </w:pPr>
            <w:r>
              <w:rPr>
                <w:rFonts w:ascii="宋体" w:cs="宋体" w:hint="eastAsia"/>
                <w:color w:val="000000"/>
                <w:sz w:val="24"/>
              </w:rPr>
              <w:t>攀枝花市总工会</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预算执行情况</w:t>
            </w:r>
            <w:r>
              <w:rPr>
                <w:rFonts w:ascii="宋体" w:cs="宋体"/>
                <w:color w:val="000000"/>
                <w:kern w:val="0"/>
                <w:sz w:val="24"/>
              </w:rPr>
              <w:t>(</w:t>
            </w:r>
            <w:r>
              <w:rPr>
                <w:rFonts w:ascii="宋体" w:cs="宋体" w:hint="eastAsia"/>
                <w:color w:val="000000"/>
                <w:kern w:val="0"/>
                <w:sz w:val="24"/>
              </w:rPr>
              <w:t>万元</w:t>
            </w:r>
            <w:r>
              <w:rPr>
                <w:rFonts w:asci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50万元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执行数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50万元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50万元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50万元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hint="eastAsia"/>
                <w:color w:val="000000"/>
                <w:sz w:val="24"/>
              </w:rPr>
            </w:pPr>
            <w:r>
              <w:rPr>
                <w:rFonts w:asci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hint="eastAsia"/>
                <w:color w:val="000000"/>
                <w:sz w:val="24"/>
              </w:rPr>
            </w:pPr>
            <w:r>
              <w:rPr>
                <w:rFonts w:ascii="宋体" w:cs="宋体" w:hint="eastAsia"/>
                <w:color w:val="000000"/>
                <w:sz w:val="24"/>
              </w:rPr>
              <w:t>0</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通过城镇低收入职工家庭生活状况调查后，对在工会帮扶工作管理系统中建档案的</w:t>
            </w:r>
            <w:r>
              <w:rPr>
                <w:rFonts w:ascii="宋体" w:cs="宋体"/>
                <w:color w:val="000000"/>
                <w:sz w:val="24"/>
              </w:rPr>
              <w:t>200</w:t>
            </w:r>
            <w:r>
              <w:rPr>
                <w:rFonts w:ascii="宋体" w:cs="宋体" w:hint="eastAsia"/>
                <w:color w:val="000000"/>
                <w:sz w:val="24"/>
              </w:rPr>
              <w:t>户困难职工、困难农民工开展生活救助、子女救助金和医疗救助，通过救助后使困难职工、困难农民工实际生活水平达到我市低保标准之上。</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通过城镇低收入职工家庭生活状况调查后，对在工会帮扶工作管理系统中建档案的</w:t>
            </w:r>
            <w:r>
              <w:rPr>
                <w:rFonts w:ascii="宋体" w:cs="宋体"/>
                <w:color w:val="000000"/>
                <w:sz w:val="24"/>
              </w:rPr>
              <w:t>200</w:t>
            </w:r>
            <w:r>
              <w:rPr>
                <w:rFonts w:ascii="宋体" w:cs="宋体" w:hint="eastAsia"/>
                <w:color w:val="000000"/>
                <w:sz w:val="24"/>
              </w:rPr>
              <w:t>户困难职工、困难农民工开展生活救助、子女救助金和医疗救助，通过救助后使困难职工、困难农民工实际生活水平达到我市低保标准之上。</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建档困难职工总数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200</w:t>
            </w:r>
            <w:r>
              <w:rPr>
                <w:rFonts w:ascii="宋体" w:cs="宋体" w:hint="eastAsia"/>
                <w:color w:val="000000"/>
                <w:sz w:val="24"/>
              </w:rPr>
              <w:t>户</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200</w:t>
            </w:r>
            <w:r>
              <w:rPr>
                <w:rFonts w:ascii="宋体" w:cs="宋体" w:hint="eastAsia"/>
                <w:color w:val="000000"/>
                <w:sz w:val="24"/>
              </w:rPr>
              <w:t>户</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帮扶救助金发放准确率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年实现解困脱困</w:t>
            </w:r>
            <w:r>
              <w:rPr>
                <w:rFonts w:ascii="宋体" w:cs="宋体"/>
                <w:color w:val="000000"/>
                <w:sz w:val="24"/>
              </w:rPr>
              <w:t>200</w:t>
            </w:r>
            <w:r>
              <w:rPr>
                <w:rFonts w:ascii="宋体" w:cs="宋体" w:hint="eastAsia"/>
                <w:color w:val="000000"/>
                <w:sz w:val="24"/>
              </w:rPr>
              <w:t>户准确率达</w:t>
            </w:r>
            <w:r>
              <w:rPr>
                <w:rFonts w:ascii="宋体" w:cs="宋体"/>
                <w:color w:val="000000"/>
                <w:sz w:val="24"/>
              </w:rPr>
              <w:t>98%</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年实现解困脱困</w:t>
            </w:r>
            <w:r>
              <w:rPr>
                <w:rFonts w:ascii="宋体" w:cs="宋体"/>
                <w:color w:val="000000"/>
                <w:sz w:val="24"/>
              </w:rPr>
              <w:t>200</w:t>
            </w:r>
            <w:r>
              <w:rPr>
                <w:rFonts w:ascii="宋体" w:cs="宋体" w:hint="eastAsia"/>
                <w:color w:val="000000"/>
                <w:sz w:val="24"/>
              </w:rPr>
              <w:t>户准确率达</w:t>
            </w:r>
            <w:r>
              <w:rPr>
                <w:rFonts w:ascii="宋体" w:cs="宋体"/>
                <w:color w:val="000000"/>
                <w:sz w:val="24"/>
              </w:rPr>
              <w:t>98%</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资金在规定时间内下达率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12</w:t>
            </w:r>
            <w:r>
              <w:rPr>
                <w:rFonts w:ascii="宋体" w:cs="宋体" w:hint="eastAsia"/>
                <w:color w:val="000000"/>
                <w:sz w:val="24"/>
              </w:rPr>
              <w:t>月</w:t>
            </w:r>
            <w:r>
              <w:rPr>
                <w:rFonts w:ascii="宋体" w:cs="宋体"/>
                <w:color w:val="000000"/>
                <w:sz w:val="24"/>
              </w:rPr>
              <w:t>31</w:t>
            </w:r>
            <w:r>
              <w:rPr>
                <w:rFonts w:ascii="宋体" w:cs="宋体" w:hint="eastAsia"/>
                <w:color w:val="000000"/>
                <w:sz w:val="24"/>
              </w:rPr>
              <w:t>日前完成当年救助目标率达</w:t>
            </w:r>
            <w:r>
              <w:rPr>
                <w:rFonts w:asci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12</w:t>
            </w:r>
            <w:r>
              <w:rPr>
                <w:rFonts w:ascii="宋体" w:cs="宋体" w:hint="eastAsia"/>
                <w:color w:val="000000"/>
                <w:sz w:val="24"/>
              </w:rPr>
              <w:t>月</w:t>
            </w:r>
            <w:r>
              <w:rPr>
                <w:rFonts w:ascii="宋体" w:cs="宋体"/>
                <w:color w:val="000000"/>
                <w:sz w:val="24"/>
              </w:rPr>
              <w:t>31</w:t>
            </w:r>
            <w:r>
              <w:rPr>
                <w:rFonts w:ascii="宋体" w:cs="宋体" w:hint="eastAsia"/>
                <w:color w:val="000000"/>
                <w:sz w:val="24"/>
              </w:rPr>
              <w:t>日前完成当年救助目标率达</w:t>
            </w:r>
            <w:r>
              <w:rPr>
                <w:rFonts w:ascii="宋体" w:cs="宋体"/>
                <w:color w:val="00000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帮扶救助金标准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s="宋体"/>
                <w:color w:val="000000"/>
                <w:sz w:val="24"/>
              </w:rPr>
            </w:pPr>
            <w:r>
              <w:rPr>
                <w:rFonts w:ascii="宋体" w:cs="宋体" w:hint="eastAsia"/>
                <w:color w:val="000000"/>
                <w:sz w:val="24"/>
              </w:rPr>
              <w:t>按当年不低于</w:t>
            </w:r>
            <w:r>
              <w:rPr>
                <w:rFonts w:ascii="宋体" w:cs="宋体"/>
                <w:color w:val="000000"/>
                <w:sz w:val="24"/>
              </w:rPr>
              <w:t>2000</w:t>
            </w:r>
            <w:r>
              <w:rPr>
                <w:rFonts w:ascii="宋体" w:cs="宋体" w:hint="eastAsia"/>
                <w:color w:val="000000"/>
                <w:sz w:val="24"/>
              </w:rPr>
              <w:t>元不高于低保</w:t>
            </w:r>
            <w:r>
              <w:rPr>
                <w:rFonts w:ascii="宋体" w:cs="宋体"/>
                <w:color w:val="000000"/>
                <w:sz w:val="24"/>
              </w:rPr>
              <w:t>12</w:t>
            </w:r>
            <w:r>
              <w:rPr>
                <w:rFonts w:ascii="宋体" w:cs="宋体" w:hint="eastAsia"/>
                <w:color w:val="000000"/>
                <w:sz w:val="24"/>
              </w:rPr>
              <w:t>个月和给予每户建档困难职工、农民工发放救助。</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textAlignment w:val="center"/>
              <w:rPr>
                <w:rFonts w:ascii="宋体" w:cs="宋体"/>
                <w:color w:val="000000"/>
                <w:sz w:val="24"/>
              </w:rPr>
            </w:pPr>
            <w:r>
              <w:rPr>
                <w:rFonts w:ascii="宋体" w:cs="宋体" w:hint="eastAsia"/>
                <w:color w:val="000000"/>
                <w:sz w:val="24"/>
              </w:rPr>
              <w:t>按规定发放金额给予每户建档困难职工、农民工发放救助。</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经济效益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解决困难职工生活中燃眉之急，力促困难职工生活有保障。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w:t>
            </w:r>
            <w:r>
              <w:rPr>
                <w:rFonts w:ascii="宋体" w:cs="宋体" w:hint="eastAsia"/>
                <w:color w:val="000000"/>
                <w:sz w:val="24"/>
              </w:rPr>
              <w:t>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w:t>
            </w:r>
            <w:r>
              <w:rPr>
                <w:rFonts w:ascii="宋体" w:cs="宋体" w:hint="eastAsia"/>
                <w:color w:val="000000"/>
                <w:sz w:val="24"/>
              </w:rPr>
              <w:t>年</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提高</w:t>
            </w:r>
            <w:r>
              <w:rPr>
                <w:rFonts w:ascii="宋体" w:cs="宋体"/>
                <w:color w:val="000000"/>
                <w:sz w:val="24"/>
              </w:rPr>
              <w:t>2020</w:t>
            </w:r>
            <w:r>
              <w:rPr>
                <w:rFonts w:ascii="宋体" w:cs="宋体" w:hint="eastAsia"/>
                <w:color w:val="000000"/>
                <w:sz w:val="24"/>
              </w:rPr>
              <w:t>年建档困难职工生活水平及困难职工脱困户数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w:t>
            </w:r>
            <w:r>
              <w:rPr>
                <w:rFonts w:ascii="宋体" w:cs="宋体" w:hint="eastAsia"/>
                <w:color w:val="000000"/>
                <w:sz w:val="24"/>
              </w:rPr>
              <w:t>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1</w:t>
            </w:r>
            <w:r>
              <w:rPr>
                <w:rFonts w:ascii="宋体" w:cs="宋体" w:hint="eastAsia"/>
                <w:color w:val="000000"/>
                <w:sz w:val="24"/>
              </w:rPr>
              <w:t>年</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服务对象满意度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困难职工、农民工满意度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98%</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98%</w:t>
            </w:r>
          </w:p>
        </w:tc>
      </w:tr>
    </w:tbl>
    <w:p>
      <w:pPr>
        <w:spacing w:line="580" w:lineRule="exact"/>
        <w:rPr>
          <w:rFonts w:ascii="仿宋_GB2312" w:eastAsia="仿宋_GB2312" w:cs="仿宋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ascii="楷体_GB2312" w:eastAsia="楷体_GB2312" w:cs="楷体_GB2312" w:hint="eastAsia"/>
          <w:sz w:val="32"/>
          <w:szCs w:val="32"/>
        </w:rPr>
        <w:t>部门绩效评价结果。</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w:t>
      </w:r>
      <w:r>
        <w:rPr>
          <w:rFonts w:ascii="仿宋_GB2312" w:eastAsia="仿宋_GB2312" w:cs="仿宋_GB2312" w:hint="eastAsia"/>
          <w:sz w:val="32"/>
          <w:szCs w:val="32"/>
        </w:rPr>
        <w:t>20年部门整体支出绩效评价情况开展自评，《攀枝花市部门</w:t>
      </w:r>
      <w:r>
        <w:rPr>
          <w:rFonts w:ascii="仿宋_GB2312" w:eastAsia="仿宋_GB2312" w:cs="仿宋_GB2312"/>
          <w:sz w:val="32"/>
          <w:szCs w:val="32"/>
        </w:rPr>
        <w:t>20</w:t>
      </w:r>
      <w:r>
        <w:rPr>
          <w:rFonts w:ascii="仿宋_GB2312" w:eastAsia="仿宋_GB2312" w:cs="仿宋_GB2312" w:hint="eastAsia"/>
          <w:sz w:val="32"/>
          <w:szCs w:val="32"/>
        </w:rPr>
        <w:t>20年部门整体支出绩效评价报告》见附件（附件</w:t>
      </w:r>
      <w:r>
        <w:rPr>
          <w:rFonts w:ascii="仿宋_GB2312" w:eastAsia="仿宋_GB2312" w:cs="仿宋_GB2312"/>
          <w:sz w:val="32"/>
          <w:szCs w:val="32"/>
        </w:rPr>
        <w:t>1</w:t>
      </w:r>
      <w:r>
        <w:rPr>
          <w:rFonts w:ascii="仿宋_GB2312" w:eastAsia="仿宋_GB2312" w:cs="仿宋_GB2312" w:hint="eastAsia"/>
          <w:sz w:val="32"/>
          <w:szCs w:val="32"/>
        </w:rPr>
        <w:t>）。</w:t>
      </w:r>
    </w:p>
    <w:p>
      <w:pPr>
        <w:spacing w:line="580" w:lineRule="exact"/>
        <w:ind w:firstLineChars="200" w:firstLine="640"/>
        <w:rPr>
          <w:rFonts w:ascii="仿宋_GB2312" w:eastAsia="仿宋_GB2312"/>
          <w:b/>
          <w:color w:val="000000"/>
          <w:sz w:val="32"/>
          <w:szCs w:val="32"/>
        </w:rPr>
      </w:pPr>
      <w:r>
        <w:rPr>
          <w:rFonts w:ascii="仿宋_GB2312" w:eastAsia="仿宋_GB2312" w:cs="仿宋_GB2312" w:hint="eastAsia"/>
          <w:sz w:val="32"/>
          <w:szCs w:val="32"/>
        </w:rPr>
        <w:t>本部门自行组织对市财政困难职工帮扶资金项目开展了绩效评价，《市财政困难职工帮扶资金项目</w:t>
      </w:r>
      <w:r>
        <w:rPr>
          <w:rFonts w:ascii="仿宋_GB2312" w:eastAsia="仿宋_GB2312" w:cs="仿宋_GB2312"/>
          <w:sz w:val="32"/>
          <w:szCs w:val="32"/>
        </w:rPr>
        <w:t>20</w:t>
      </w:r>
      <w:r>
        <w:rPr>
          <w:rFonts w:ascii="仿宋_GB2312" w:eastAsia="仿宋_GB2312" w:cs="仿宋_GB2312" w:hint="eastAsia"/>
          <w:sz w:val="32"/>
          <w:szCs w:val="32"/>
        </w:rPr>
        <w:t>20年绩效评价报告》见附件（附件</w:t>
      </w:r>
      <w:r>
        <w:rPr>
          <w:rFonts w:ascii="仿宋_GB2312" w:eastAsia="仿宋_GB2312" w:cs="仿宋_GB2312"/>
          <w:sz w:val="32"/>
          <w:szCs w:val="32"/>
        </w:rPr>
        <w:t>2</w:t>
      </w:r>
      <w:r>
        <w:rPr>
          <w:rFonts w:ascii="仿宋_GB2312" w:eastAsia="仿宋_GB2312" w:cs="仿宋_GB2312" w:hint="eastAsia"/>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0" w:firstLineChars="150" w:firstLine="660"/>
        <w:jc w:val="center"/>
        <w:outlineLvl w:val="0"/>
        <w:rPr>
          <w:rStyle w:val="1Char"/>
          <w:rFonts w:ascii="黑体" w:eastAsia="黑体"/>
          <w:b w:val="0"/>
        </w:rPr>
      </w:pPr>
      <w:bookmarkStart w:id="56" w:name="_Toc15396613"/>
      <w:bookmarkStart w:id="57" w:name="_Toc15377225"/>
      <w:r>
        <w:rPr>
          <w:rFonts w:ascii="黑体" w:eastAsia="黑体" w:hint="eastAsia"/>
          <w:color w:val="000000"/>
          <w:sz w:val="44"/>
          <w:szCs w:val="44"/>
        </w:rPr>
        <w:t>名</w:t>
      </w:r>
      <w:r>
        <w:rPr>
          <w:rStyle w:val="1Char"/>
          <w:rFonts w:ascii="黑体" w:eastAsia="黑体" w:hint="eastAsia"/>
          <w:b w:val="0"/>
        </w:rPr>
        <w:t>词解释</w:t>
      </w:r>
      <w:bookmarkEnd w:id="56"/>
      <w:bookmarkEnd w:id="57"/>
    </w:p>
    <w:p>
      <w:pPr>
        <w:spacing w:line="600" w:lineRule="exact"/>
        <w:jc w:val="left"/>
        <w:rPr>
          <w:rFonts w:ascii="宋体"/>
          <w:b/>
          <w:color w:val="000000"/>
          <w:sz w:val="44"/>
          <w:szCs w:val="44"/>
        </w:rPr>
      </w:pPr>
    </w:p>
    <w:p>
      <w:pPr>
        <w:pStyle w:val="25"/>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25"/>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pPr>
        <w:pStyle w:val="25"/>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pPr>
        <w:pStyle w:val="25"/>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pPr>
        <w:pStyle w:val="25"/>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5"/>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pPr>
        <w:pStyle w:val="25"/>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基本支出：指为保障机构正常运转、完成日常工作任务而发生的人员支出和公用支出。</w:t>
      </w:r>
    </w:p>
    <w:p>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经营支出：指事业单位在专业业务活动及其辅助活动之外开展非独立核算经营活动发生的支出。</w:t>
      </w:r>
    </w:p>
    <w:p>
      <w:pPr>
        <w:pStyle w:val="25"/>
        <w:spacing w:line="560" w:lineRule="exact"/>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Chars="200" w:firstLine="640"/>
        <w:rPr>
          <w:rFonts w:ascii="仿宋_GB2312" w:eastAsia="仿宋_GB2312" w:hint="eastAsia"/>
          <w:sz w:val="32"/>
          <w:szCs w:val="32"/>
        </w:rPr>
      </w:pPr>
      <w:r>
        <w:rPr>
          <w:rFonts w:ascii="仿宋_GB2312" w:eastAsia="仿宋_GB2312"/>
          <w:sz w:val="32"/>
          <w:szCs w:val="32"/>
        </w:rPr>
        <w:t>13.</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Chars="200" w:firstLine="640"/>
        <w:rPr>
          <w:rFonts w:ascii="仿宋" w:eastAsia="仿宋"/>
          <w:b/>
          <w:color w:val="000000"/>
          <w:sz w:val="32"/>
          <w:szCs w:val="32"/>
        </w:rPr>
      </w:pPr>
      <w:r>
        <w:rPr>
          <w:rFonts w:ascii="仿宋" w:eastAsia="仿宋" w:hint="eastAsia"/>
          <w:b/>
          <w:color w:val="000000"/>
          <w:sz w:val="32"/>
          <w:szCs w:val="32"/>
        </w:rPr>
        <w:t>（名词解释部分请根据各部门实际列支情况罗列，并根据本部门职责职能增减名词解释内容。）</w:t>
      </w:r>
    </w:p>
    <w:p>
      <w:pPr>
        <w:spacing w:line="600" w:lineRule="exact"/>
        <w:jc w:val="center"/>
        <w:outlineLvl w:val="0"/>
        <w:rPr>
          <w:rStyle w:val="1Char"/>
          <w:rFonts w:ascii="黑体" w:eastAsia="黑体"/>
          <w:b w:val="0"/>
        </w:rPr>
      </w:pPr>
      <w:bookmarkStart w:id="58" w:name="_Toc15377226"/>
      <w:r>
        <w:rPr>
          <w:rFonts w:ascii="宋体"/>
          <w:b/>
          <w:color w:val="000000"/>
          <w:sz w:val="44"/>
          <w:szCs w:val="44"/>
        </w:rPr>
        <w:br w:type="page"/>
      </w:r>
      <w:bookmarkStart w:id="59" w:name="_Toc15396614"/>
      <w:r>
        <w:rPr>
          <w:rFonts w:ascii="黑体" w:eastAsia="黑体" w:hint="eastAsia"/>
          <w:color w:val="000000"/>
          <w:sz w:val="44"/>
          <w:szCs w:val="44"/>
        </w:rPr>
        <w:t>第</w:t>
      </w:r>
      <w:r>
        <w:rPr>
          <w:rStyle w:val="1Char"/>
          <w:rFonts w:ascii="黑体" w:eastAsia="黑体" w:hint="eastAsia"/>
          <w:b w:val="0"/>
        </w:rPr>
        <w:t>四部分</w:t>
      </w:r>
      <w:r>
        <w:rPr>
          <w:rStyle w:val="1Char"/>
          <w:rFonts w:ascii="黑体" w:eastAsia="黑体"/>
          <w:b w:val="0"/>
        </w:rPr>
        <w:t xml:space="preserve"> </w:t>
      </w:r>
      <w:r>
        <w:rPr>
          <w:rStyle w:val="1Char"/>
          <w:rFonts w:ascii="黑体" w:eastAsia="黑体" w:hint="eastAsia"/>
          <w:b w:val="0"/>
        </w:rPr>
        <w:t>附件</w:t>
      </w:r>
      <w:bookmarkEnd w:id="59"/>
    </w:p>
    <w:p>
      <w:pPr>
        <w:spacing w:line="600" w:lineRule="exact"/>
        <w:jc w:val="left"/>
        <w:outlineLvl w:val="0"/>
        <w:rPr>
          <w:rFonts w:ascii="方正小标宋简体" w:eastAsia="方正小标宋简体" w:cs="方正小标宋简体"/>
          <w:sz w:val="32"/>
          <w:szCs w:val="32"/>
        </w:rPr>
      </w:pPr>
      <w:r>
        <w:rPr>
          <w:rFonts w:ascii="黑体" w:eastAsia="黑体" w:cs="黑体" w:hint="eastAsia"/>
          <w:sz w:val="32"/>
          <w:szCs w:val="32"/>
        </w:rPr>
        <w:t>附件</w:t>
      </w:r>
      <w:r>
        <w:rPr>
          <w:rFonts w:ascii="黑体" w:eastAsia="黑体" w:cs="黑体"/>
          <w:sz w:val="32"/>
          <w:szCs w:val="32"/>
        </w:rPr>
        <w:t>1</w:t>
      </w:r>
    </w:p>
    <w:p>
      <w:pPr>
        <w:spacing w:line="580" w:lineRule="exact"/>
        <w:jc w:val="center"/>
        <w:rPr>
          <w:rFonts w:ascii="方正小标宋简体" w:eastAsia="方正小标宋简体" w:cs="方正小标宋简体"/>
          <w:sz w:val="44"/>
          <w:szCs w:val="44"/>
        </w:rPr>
      </w:pPr>
    </w:p>
    <w:p>
      <w:pPr>
        <w:spacing w:line="600" w:lineRule="exact"/>
        <w:jc w:val="center"/>
        <w:rPr>
          <w:rFonts w:ascii="方正小标宋简体" w:eastAsia="方正小标宋简体" w:hint="eastAsia"/>
          <w:color w:val="000000"/>
          <w:kern w:val="0"/>
          <w:sz w:val="40"/>
          <w:szCs w:val="44"/>
          <w:lang w:val="zh-CN"/>
        </w:rPr>
      </w:pPr>
      <w:r>
        <w:rPr>
          <w:rFonts w:ascii="方正小标宋简体" w:eastAsia="方正小标宋简体" w:hint="eastAsia"/>
          <w:color w:val="000000"/>
          <w:kern w:val="0"/>
          <w:sz w:val="40"/>
          <w:szCs w:val="44"/>
        </w:rPr>
        <w:t>攀枝花市总工会</w:t>
      </w:r>
      <w:r>
        <w:rPr>
          <w:rFonts w:ascii="方正小标宋简体" w:eastAsia="方正小标宋简体"/>
          <w:color w:val="000000"/>
          <w:kern w:val="0"/>
          <w:sz w:val="40"/>
          <w:szCs w:val="44"/>
        </w:rPr>
        <w:t>2020</w:t>
      </w:r>
      <w:r>
        <w:rPr>
          <w:rFonts w:ascii="方正小标宋简体" w:eastAsia="方正小标宋简体" w:hint="eastAsia"/>
          <w:color w:val="000000"/>
          <w:kern w:val="0"/>
          <w:sz w:val="40"/>
          <w:szCs w:val="44"/>
        </w:rPr>
        <w:t>年部门</w:t>
      </w:r>
      <w:r>
        <w:rPr>
          <w:rFonts w:ascii="方正小标宋简体" w:eastAsia="方正小标宋简体" w:hint="eastAsia"/>
          <w:color w:val="000000"/>
          <w:kern w:val="0"/>
          <w:sz w:val="40"/>
          <w:szCs w:val="44"/>
          <w:lang w:val="zh-CN"/>
        </w:rPr>
        <w:t>整体支出</w:t>
      </w:r>
    </w:p>
    <w:p>
      <w:pPr>
        <w:spacing w:line="600" w:lineRule="exact"/>
        <w:jc w:val="center"/>
        <w:rPr>
          <w:rFonts w:ascii="方正小标宋简体" w:eastAsia="方正小标宋简体" w:hint="eastAsia"/>
          <w:color w:val="000000"/>
          <w:kern w:val="0"/>
          <w:sz w:val="40"/>
          <w:szCs w:val="44"/>
          <w:lang w:val="zh-CN"/>
        </w:rPr>
      </w:pPr>
      <w:r>
        <w:rPr>
          <w:rFonts w:ascii="方正小标宋简体" w:eastAsia="方正小标宋简体" w:hint="eastAsia"/>
          <w:color w:val="000000"/>
          <w:kern w:val="0"/>
          <w:sz w:val="40"/>
          <w:szCs w:val="44"/>
          <w:lang w:val="zh-CN"/>
        </w:rPr>
        <w:t>绩效评价报告</w:t>
      </w:r>
    </w:p>
    <w:p>
      <w:pPr>
        <w:spacing w:line="600" w:lineRule="exact"/>
        <w:jc w:val="center"/>
        <w:rPr>
          <w:rFonts w:ascii="方正小标宋简体" w:eastAsia="方正小标宋简体" w:hint="eastAsia"/>
          <w:color w:val="000000"/>
          <w:kern w:val="0"/>
          <w:sz w:val="40"/>
          <w:szCs w:val="44"/>
          <w:lang w:val="zh-CN"/>
        </w:rPr>
      </w:pP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lang w:val="zh-CN"/>
        </w:rPr>
      </w:pPr>
      <w:r>
        <w:rPr>
          <w:rFonts w:ascii="黑体" w:eastAsia="黑体" w:cs="宋体" w:hint="eastAsia"/>
          <w:color w:val="000000"/>
          <w:kern w:val="0"/>
          <w:sz w:val="32"/>
          <w:szCs w:val="32"/>
          <w:shd w:val="clear" w:color="auto" w:fill="FFFFFF"/>
        </w:rPr>
        <w:t>一、</w:t>
      </w:r>
      <w:r>
        <w:rPr>
          <w:rFonts w:ascii="黑体" w:eastAsia="黑体" w:cs="宋体" w:hint="eastAsia"/>
          <w:color w:val="000000"/>
          <w:kern w:val="0"/>
          <w:sz w:val="32"/>
          <w:szCs w:val="32"/>
          <w:shd w:val="clear" w:color="auto" w:fill="FFFFFF"/>
          <w:lang w:val="zh-CN"/>
        </w:rPr>
        <w:t>部门（单位）概况</w:t>
      </w:r>
    </w:p>
    <w:p>
      <w:pPr>
        <w:widowControl/>
        <w:adjustRightInd w:val="0"/>
        <w:snapToGrid w:val="0"/>
        <w:spacing w:line="580" w:lineRule="exact"/>
        <w:ind w:firstLineChars="200" w:firstLine="640"/>
        <w:contextualSpacing/>
        <w:jc w:val="left"/>
        <w:rPr>
          <w:rFonts w:ascii="仿宋_GB2312" w:eastAsia="仿宋_GB2312" w:cs="宋体" w:hint="eastAsia"/>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（一）机构组成。</w:t>
      </w:r>
    </w:p>
    <w:p>
      <w:pPr>
        <w:spacing w:line="360" w:lineRule="auto"/>
        <w:ind w:firstLineChars="200" w:firstLine="640"/>
        <w:rPr>
          <w:rFonts w:ascii="仿宋_GB2312" w:eastAsia="仿宋_GB2312" w:cs="宋体" w:hint="eastAsia"/>
          <w:color w:val="000000"/>
          <w:kern w:val="0"/>
          <w:sz w:val="32"/>
          <w:szCs w:val="32"/>
          <w:shd w:val="clear" w:color="auto" w:fill="FFFFFF"/>
          <w:lang w:val="zh-CN"/>
        </w:rPr>
      </w:pPr>
      <w:r>
        <w:rPr>
          <w:rFonts w:ascii="仿宋" w:eastAsia="仿宋" w:cs="仿宋_GB2312" w:hint="eastAsia"/>
          <w:sz w:val="32"/>
          <w:szCs w:val="32"/>
        </w:rPr>
        <w:t>攀枝花市总工会属于财政一级预算拨款单位，内设</w:t>
      </w:r>
      <w:r>
        <w:rPr>
          <w:rFonts w:ascii="仿宋" w:eastAsia="仿宋" w:cs="仿宋_GB2312"/>
          <w:sz w:val="32"/>
          <w:szCs w:val="32"/>
        </w:rPr>
        <w:t>11</w:t>
      </w:r>
      <w:r>
        <w:rPr>
          <w:rFonts w:ascii="仿宋" w:eastAsia="仿宋" w:cs="仿宋_GB2312" w:hint="eastAsia"/>
          <w:sz w:val="32"/>
          <w:szCs w:val="32"/>
        </w:rPr>
        <w:t>个职能部（室），保障部、法律部、基层工作部、宣教部、女工部、组织部、民管部、财务部、网社部、办公室、经费审查委员会办公室。其中，机关行政编制数</w:t>
      </w:r>
      <w:r>
        <w:rPr>
          <w:rFonts w:ascii="仿宋" w:eastAsia="仿宋" w:cs="仿宋_GB2312"/>
          <w:sz w:val="32"/>
          <w:szCs w:val="32"/>
        </w:rPr>
        <w:t>19</w:t>
      </w:r>
      <w:r>
        <w:rPr>
          <w:rFonts w:ascii="仿宋" w:eastAsia="仿宋" w:cs="仿宋_GB2312" w:hint="eastAsia"/>
          <w:sz w:val="32"/>
          <w:szCs w:val="32"/>
        </w:rPr>
        <w:t>人、机关后勤事业编制</w:t>
      </w:r>
      <w:r>
        <w:rPr>
          <w:rFonts w:ascii="仿宋" w:eastAsia="仿宋" w:cs="仿宋_GB2312"/>
          <w:sz w:val="32"/>
          <w:szCs w:val="32"/>
        </w:rPr>
        <w:t>4</w:t>
      </w:r>
      <w:r>
        <w:rPr>
          <w:rFonts w:ascii="仿宋" w:eastAsia="仿宋" w:cs="仿宋_GB2312" w:hint="eastAsia"/>
          <w:sz w:val="32"/>
          <w:szCs w:val="32"/>
        </w:rPr>
        <w:t>人。截止</w:t>
      </w:r>
      <w:r>
        <w:rPr>
          <w:rFonts w:ascii="仿宋" w:eastAsia="仿宋" w:cs="仿宋_GB2312"/>
          <w:sz w:val="32"/>
          <w:szCs w:val="32"/>
        </w:rPr>
        <w:t>20</w:t>
      </w:r>
      <w:r>
        <w:rPr>
          <w:rFonts w:ascii="仿宋" w:eastAsia="仿宋" w:cs="仿宋_GB2312" w:hint="eastAsia"/>
          <w:sz w:val="32"/>
          <w:szCs w:val="32"/>
        </w:rPr>
        <w:t>20年底离休</w:t>
      </w:r>
      <w:r>
        <w:rPr>
          <w:rFonts w:ascii="仿宋" w:eastAsia="仿宋" w:cs="仿宋_GB2312"/>
          <w:sz w:val="32"/>
          <w:szCs w:val="32"/>
        </w:rPr>
        <w:t>1</w:t>
      </w:r>
      <w:r>
        <w:rPr>
          <w:rFonts w:ascii="仿宋" w:eastAsia="仿宋" w:cs="仿宋_GB2312" w:hint="eastAsia"/>
          <w:sz w:val="32"/>
          <w:szCs w:val="32"/>
        </w:rPr>
        <w:t>人，退休74人，与财政预算人数相符。</w:t>
      </w:r>
    </w:p>
    <w:p>
      <w:pPr>
        <w:widowControl/>
        <w:numPr>
          <w:ilvl w:val="0"/>
          <w:numId w:val="5"/>
        </w:numPr>
        <w:adjustRightInd w:val="0"/>
        <w:snapToGrid w:val="0"/>
        <w:spacing w:line="580" w:lineRule="exact"/>
        <w:ind w:left="0" w:firstLineChars="200" w:firstLine="640"/>
        <w:contextualSpacing/>
        <w:jc w:val="left"/>
        <w:rPr>
          <w:rFonts w:ascii="仿宋_GB2312" w:eastAsia="仿宋_GB2312" w:cs="宋体" w:hint="eastAsia"/>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机构职能。</w:t>
      </w:r>
    </w:p>
    <w:p>
      <w:pPr>
        <w:pStyle w:val="16"/>
        <w:adjustRightInd w:val="0"/>
        <w:snapToGrid w:val="0"/>
        <w:spacing w:beforeLines="0" w:before="93" w:line="600" w:lineRule="exact"/>
        <w:ind w:leftChars="45" w:left="95" w:firstLineChars="160" w:firstLine="512"/>
        <w:outlineLvl w:val="2"/>
        <w:rPr>
          <w:rFonts w:ascii="仿宋" w:eastAsia="仿宋"/>
          <w:bCs/>
          <w:color w:val="000000"/>
          <w:sz w:val="32"/>
          <w:szCs w:val="32"/>
        </w:rPr>
      </w:pPr>
      <w:r>
        <w:rPr>
          <w:rFonts w:ascii="仿宋" w:eastAsia="仿宋"/>
          <w:bCs/>
          <w:color w:val="000000"/>
          <w:sz w:val="32"/>
          <w:szCs w:val="32"/>
        </w:rPr>
        <w:t>1.</w:t>
      </w:r>
      <w:r>
        <w:rPr>
          <w:rFonts w:ascii="仿宋" w:eastAsia="仿宋" w:hint="eastAsia"/>
          <w:bCs/>
          <w:color w:val="000000"/>
          <w:sz w:val="32"/>
          <w:szCs w:val="32"/>
        </w:rPr>
        <w:t>根据党的基本理论、基本路线、基本纲领和工运方针，围绕党和国家工作大局，贯彻执行全国工会代表大会、执委会和四川省、攀枝花市工会代表大会、全委会确定的方针、任务和作出的决议；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2.</w:t>
      </w:r>
      <w:r>
        <w:rPr>
          <w:rFonts w:ascii="仿宋" w:eastAsia="仿宋" w:hint="eastAsia"/>
          <w:bCs/>
          <w:color w:val="000000"/>
          <w:sz w:val="32"/>
          <w:szCs w:val="32"/>
        </w:rPr>
        <w:t>依照法律和《中国工会章程》，组织和指导各级工会坚定不移地推动党的全心全意依靠工人阶级根本指导方针的贯彻落实，进一步突出和履行维护职能；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3.</w:t>
      </w:r>
      <w:r>
        <w:rPr>
          <w:rFonts w:ascii="仿宋" w:eastAsia="仿宋" w:hint="eastAsia"/>
          <w:bCs/>
          <w:color w:val="000000"/>
          <w:sz w:val="32"/>
          <w:szCs w:val="32"/>
        </w:rPr>
        <w:t>对有关职工合法权益的重大问题进行调查研究，向市委、市政府和四川省总工会反映职工群众的思想、愿望和要求，提出意见和建议；参与涉及职工切身利益的政策、措施和法规草案的拟定；参与职工重大伤亡事故的调查处理；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4.</w:t>
      </w:r>
      <w:r>
        <w:rPr>
          <w:rFonts w:ascii="仿宋" w:eastAsia="仿宋" w:hint="eastAsia"/>
          <w:bCs/>
          <w:color w:val="000000"/>
          <w:sz w:val="32"/>
          <w:szCs w:val="32"/>
        </w:rPr>
        <w:t>负责工会理论政策的研究，研究制定工会的组织制度和民主制度，监督检查《中国工会章程》的贯彻执行；研究指导工会自身改革和建设；指导各级工会组织开展以职工代表大会为基本制度的民主选举、民主决策、民主管理和民主监督工作，推动建立平等协商、集体合同制度和监督保证机制的工作；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5.</w:t>
      </w:r>
      <w:r>
        <w:rPr>
          <w:rFonts w:ascii="仿宋" w:eastAsia="仿宋" w:hint="eastAsia"/>
          <w:bCs/>
          <w:color w:val="000000"/>
          <w:sz w:val="32"/>
          <w:szCs w:val="32"/>
        </w:rPr>
        <w:t>协助县（区）党委和市级有关部门、大企业党组（党委）管理县（区）总工会和有关市级产业工会、直属企业（集团公司）工会和市属基层工会的领导干部；监督、检查市总工会机关及直属单位党员干部廉政建设情况；研究制定工会干部的管理制度和培训规划，负责县（区）总工会、产业工会、大中型企事业工会领导干部的培训工作；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6.</w:t>
      </w:r>
      <w:r>
        <w:rPr>
          <w:rFonts w:ascii="仿宋" w:eastAsia="仿宋" w:hint="eastAsia"/>
          <w:bCs/>
          <w:color w:val="000000"/>
          <w:sz w:val="32"/>
          <w:szCs w:val="32"/>
        </w:rPr>
        <w:t>协助市政府做好市劳动模范的推荐、评选和管理工作；协助省总工会做好在攀全省劳模和“五一劳动奖章”、“五一劳动奖状”获得者的推荐、管理工作；　　</w:t>
      </w:r>
    </w:p>
    <w:p>
      <w:pPr>
        <w:pStyle w:val="16"/>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bCs/>
          <w:color w:val="000000"/>
          <w:sz w:val="32"/>
          <w:szCs w:val="32"/>
        </w:rPr>
        <w:t>7.</w:t>
      </w:r>
      <w:r>
        <w:rPr>
          <w:rFonts w:ascii="仿宋" w:eastAsia="仿宋" w:hint="eastAsia"/>
          <w:bCs/>
          <w:color w:val="000000"/>
          <w:sz w:val="32"/>
          <w:szCs w:val="32"/>
        </w:rPr>
        <w:t>负责全市工会经费和工会资产的管理、审查、审计工作；研究、制定工会组织兴办职工劳动福利事业的有关制度和规定；负责对全市工会职工劳动福利事业的指导、协调工作；　　</w:t>
      </w:r>
    </w:p>
    <w:p>
      <w:pPr>
        <w:pStyle w:val="16"/>
        <w:adjustRightInd w:val="0"/>
        <w:snapToGrid w:val="0"/>
        <w:spacing w:beforeLines="0" w:before="93" w:line="600" w:lineRule="exact"/>
        <w:ind w:firstLineChars="208" w:firstLine="666"/>
        <w:outlineLvl w:val="2"/>
        <w:rPr>
          <w:rFonts w:cs="宋体" w:hint="eastAsia"/>
          <w:color w:val="000000"/>
          <w:sz w:val="32"/>
          <w:szCs w:val="32"/>
          <w:shd w:val="clear" w:color="auto" w:fill="FFFFFF"/>
          <w:lang w:val="zh-CN"/>
        </w:rPr>
      </w:pPr>
      <w:r>
        <w:rPr>
          <w:rFonts w:ascii="仿宋" w:eastAsia="仿宋"/>
          <w:bCs/>
          <w:color w:val="000000"/>
          <w:sz w:val="32"/>
          <w:szCs w:val="32"/>
        </w:rPr>
        <w:t>8.</w:t>
      </w:r>
      <w:r>
        <w:rPr>
          <w:rFonts w:ascii="仿宋" w:eastAsia="仿宋" w:hint="eastAsia"/>
          <w:bCs/>
          <w:color w:val="000000"/>
          <w:sz w:val="32"/>
          <w:szCs w:val="32"/>
        </w:rPr>
        <w:t>承办市委、市政府和省总工会交办的其它事项。</w:t>
      </w:r>
    </w:p>
    <w:p>
      <w:pPr>
        <w:widowControl/>
        <w:adjustRightInd w:val="0"/>
        <w:snapToGrid w:val="0"/>
        <w:spacing w:line="580" w:lineRule="exact"/>
        <w:ind w:firstLineChars="200" w:firstLine="640"/>
        <w:contextualSpacing/>
        <w:jc w:val="left"/>
        <w:rPr>
          <w:rFonts w:ascii="仿宋_GB2312" w:eastAsia="仿宋_GB2312" w:cs="宋体" w:hint="eastAsia"/>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（三）人员概况。</w:t>
      </w:r>
    </w:p>
    <w:p>
      <w:pPr>
        <w:spacing w:line="360" w:lineRule="auto"/>
        <w:ind w:firstLineChars="200" w:firstLine="640"/>
        <w:rPr>
          <w:rFonts w:ascii="仿宋_GB2312" w:eastAsia="仿宋_GB2312" w:cs="宋体" w:hint="eastAsia"/>
          <w:color w:val="000000"/>
          <w:kern w:val="0"/>
          <w:sz w:val="32"/>
          <w:szCs w:val="32"/>
          <w:shd w:val="clear" w:color="auto" w:fill="FFFFFF"/>
          <w:lang w:val="zh-CN"/>
        </w:rPr>
      </w:pPr>
      <w:r>
        <w:rPr>
          <w:rFonts w:ascii="仿宋" w:eastAsia="仿宋" w:cs="仿宋"/>
          <w:sz w:val="32"/>
          <w:szCs w:val="32"/>
        </w:rPr>
        <w:t>20</w:t>
      </w:r>
      <w:r>
        <w:rPr>
          <w:rFonts w:ascii="仿宋" w:eastAsia="仿宋" w:cs="仿宋" w:hint="eastAsia"/>
          <w:sz w:val="32"/>
          <w:szCs w:val="32"/>
        </w:rPr>
        <w:t>20年末市总工会在职职工46人，离退休75人，其中：离休</w:t>
      </w:r>
      <w:r>
        <w:rPr>
          <w:rFonts w:ascii="仿宋" w:eastAsia="仿宋" w:cs="仿宋"/>
          <w:sz w:val="32"/>
          <w:szCs w:val="32"/>
        </w:rPr>
        <w:t>1</w:t>
      </w:r>
      <w:r>
        <w:rPr>
          <w:rFonts w:ascii="仿宋" w:eastAsia="仿宋" w:cs="仿宋" w:hint="eastAsia"/>
          <w:sz w:val="32"/>
          <w:szCs w:val="32"/>
        </w:rPr>
        <w:t>人。</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二、部门财政资金收支情况</w:t>
      </w:r>
    </w:p>
    <w:p>
      <w:pPr>
        <w:spacing w:line="580" w:lineRule="exact"/>
        <w:ind w:firstLineChars="200" w:firstLine="640"/>
        <w:rPr>
          <w:rFonts w:ascii="仿宋" w:eastAsia="仿宋" w:cs="仿宋_GB2312"/>
          <w:color w:val="FF0000"/>
          <w:sz w:val="32"/>
          <w:szCs w:val="32"/>
        </w:rPr>
      </w:pPr>
      <w:r>
        <w:rPr>
          <w:rFonts w:ascii="仿宋_GB2312" w:eastAsia="仿宋_GB2312" w:cs="宋体" w:hint="eastAsia"/>
          <w:color w:val="000000"/>
          <w:kern w:val="0"/>
          <w:sz w:val="32"/>
          <w:szCs w:val="32"/>
          <w:shd w:val="clear" w:color="auto" w:fill="FFFFFF"/>
          <w:lang w:val="zh-CN"/>
        </w:rPr>
        <w:t>（一）部门财政资金收入情况。</w:t>
      </w:r>
      <w:r>
        <w:rPr>
          <w:rFonts w:ascii="仿宋" w:eastAsia="仿宋" w:cs="仿宋"/>
          <w:sz w:val="32"/>
          <w:szCs w:val="32"/>
        </w:rPr>
        <w:t>20</w:t>
      </w:r>
      <w:r>
        <w:rPr>
          <w:rFonts w:ascii="仿宋" w:eastAsia="仿宋" w:cs="仿宋" w:hint="eastAsia"/>
          <w:sz w:val="32"/>
          <w:szCs w:val="32"/>
        </w:rPr>
        <w:t>20年度，财政拨款收入974.01万元。</w:t>
      </w:r>
    </w:p>
    <w:p>
      <w:pPr>
        <w:spacing w:line="580" w:lineRule="exact"/>
        <w:ind w:firstLineChars="200" w:firstLine="640"/>
        <w:rPr>
          <w:rFonts w:ascii="仿宋" w:eastAsia="仿宋" w:cs="仿宋_GB2312"/>
          <w:sz w:val="32"/>
          <w:szCs w:val="32"/>
        </w:rPr>
      </w:pPr>
      <w:r>
        <w:rPr>
          <w:rFonts w:ascii="仿宋" w:eastAsia="仿宋" w:cs="仿宋_GB2312" w:hint="eastAsia"/>
          <w:sz w:val="32"/>
          <w:szCs w:val="32"/>
        </w:rPr>
        <w:t>（二）部门财政资金支出情况。</w:t>
      </w:r>
      <w:r>
        <w:rPr>
          <w:rFonts w:ascii="仿宋" w:eastAsia="仿宋" w:cs="仿宋"/>
          <w:sz w:val="32"/>
          <w:szCs w:val="32"/>
        </w:rPr>
        <w:t>20</w:t>
      </w:r>
      <w:r>
        <w:rPr>
          <w:rFonts w:ascii="仿宋" w:eastAsia="仿宋" w:cs="仿宋" w:hint="eastAsia"/>
          <w:sz w:val="32"/>
          <w:szCs w:val="32"/>
        </w:rPr>
        <w:t>20年度，财政拨款支出</w:t>
      </w:r>
      <w:r>
        <w:rPr>
          <w:rFonts w:ascii="仿宋" w:eastAsia="仿宋" w:cs="仿宋_GB2312" w:hint="eastAsia"/>
          <w:sz w:val="32"/>
          <w:szCs w:val="32"/>
        </w:rPr>
        <w:t>850.78</w:t>
      </w:r>
      <w:r>
        <w:rPr>
          <w:rFonts w:ascii="仿宋" w:eastAsia="仿宋" w:cs="仿宋" w:hint="eastAsia"/>
          <w:sz w:val="32"/>
          <w:szCs w:val="32"/>
        </w:rPr>
        <w:t>万元，结转123.23万元。</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（一）部门预算管理。</w:t>
      </w:r>
    </w:p>
    <w:p>
      <w:pPr>
        <w:spacing w:line="560" w:lineRule="exact"/>
        <w:ind w:firstLineChars="200" w:firstLine="640"/>
        <w:rPr>
          <w:rFonts w:ascii="仿宋" w:eastAsia="仿宋" w:cs="仿宋"/>
          <w:sz w:val="32"/>
          <w:szCs w:val="32"/>
        </w:rPr>
      </w:pPr>
      <w:r>
        <w:rPr>
          <w:rFonts w:ascii="仿宋" w:eastAsia="仿宋" w:cs="仿宋" w:hint="eastAsia"/>
          <w:sz w:val="32"/>
          <w:szCs w:val="32"/>
        </w:rPr>
        <w:t>年初设定了绩效目标，且绩效目标全部完成，预算编制准确。预算执行中严格控制经费开支，节省经费，提高经费的使用效率。</w:t>
      </w:r>
      <w:r>
        <w:rPr>
          <w:rFonts w:ascii="仿宋" w:eastAsia="仿宋" w:hint="eastAsia"/>
          <w:bCs/>
          <w:color w:val="000000"/>
          <w:sz w:val="32"/>
          <w:szCs w:val="32"/>
        </w:rPr>
        <w:t>围绕市委、市政府的中心工</w:t>
      </w:r>
      <w:r>
        <w:rPr>
          <w:rFonts w:ascii="仿宋" w:eastAsia="仿宋" w:cs="仿宋" w:hint="eastAsia"/>
          <w:sz w:val="32"/>
          <w:szCs w:val="32"/>
        </w:rPr>
        <w:t>作，助推攀枝花经济社会高质量发展，参与企业改革改制，构建和谐劳动关系；深化扶贫帮困，在强化服务职工群众宗旨中凝聚民心。</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（二）结果应用情况。</w:t>
      </w:r>
    </w:p>
    <w:p>
      <w:pPr>
        <w:spacing w:line="580" w:lineRule="exact"/>
        <w:ind w:firstLineChars="200" w:firstLine="640"/>
        <w:rPr>
          <w:rFonts w:ascii="仿宋" w:eastAsia="仿宋" w:cs="仿宋"/>
          <w:sz w:val="32"/>
          <w:szCs w:val="32"/>
        </w:rPr>
      </w:pPr>
      <w:r>
        <w:rPr>
          <w:rFonts w:ascii="仿宋" w:eastAsia="仿宋" w:cs="仿宋" w:hint="eastAsia"/>
          <w:sz w:val="32"/>
          <w:szCs w:val="32"/>
        </w:rPr>
        <w:t>对开展得好的项目工作人员及部门，纳入评优、评先考虑范围；对不好的项目相关负责人及责任人进行批评教育，要求在以后的项目支出中，科学制定预算，根据规定支出，提高支出效率，达到预期效果。</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四、评价结论及建议</w:t>
      </w:r>
    </w:p>
    <w:p>
      <w:pPr>
        <w:spacing w:line="580" w:lineRule="exact"/>
        <w:ind w:firstLineChars="200" w:firstLine="640"/>
        <w:rPr>
          <w:rFonts w:ascii="仿宋" w:eastAsia="仿宋" w:cs="仿宋_GB2312"/>
          <w:sz w:val="32"/>
          <w:szCs w:val="32"/>
        </w:rPr>
      </w:pPr>
      <w:r>
        <w:rPr>
          <w:rFonts w:ascii="仿宋" w:eastAsia="仿宋" w:cs="仿宋_GB2312" w:hint="eastAsia"/>
          <w:sz w:val="32"/>
          <w:szCs w:val="32"/>
        </w:rPr>
        <w:t>（一）评价结论。</w:t>
      </w:r>
    </w:p>
    <w:p>
      <w:pPr>
        <w:spacing w:line="580" w:lineRule="exact"/>
        <w:ind w:firstLineChars="200" w:firstLine="640"/>
        <w:rPr>
          <w:rFonts w:ascii="仿宋" w:eastAsia="仿宋" w:cs="仿宋_GB2312"/>
          <w:sz w:val="32"/>
          <w:szCs w:val="32"/>
        </w:rPr>
      </w:pPr>
      <w:r>
        <w:rPr>
          <w:rFonts w:ascii="仿宋" w:eastAsia="仿宋" w:cs="仿宋_GB2312" w:hint="eastAsia"/>
          <w:sz w:val="32"/>
          <w:szCs w:val="32"/>
        </w:rPr>
        <w:t>部门整体绩效效果较好，具有明确的用途和目标，制定了详细的执行计划，资金到位及时并严格按照财政有关规定使用。预算决策、管理、执行等日益规范。</w:t>
      </w:r>
    </w:p>
    <w:p>
      <w:pPr>
        <w:spacing w:line="580" w:lineRule="exact"/>
        <w:ind w:firstLineChars="200" w:firstLine="640"/>
        <w:rPr>
          <w:rFonts w:ascii="仿宋" w:eastAsia="仿宋" w:cs="仿宋_GB2312"/>
          <w:sz w:val="32"/>
          <w:szCs w:val="32"/>
        </w:rPr>
      </w:pPr>
      <w:r>
        <w:rPr>
          <w:rFonts w:ascii="仿宋" w:eastAsia="仿宋" w:cs="仿宋_GB2312" w:hint="eastAsia"/>
          <w:sz w:val="32"/>
          <w:szCs w:val="32"/>
        </w:rPr>
        <w:t>（二）存在问题。</w:t>
      </w:r>
    </w:p>
    <w:p>
      <w:pPr>
        <w:spacing w:line="580" w:lineRule="exact"/>
        <w:ind w:firstLineChars="200" w:firstLine="640"/>
        <w:rPr>
          <w:rFonts w:ascii="仿宋" w:eastAsia="仿宋" w:cs="仿宋_GB2312"/>
          <w:sz w:val="32"/>
          <w:szCs w:val="32"/>
        </w:rPr>
      </w:pPr>
      <w:r>
        <w:rPr>
          <w:rFonts w:ascii="仿宋" w:eastAsia="仿宋" w:cs="仿宋_GB2312"/>
          <w:sz w:val="32"/>
          <w:szCs w:val="32"/>
        </w:rPr>
        <w:t>1</w:t>
      </w:r>
      <w:r>
        <w:rPr>
          <w:rFonts w:ascii="仿宋" w:eastAsia="仿宋" w:cs="仿宋_GB2312" w:hint="eastAsia"/>
          <w:sz w:val="32"/>
          <w:szCs w:val="32"/>
        </w:rPr>
        <w:t>、由于工作安排的原因，存在部门预算执行进度不均衡，项目资金使用“前松后紧”现象。</w:t>
      </w:r>
      <w:r>
        <w:rPr>
          <w:rFonts w:ascii="仿宋" w:eastAsia="仿宋" w:cs="仿宋_GB2312"/>
          <w:sz w:val="32"/>
          <w:szCs w:val="32"/>
        </w:rPr>
        <w:t>2</w:t>
      </w:r>
      <w:r>
        <w:rPr>
          <w:rFonts w:ascii="仿宋" w:eastAsia="仿宋" w:cs="仿宋_GB2312" w:hint="eastAsia"/>
          <w:sz w:val="32"/>
          <w:szCs w:val="32"/>
        </w:rPr>
        <w:t>、受评价指标所限，部分项目效果无法量化，评价结果不够精准。</w:t>
      </w:r>
    </w:p>
    <w:p>
      <w:pPr>
        <w:spacing w:line="580" w:lineRule="exact"/>
        <w:ind w:firstLineChars="200" w:firstLine="640"/>
        <w:rPr>
          <w:rFonts w:ascii="仿宋" w:eastAsia="仿宋" w:cs="仿宋_GB2312"/>
          <w:sz w:val="32"/>
          <w:szCs w:val="32"/>
        </w:rPr>
      </w:pPr>
      <w:r>
        <w:rPr>
          <w:rFonts w:ascii="仿宋" w:eastAsia="仿宋" w:cs="仿宋_GB2312" w:hint="eastAsia"/>
          <w:sz w:val="32"/>
          <w:szCs w:val="32"/>
        </w:rPr>
        <w:t>（三）改进建议。</w:t>
      </w:r>
    </w:p>
    <w:p>
      <w:pPr>
        <w:spacing w:line="580" w:lineRule="exact"/>
        <w:ind w:firstLineChars="200" w:firstLine="640"/>
        <w:rPr>
          <w:rFonts w:ascii="仿宋_GB2312" w:eastAsia="仿宋_GB2312" w:cs="仿宋_GB2312"/>
          <w:sz w:val="32"/>
          <w:szCs w:val="32"/>
        </w:rPr>
      </w:pPr>
      <w:r>
        <w:rPr>
          <w:rFonts w:ascii="仿宋" w:eastAsia="仿宋" w:cs="仿宋_GB2312" w:hint="eastAsia"/>
          <w:sz w:val="32"/>
          <w:szCs w:val="32"/>
        </w:rPr>
        <w:t>加大对财政资金支出绩效评价工作的培训力度，</w:t>
      </w:r>
      <w:r>
        <w:rPr>
          <w:rFonts w:ascii="仿宋" w:eastAsia="仿宋" w:cs="仿宋" w:hint="eastAsia"/>
          <w:sz w:val="32"/>
          <w:szCs w:val="32"/>
        </w:rPr>
        <w:t>提升业务能力；加强建章立制，作为部门工作的重点，强化工作人员绩效意识，齐抓共管，共同做好绩效工作。</w:t>
      </w:r>
    </w:p>
    <w:p>
      <w:pPr>
        <w:spacing w:line="580" w:lineRule="exact"/>
        <w:ind w:firstLineChars="200" w:firstLine="640"/>
        <w:rPr>
          <w:rFonts w:ascii="仿宋_GB2312" w:eastAsia="仿宋_GB2312" w:cs="仿宋_GB2312"/>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黑体" w:eastAsia="黑体" w:cs="黑体" w:hint="eastAsia"/>
          <w:sz w:val="32"/>
          <w:szCs w:val="32"/>
        </w:rPr>
      </w:pPr>
    </w:p>
    <w:p>
      <w:pPr>
        <w:spacing w:line="580" w:lineRule="exact"/>
        <w:rPr>
          <w:rFonts w:ascii="仿宋_GB2312" w:eastAsia="仿宋_GB2312" w:cs="仿宋_GB2312"/>
          <w:sz w:val="32"/>
          <w:szCs w:val="32"/>
        </w:rPr>
      </w:pPr>
      <w:r>
        <w:rPr>
          <w:rFonts w:ascii="黑体" w:eastAsia="黑体" w:cs="黑体" w:hint="eastAsia"/>
          <w:sz w:val="32"/>
          <w:szCs w:val="32"/>
        </w:rPr>
        <w:t>附件</w:t>
      </w:r>
      <w:r>
        <w:rPr>
          <w:rFonts w:ascii="黑体" w:eastAsia="黑体" w:cs="黑体"/>
          <w:sz w:val="32"/>
          <w:szCs w:val="32"/>
        </w:rPr>
        <w:t>2</w:t>
      </w:r>
    </w:p>
    <w:p>
      <w:pPr>
        <w:spacing w:line="580" w:lineRule="exact"/>
        <w:ind w:firstLineChars="200" w:firstLine="640"/>
        <w:rPr>
          <w:rFonts w:ascii="仿宋_GB2312" w:eastAsia="仿宋_GB2312" w:cs="仿宋_GB2312"/>
          <w:sz w:val="32"/>
          <w:szCs w:val="32"/>
        </w:rPr>
      </w:pPr>
    </w:p>
    <w:p>
      <w:pPr>
        <w:spacing w:line="600" w:lineRule="exact"/>
        <w:jc w:val="center"/>
        <w:rPr>
          <w:rFonts w:ascii="方正小标宋简体" w:eastAsia="方正小标宋简体" w:hint="eastAsia"/>
          <w:color w:val="000000"/>
          <w:kern w:val="0"/>
          <w:sz w:val="44"/>
          <w:szCs w:val="44"/>
          <w:lang w:val="zh-CN"/>
        </w:rPr>
      </w:pPr>
      <w:r>
        <w:rPr>
          <w:rFonts w:ascii="方正小标宋简体" w:eastAsia="方正小标宋简体" w:hint="eastAsia"/>
          <w:color w:val="000000"/>
          <w:kern w:val="0"/>
          <w:sz w:val="44"/>
          <w:szCs w:val="44"/>
          <w:lang w:val="zh-CN"/>
        </w:rPr>
        <w:t>“困难职工帮扶资金”项目</w:t>
      </w:r>
    </w:p>
    <w:p>
      <w:pPr>
        <w:spacing w:line="600" w:lineRule="exact"/>
        <w:jc w:val="center"/>
        <w:rPr>
          <w:rFonts w:ascii="方正小标宋简体" w:eastAsia="方正小标宋简体"/>
          <w:color w:val="000000"/>
          <w:kern w:val="0"/>
          <w:sz w:val="44"/>
          <w:szCs w:val="44"/>
          <w:lang w:val="zh-CN"/>
        </w:rPr>
      </w:pPr>
      <w:r>
        <w:rPr>
          <w:rFonts w:ascii="方正小标宋简体" w:eastAsia="方正小标宋简体"/>
          <w:color w:val="000000"/>
          <w:kern w:val="0"/>
          <w:sz w:val="44"/>
          <w:szCs w:val="44"/>
        </w:rPr>
        <w:t>2020</w:t>
      </w:r>
      <w:r>
        <w:rPr>
          <w:rFonts w:ascii="方正小标宋简体" w:eastAsia="方正小标宋简体" w:hint="eastAsia"/>
          <w:color w:val="000000"/>
          <w:kern w:val="0"/>
          <w:sz w:val="44"/>
          <w:szCs w:val="44"/>
        </w:rPr>
        <w:t>年</w:t>
      </w:r>
      <w:r>
        <w:rPr>
          <w:rFonts w:ascii="方正小标宋简体" w:eastAsia="方正小标宋简体" w:hint="eastAsia"/>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（一）项目基本情况。</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1</w:t>
      </w:r>
      <w:r>
        <w:rPr>
          <w:rFonts w:ascii="仿宋_GB2312" w:eastAsia="仿宋_GB2312" w:hint="eastAsia"/>
          <w:sz w:val="32"/>
          <w:szCs w:val="32"/>
          <w:lang w:val="zh-CN"/>
        </w:rPr>
        <w:t>．说明项目主管部门（单位）在该项目管理中的职能。</w:t>
      </w:r>
    </w:p>
    <w:p>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审核困难职工建档标准、发放救助金及</w:t>
      </w:r>
      <w:r>
        <w:rPr>
          <w:rFonts w:ascii="仿宋" w:eastAsia="仿宋" w:cs="仿宋" w:hint="eastAsia"/>
          <w:sz w:val="32"/>
          <w:szCs w:val="32"/>
        </w:rPr>
        <w:t>针对救助开展效果选取受众对象进行电话询问。</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ascii="仿宋_GB2312" w:eastAsia="仿宋_GB2312" w:hint="eastAsia"/>
          <w:sz w:val="32"/>
          <w:szCs w:val="32"/>
          <w:lang w:val="zh-CN"/>
        </w:rPr>
        <w:t>．项目立项、资金申报的依据。</w:t>
      </w:r>
    </w:p>
    <w:p>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攀枝花市市级财政困难职工专项帮扶补助资金管理办法（攀财企【</w:t>
      </w:r>
      <w:r>
        <w:rPr>
          <w:rFonts w:ascii="仿宋_GB2312" w:eastAsia="仿宋_GB2312"/>
          <w:sz w:val="32"/>
          <w:szCs w:val="32"/>
          <w:lang w:val="zh-CN"/>
        </w:rPr>
        <w:t>2017</w:t>
      </w:r>
      <w:r>
        <w:rPr>
          <w:rFonts w:ascii="仿宋_GB2312" w:eastAsia="仿宋_GB2312" w:hint="eastAsia"/>
          <w:sz w:val="32"/>
          <w:szCs w:val="32"/>
          <w:lang w:val="zh-CN"/>
        </w:rPr>
        <w:t>】</w:t>
      </w:r>
      <w:r>
        <w:rPr>
          <w:rFonts w:ascii="仿宋_GB2312" w:eastAsia="仿宋_GB2312"/>
          <w:sz w:val="32"/>
          <w:szCs w:val="32"/>
          <w:lang w:val="zh-CN"/>
        </w:rPr>
        <w:t>11</w:t>
      </w:r>
      <w:r>
        <w:rPr>
          <w:rFonts w:ascii="仿宋_GB2312" w:eastAsia="仿宋_GB2312" w:hint="eastAsia"/>
          <w:sz w:val="32"/>
          <w:szCs w:val="32"/>
          <w:lang w:val="zh-CN"/>
        </w:rPr>
        <w:t>号）及</w:t>
      </w:r>
      <w:r>
        <w:rPr>
          <w:rFonts w:ascii="仿宋_GB2312" w:eastAsia="仿宋_GB2312"/>
          <w:sz w:val="32"/>
          <w:szCs w:val="32"/>
          <w:lang w:val="zh-CN"/>
        </w:rPr>
        <w:t>2007</w:t>
      </w:r>
      <w:r>
        <w:rPr>
          <w:rFonts w:ascii="仿宋_GB2312" w:eastAsia="仿宋_GB2312" w:hint="eastAsia"/>
          <w:sz w:val="32"/>
          <w:szCs w:val="32"/>
          <w:lang w:val="zh-CN"/>
        </w:rPr>
        <w:t>年市委八届四次常委会会议纪要。</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ascii="仿宋_GB2312" w:eastAsia="仿宋_GB2312" w:hint="eastAsia"/>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针对市总工会直属产业、企事业单位建档困难职工。</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4</w:t>
      </w:r>
      <w:r>
        <w:rPr>
          <w:rFonts w:ascii="仿宋_GB2312" w:eastAsia="仿宋_GB2312" w:hint="eastAsia"/>
          <w:sz w:val="32"/>
          <w:szCs w:val="32"/>
          <w:lang w:val="zh-CN"/>
        </w:rPr>
        <w:t>．资金分配的原则及考虑因素。</w:t>
      </w:r>
    </w:p>
    <w:p>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家庭人均收入在我市低保标准</w:t>
      </w:r>
      <w:r>
        <w:rPr>
          <w:rFonts w:ascii="仿宋_GB2312" w:eastAsia="仿宋_GB2312"/>
          <w:sz w:val="32"/>
          <w:szCs w:val="32"/>
          <w:lang w:val="zh-CN"/>
        </w:rPr>
        <w:t>2</w:t>
      </w:r>
      <w:r>
        <w:rPr>
          <w:rFonts w:ascii="仿宋_GB2312" w:eastAsia="仿宋_GB2312" w:hint="eastAsia"/>
          <w:sz w:val="32"/>
          <w:szCs w:val="32"/>
          <w:lang w:val="zh-CN"/>
        </w:rPr>
        <w:t>倍以内的低收入建档职工家庭。</w:t>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（二）项目绩效目标。</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1</w:t>
      </w:r>
      <w:r>
        <w:rPr>
          <w:rFonts w:ascii="仿宋_GB2312" w:eastAsia="仿宋_GB2312" w:hint="eastAsia"/>
          <w:sz w:val="32"/>
          <w:szCs w:val="32"/>
          <w:lang w:val="zh-CN"/>
        </w:rPr>
        <w:t>．项目主要内容：通过城镇低收入职工家庭生活状况调查后，对在工会帮扶工作管理系统中建档案的</w:t>
      </w:r>
      <w:r>
        <w:rPr>
          <w:rFonts w:ascii="仿宋_GB2312" w:eastAsia="仿宋_GB2312"/>
          <w:sz w:val="32"/>
          <w:szCs w:val="32"/>
          <w:lang w:val="zh-CN"/>
        </w:rPr>
        <w:t>200</w:t>
      </w:r>
      <w:r>
        <w:rPr>
          <w:rFonts w:ascii="仿宋_GB2312" w:eastAsia="仿宋_GB2312" w:hint="eastAsia"/>
          <w:sz w:val="32"/>
          <w:szCs w:val="32"/>
          <w:lang w:val="zh-CN"/>
        </w:rPr>
        <w:t>户困难职工、困难农民工开展生活救助、子女救助金和医疗救助，通过救助后使困难职工、困难农民工实际生活水平达到我市低保标准之上。</w:t>
      </w:r>
    </w:p>
    <w:p>
      <w:pPr>
        <w:widowControl/>
        <w:ind w:firstLineChars="200" w:firstLine="640"/>
        <w:textAlignment w:val="center"/>
        <w:rPr>
          <w:rFonts w:ascii="仿宋" w:eastAsia="仿宋" w:cs="仿宋"/>
          <w:sz w:val="32"/>
          <w:szCs w:val="32"/>
        </w:rPr>
      </w:pPr>
      <w:r>
        <w:rPr>
          <w:rFonts w:ascii="仿宋_GB2312" w:eastAsia="仿宋_GB2312"/>
          <w:sz w:val="32"/>
          <w:szCs w:val="32"/>
          <w:lang w:val="zh-CN"/>
        </w:rPr>
        <w:t>2</w:t>
      </w:r>
      <w:r>
        <w:rPr>
          <w:rFonts w:ascii="仿宋_GB2312" w:eastAsia="仿宋_GB2312" w:hint="eastAsia"/>
          <w:sz w:val="32"/>
          <w:szCs w:val="32"/>
          <w:lang w:val="zh-CN"/>
        </w:rPr>
        <w:t>．项目应实现</w:t>
      </w:r>
      <w:r>
        <w:rPr>
          <w:rFonts w:ascii="仿宋" w:eastAsia="仿宋" w:cs="仿宋" w:hint="eastAsia"/>
          <w:sz w:val="32"/>
          <w:szCs w:val="32"/>
        </w:rPr>
        <w:t>助力困难职工解困脱困，采取多种帮扶措施，解决困难职工生活中燃眉之急，力促困难职工生活有保障。全年针对建档困难职工、开展救助</w:t>
      </w:r>
      <w:r>
        <w:rPr>
          <w:rFonts w:ascii="仿宋" w:eastAsia="仿宋" w:cs="仿宋"/>
          <w:sz w:val="32"/>
          <w:szCs w:val="32"/>
        </w:rPr>
        <w:t>200</w:t>
      </w:r>
      <w:r>
        <w:rPr>
          <w:rFonts w:ascii="仿宋" w:eastAsia="仿宋" w:cs="仿宋" w:hint="eastAsia"/>
          <w:sz w:val="32"/>
          <w:szCs w:val="32"/>
        </w:rPr>
        <w:t>人次，发放生活救助金、医疗救助金及助学金共计</w:t>
      </w:r>
      <w:r>
        <w:rPr>
          <w:rFonts w:ascii="仿宋" w:eastAsia="仿宋" w:cs="仿宋"/>
          <w:sz w:val="32"/>
          <w:szCs w:val="32"/>
        </w:rPr>
        <w:t>50.00</w:t>
      </w:r>
      <w:r>
        <w:rPr>
          <w:rFonts w:ascii="仿宋" w:eastAsia="仿宋" w:cs="仿宋" w:hint="eastAsia"/>
          <w:sz w:val="32"/>
          <w:szCs w:val="32"/>
        </w:rPr>
        <w:t>万元。缓解贫困职工家庭生活的压力，在强化服务职工群众宗旨中凝聚民心。</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ascii="仿宋_GB2312" w:eastAsia="仿宋_GB2312" w:hint="eastAsia"/>
          <w:sz w:val="32"/>
          <w:szCs w:val="32"/>
          <w:lang w:val="zh-CN"/>
        </w:rPr>
        <w:t>．分析评价申报内容是与实际相符，申报目标与合理可行。</w:t>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（三）项目自评步骤及方法。</w:t>
      </w:r>
    </w:p>
    <w:p>
      <w:pPr>
        <w:spacing w:line="580" w:lineRule="exact"/>
        <w:ind w:firstLineChars="200" w:firstLine="640"/>
        <w:rPr>
          <w:rFonts w:ascii="仿宋" w:eastAsia="仿宋" w:cs="仿宋"/>
          <w:sz w:val="32"/>
          <w:szCs w:val="32"/>
        </w:rPr>
      </w:pPr>
      <w:r>
        <w:rPr>
          <w:rFonts w:ascii="仿宋" w:eastAsia="仿宋" w:cs="仿宋" w:hint="eastAsia"/>
          <w:sz w:val="32"/>
          <w:szCs w:val="32"/>
        </w:rPr>
        <w:t>困难职工帮扶资金项目涉及</w:t>
      </w:r>
      <w:r>
        <w:rPr>
          <w:rFonts w:ascii="仿宋_GB2312" w:eastAsia="仿宋_GB2312" w:cs="仿宋_GB2312" w:hint="eastAsia"/>
          <w:sz w:val="32"/>
          <w:szCs w:val="32"/>
        </w:rPr>
        <w:t>建档困难职工，</w:t>
      </w:r>
      <w:r>
        <w:rPr>
          <w:rFonts w:ascii="仿宋" w:eastAsia="仿宋" w:cs="仿宋" w:hint="eastAsia"/>
          <w:sz w:val="32"/>
          <w:szCs w:val="32"/>
        </w:rPr>
        <w:t>覆盖攀枝花市东区、西区、仁和区、盐边、米易，在全市建档困难职工范围内，采取询问的方式，在每次发放救助金后，针对救助开展效果选取受众对象进行电话询问，评价对项目开展效果进行评价。</w:t>
      </w:r>
    </w:p>
    <w:p>
      <w:pPr>
        <w:adjustRightInd w:val="0"/>
        <w:snapToGrid w:val="0"/>
        <w:spacing w:line="600" w:lineRule="exact"/>
        <w:ind w:firstLine="720"/>
        <w:rPr>
          <w:rFonts w:ascii="黑体" w:eastAsia="黑体"/>
          <w:sz w:val="32"/>
          <w:szCs w:val="32"/>
        </w:rPr>
      </w:pPr>
      <w:r>
        <w:rPr>
          <w:rFonts w:ascii="黑体" w:eastAsia="黑体" w:hint="eastAsia"/>
          <w:sz w:val="32"/>
          <w:szCs w:val="32"/>
        </w:rPr>
        <w:t>二、项目资金申报及使用情况</w:t>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（一）项目资金申报及批复情况。</w:t>
      </w:r>
    </w:p>
    <w:p>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说明项目资金申报、批复及预算调整等程序的相关情况。</w:t>
      </w:r>
    </w:p>
    <w:p>
      <w:pPr>
        <w:adjustRightInd w:val="0"/>
        <w:snapToGrid w:val="0"/>
        <w:spacing w:line="600" w:lineRule="exact"/>
        <w:ind w:firstLine="720"/>
        <w:rPr>
          <w:rFonts w:ascii="仿宋_GB2312" w:eastAsia="仿宋_GB2312"/>
          <w:sz w:val="32"/>
          <w:szCs w:val="32"/>
          <w:lang w:val="zh-CN"/>
        </w:rPr>
      </w:pPr>
      <w:r>
        <w:rPr>
          <w:rFonts w:ascii="楷体_GB2312" w:eastAsia="楷体_GB2312" w:hint="eastAsia"/>
          <w:b/>
          <w:sz w:val="32"/>
          <w:szCs w:val="32"/>
          <w:lang w:val="zh-CN"/>
        </w:rPr>
        <w:t>（二）资金计划、到位及使用情况（可用表格形式反映）。</w:t>
      </w:r>
    </w:p>
    <w:p>
      <w:pPr>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1</w:t>
      </w:r>
      <w:r>
        <w:rPr>
          <w:rFonts w:ascii="楷体_GB2312" w:eastAsia="楷体_GB2312" w:hint="eastAsia"/>
          <w:sz w:val="32"/>
          <w:szCs w:val="32"/>
          <w:lang w:val="zh-CN"/>
        </w:rPr>
        <w:t>．资金计划：</w:t>
      </w:r>
      <w:r>
        <w:rPr>
          <w:rFonts w:ascii="仿宋_GB2312" w:eastAsia="仿宋_GB2312" w:hint="eastAsia"/>
          <w:sz w:val="32"/>
          <w:szCs w:val="32"/>
          <w:lang w:val="zh-CN"/>
        </w:rPr>
        <w:t>市财政资金</w:t>
      </w:r>
      <w:r>
        <w:rPr>
          <w:rFonts w:ascii="仿宋_GB2312" w:eastAsia="仿宋_GB2312"/>
          <w:sz w:val="32"/>
          <w:szCs w:val="32"/>
          <w:lang w:val="zh-CN"/>
        </w:rPr>
        <w:t>50</w:t>
      </w:r>
      <w:r>
        <w:rPr>
          <w:rFonts w:ascii="仿宋_GB2312" w:eastAsia="仿宋_GB2312" w:hint="eastAsia"/>
          <w:sz w:val="32"/>
          <w:szCs w:val="32"/>
          <w:lang w:val="zh-CN"/>
        </w:rPr>
        <w:t>万。</w:t>
      </w:r>
    </w:p>
    <w:p>
      <w:pPr>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2</w:t>
      </w:r>
      <w:r>
        <w:rPr>
          <w:rFonts w:ascii="楷体_GB2312" w:eastAsia="楷体_GB2312" w:hint="eastAsia"/>
          <w:sz w:val="32"/>
          <w:szCs w:val="32"/>
          <w:lang w:val="zh-CN"/>
        </w:rPr>
        <w:t>．资金到位。</w:t>
      </w:r>
      <w:r>
        <w:rPr>
          <w:rFonts w:ascii="仿宋_GB2312" w:eastAsia="仿宋_GB2312"/>
          <w:sz w:val="32"/>
          <w:szCs w:val="32"/>
          <w:lang w:val="zh-CN"/>
        </w:rPr>
        <w:t>20</w:t>
      </w:r>
      <w:r>
        <w:rPr>
          <w:rFonts w:ascii="仿宋_GB2312" w:eastAsia="仿宋_GB2312" w:hint="eastAsia"/>
          <w:sz w:val="32"/>
          <w:szCs w:val="32"/>
        </w:rPr>
        <w:t>20</w:t>
      </w:r>
      <w:r>
        <w:rPr>
          <w:rFonts w:ascii="仿宋_GB2312" w:eastAsia="仿宋_GB2312" w:hint="eastAsia"/>
          <w:sz w:val="32"/>
          <w:szCs w:val="32"/>
          <w:lang w:val="zh-CN"/>
        </w:rPr>
        <w:t>年内资金全部到位。</w:t>
      </w:r>
    </w:p>
    <w:p>
      <w:pPr>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3</w:t>
      </w:r>
      <w:r>
        <w:rPr>
          <w:rFonts w:ascii="楷体_GB2312" w:eastAsia="楷体_GB2312" w:hint="eastAsia"/>
          <w:sz w:val="32"/>
          <w:szCs w:val="32"/>
          <w:lang w:val="zh-CN"/>
        </w:rPr>
        <w:t>．资金使用。</w:t>
      </w:r>
      <w:r>
        <w:rPr>
          <w:rFonts w:ascii="仿宋_GB2312" w:eastAsia="仿宋_GB2312" w:hint="eastAsia"/>
          <w:sz w:val="32"/>
          <w:szCs w:val="32"/>
          <w:lang w:val="zh-CN"/>
        </w:rPr>
        <w:t>针对全市建档困难职工每户发放</w:t>
      </w:r>
      <w:r>
        <w:rPr>
          <w:rFonts w:ascii="仿宋_GB2312" w:eastAsia="仿宋_GB2312"/>
          <w:sz w:val="32"/>
          <w:szCs w:val="32"/>
          <w:lang w:val="zh-CN"/>
        </w:rPr>
        <w:t>2000-3000</w:t>
      </w:r>
      <w:r>
        <w:rPr>
          <w:rFonts w:ascii="仿宋_GB2312" w:eastAsia="仿宋_GB2312" w:hint="eastAsia"/>
          <w:sz w:val="32"/>
          <w:szCs w:val="32"/>
          <w:lang w:val="zh-CN"/>
        </w:rPr>
        <w:t>元生活救助，帮扶困难职工子女上学</w:t>
      </w:r>
      <w:r>
        <w:rPr>
          <w:rFonts w:ascii="仿宋_GB2312" w:eastAsia="仿宋_GB2312"/>
          <w:sz w:val="32"/>
          <w:szCs w:val="32"/>
          <w:lang w:val="zh-CN"/>
        </w:rPr>
        <w:t>20</w:t>
      </w:r>
      <w:r>
        <w:rPr>
          <w:rFonts w:ascii="仿宋_GB2312" w:eastAsia="仿宋_GB2312" w:hint="eastAsia"/>
          <w:sz w:val="32"/>
          <w:szCs w:val="32"/>
          <w:lang w:val="zh-CN"/>
        </w:rPr>
        <w:t>人，</w:t>
      </w:r>
      <w:r>
        <w:rPr>
          <w:rFonts w:ascii="仿宋_GB2312" w:eastAsia="仿宋_GB2312"/>
          <w:sz w:val="32"/>
          <w:szCs w:val="32"/>
          <w:lang w:val="zh-CN"/>
        </w:rPr>
        <w:t>20</w:t>
      </w:r>
      <w:r>
        <w:rPr>
          <w:rFonts w:ascii="仿宋_GB2312" w:eastAsia="仿宋_GB2312" w:hint="eastAsia"/>
          <w:sz w:val="32"/>
          <w:szCs w:val="32"/>
        </w:rPr>
        <w:t>20</w:t>
      </w:r>
      <w:r>
        <w:rPr>
          <w:rFonts w:ascii="仿宋_GB2312" w:eastAsia="仿宋_GB2312" w:hint="eastAsia"/>
          <w:sz w:val="32"/>
          <w:szCs w:val="32"/>
          <w:lang w:val="zh-CN"/>
        </w:rPr>
        <w:t>年内资金全部使用完毕。</w:t>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（三）项目财务管理情况。</w:t>
      </w:r>
    </w:p>
    <w:p>
      <w:pPr>
        <w:adjustRightInd w:val="0"/>
        <w:snapToGrid w:val="0"/>
        <w:spacing w:line="600" w:lineRule="exact"/>
        <w:ind w:firstLine="720"/>
        <w:rPr>
          <w:rFonts w:ascii="仿宋_GB2312" w:eastAsia="仿宋_GB2312" w:hint="eastAsia"/>
          <w:sz w:val="32"/>
          <w:szCs w:val="32"/>
          <w:lang w:val="zh-CN"/>
        </w:rPr>
      </w:pPr>
      <w:r>
        <w:rPr>
          <w:rFonts w:ascii="仿宋_GB2312" w:eastAsia="仿宋_GB2312" w:hint="eastAsia"/>
          <w:sz w:val="32"/>
          <w:szCs w:val="32"/>
          <w:lang w:val="zh-CN"/>
        </w:rPr>
        <w:t>总体评价各项目实施单位财务管理制度健全，严格执行财务管理制度，账务处理是及时，会计核算是合法合规。</w:t>
      </w:r>
    </w:p>
    <w:p>
      <w:pPr>
        <w:adjustRightInd w:val="0"/>
        <w:snapToGrid w:val="0"/>
        <w:spacing w:line="600" w:lineRule="exact"/>
        <w:ind w:firstLine="720"/>
        <w:rPr>
          <w:rFonts w:ascii="黑体" w:eastAsia="黑体"/>
          <w:sz w:val="32"/>
          <w:szCs w:val="32"/>
        </w:rPr>
      </w:pPr>
      <w:r>
        <w:rPr>
          <w:rFonts w:ascii="黑体" w:eastAsia="黑体" w:hint="eastAsia"/>
          <w:sz w:val="32"/>
          <w:szCs w:val="32"/>
        </w:rPr>
        <w:t>三、项目实施及管理情况</w:t>
      </w:r>
    </w:p>
    <w:p>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结合项目组织实施管理办法，重点围绕以下内容进行分析评价，并对自评中发现的问题分析说明。</w:t>
      </w:r>
    </w:p>
    <w:p>
      <w:pPr>
        <w:numPr>
          <w:ilvl w:val="0"/>
          <w:numId w:val="6"/>
        </w:numPr>
        <w:adjustRightInd w:val="0"/>
        <w:snapToGrid w:val="0"/>
        <w:spacing w:line="600" w:lineRule="exact"/>
        <w:ind w:left="0" w:firstLine="720"/>
        <w:rPr>
          <w:rFonts w:ascii="楷体_GB2312" w:eastAsia="楷体_GB2312" w:hint="eastAsia"/>
          <w:b/>
          <w:sz w:val="32"/>
          <w:szCs w:val="32"/>
          <w:lang w:val="zh-CN"/>
        </w:rPr>
      </w:pPr>
      <w:r>
        <w:rPr>
          <w:rFonts w:ascii="楷体_GB2312" w:eastAsia="楷体_GB2312" w:hint="eastAsia"/>
          <w:b/>
          <w:sz w:val="32"/>
          <w:szCs w:val="32"/>
          <w:lang w:val="zh-CN"/>
        </w:rPr>
        <w:t>项目组织架构及实施流程。</w:t>
      </w:r>
    </w:p>
    <w:p>
      <w:pPr>
        <w:widowControl/>
        <w:ind w:firstLineChars="200" w:firstLine="640"/>
        <w:textAlignment w:val="center"/>
        <w:rPr>
          <w:rFonts w:ascii="楷体_GB2312" w:eastAsia="楷体_GB2312" w:hint="eastAsia"/>
          <w:b/>
          <w:sz w:val="32"/>
          <w:szCs w:val="32"/>
          <w:lang w:val="zh-CN"/>
        </w:rPr>
      </w:pPr>
      <w:r>
        <w:rPr>
          <w:rFonts w:ascii="仿宋" w:eastAsia="仿宋" w:cs="仿宋" w:hint="eastAsia"/>
          <w:sz w:val="32"/>
          <w:szCs w:val="32"/>
        </w:rPr>
        <w:t>全年针对建档困难职工、开展救助</w:t>
      </w:r>
      <w:r>
        <w:rPr>
          <w:rFonts w:ascii="仿宋" w:eastAsia="仿宋" w:cs="仿宋"/>
          <w:sz w:val="32"/>
          <w:szCs w:val="32"/>
        </w:rPr>
        <w:t>200</w:t>
      </w:r>
      <w:r>
        <w:rPr>
          <w:rFonts w:ascii="仿宋" w:eastAsia="仿宋" w:cs="仿宋" w:hint="eastAsia"/>
          <w:sz w:val="32"/>
          <w:szCs w:val="32"/>
        </w:rPr>
        <w:t>人次，发放生活救助金、医疗救助金及助学金共计</w:t>
      </w:r>
      <w:r>
        <w:rPr>
          <w:rFonts w:ascii="仿宋" w:eastAsia="仿宋" w:cs="仿宋"/>
          <w:sz w:val="32"/>
          <w:szCs w:val="32"/>
        </w:rPr>
        <w:t>50.00</w:t>
      </w:r>
      <w:r>
        <w:rPr>
          <w:rFonts w:ascii="仿宋" w:eastAsia="仿宋" w:cs="仿宋" w:hint="eastAsia"/>
          <w:sz w:val="32"/>
          <w:szCs w:val="32"/>
        </w:rPr>
        <w:t>万元。采取现场发放慰问金及发放银行卡的转账方式发放救助金。</w:t>
      </w:r>
    </w:p>
    <w:p>
      <w:pPr>
        <w:numPr>
          <w:ilvl w:val="0"/>
          <w:numId w:val="6"/>
        </w:numPr>
        <w:adjustRightInd w:val="0"/>
        <w:snapToGrid w:val="0"/>
        <w:spacing w:line="600" w:lineRule="exact"/>
        <w:ind w:left="0" w:firstLine="720"/>
        <w:rPr>
          <w:rFonts w:ascii="楷体_GB2312" w:eastAsia="楷体_GB2312" w:hint="eastAsia"/>
          <w:b/>
          <w:sz w:val="32"/>
          <w:szCs w:val="32"/>
          <w:lang w:val="zh-CN"/>
        </w:rPr>
      </w:pPr>
      <w:r>
        <w:rPr>
          <w:rFonts w:ascii="楷体_GB2312" w:eastAsia="楷体_GB2312" w:hint="eastAsia"/>
          <w:b/>
          <w:sz w:val="32"/>
          <w:szCs w:val="32"/>
          <w:lang w:val="zh-CN"/>
        </w:rPr>
        <w:t>项目管理情况。</w:t>
      </w:r>
    </w:p>
    <w:p>
      <w:pPr>
        <w:adjustRightInd w:val="0"/>
        <w:snapToGrid w:val="0"/>
        <w:spacing w:line="600" w:lineRule="exact"/>
        <w:ind w:firstLineChars="200" w:firstLine="640"/>
        <w:rPr>
          <w:rFonts w:ascii="仿宋" w:eastAsia="仿宋" w:cs="仿宋"/>
          <w:sz w:val="32"/>
          <w:szCs w:val="32"/>
        </w:rPr>
      </w:pPr>
      <w:r>
        <w:rPr>
          <w:rFonts w:ascii="仿宋" w:eastAsia="仿宋" w:cs="仿宋" w:hint="eastAsia"/>
          <w:sz w:val="32"/>
          <w:szCs w:val="32"/>
        </w:rPr>
        <w:t>通过建档情况规范困难职工帮扶资金的用途，采用每年审核的方式规范建档困难职工的标准。</w:t>
      </w:r>
    </w:p>
    <w:p>
      <w:pPr>
        <w:numPr>
          <w:ilvl w:val="0"/>
          <w:numId w:val="6"/>
        </w:numPr>
        <w:adjustRightInd w:val="0"/>
        <w:snapToGrid w:val="0"/>
        <w:spacing w:line="600" w:lineRule="exact"/>
        <w:ind w:left="0" w:firstLine="720"/>
        <w:rPr>
          <w:rFonts w:ascii="楷体_GB2312" w:eastAsia="楷体_GB2312" w:hint="eastAsia"/>
          <w:b/>
          <w:sz w:val="32"/>
          <w:szCs w:val="32"/>
          <w:lang w:val="zh-CN"/>
        </w:rPr>
      </w:pPr>
      <w:r>
        <w:rPr>
          <w:rFonts w:ascii="楷体_GB2312" w:eastAsia="楷体_GB2312" w:hint="eastAsia"/>
          <w:b/>
          <w:sz w:val="32"/>
          <w:szCs w:val="32"/>
          <w:lang w:val="zh-CN"/>
        </w:rPr>
        <w:t>项目监管情况。</w:t>
      </w:r>
    </w:p>
    <w:p>
      <w:pPr>
        <w:spacing w:line="580" w:lineRule="exact"/>
        <w:ind w:firstLineChars="200" w:firstLine="640"/>
        <w:rPr>
          <w:rFonts w:ascii="仿宋" w:eastAsia="仿宋" w:cs="仿宋"/>
          <w:sz w:val="32"/>
          <w:szCs w:val="32"/>
        </w:rPr>
      </w:pPr>
      <w:r>
        <w:rPr>
          <w:rFonts w:ascii="仿宋" w:eastAsia="仿宋" w:cs="仿宋" w:hint="eastAsia"/>
          <w:sz w:val="32"/>
          <w:szCs w:val="32"/>
        </w:rPr>
        <w:t>采用实地走访的方式，规范困难职工建档标准，在每次发放救助金后，针对救助开展效果选取受众对象进行电话询问，保障资金全部到达困难职工家庭。</w:t>
      </w:r>
    </w:p>
    <w:p>
      <w:pPr>
        <w:adjustRightInd w:val="0"/>
        <w:snapToGrid w:val="0"/>
        <w:spacing w:line="600" w:lineRule="exact"/>
        <w:ind w:firstLine="720"/>
        <w:rPr>
          <w:rFonts w:ascii="仿宋_GB2312" w:eastAsia="仿宋_GB2312"/>
          <w:sz w:val="32"/>
          <w:szCs w:val="32"/>
          <w:lang w:val="zh-CN"/>
        </w:rPr>
      </w:pPr>
      <w:r>
        <w:rPr>
          <w:rFonts w:ascii="黑体" w:eastAsia="黑体" w:hint="eastAsia"/>
          <w:sz w:val="32"/>
          <w:szCs w:val="32"/>
        </w:rPr>
        <w:t>四、项目绩效情况</w:t>
      </w:r>
      <w:r>
        <w:rPr>
          <w:rFonts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（一）项目完成情况。</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20</w:t>
      </w:r>
      <w:r>
        <w:rPr>
          <w:rFonts w:ascii="仿宋_GB2312" w:eastAsia="仿宋_GB2312" w:hint="eastAsia"/>
          <w:sz w:val="32"/>
          <w:szCs w:val="32"/>
        </w:rPr>
        <w:t>20</w:t>
      </w:r>
      <w:r>
        <w:rPr>
          <w:rFonts w:ascii="仿宋_GB2312" w:eastAsia="仿宋_GB2312" w:hint="eastAsia"/>
          <w:sz w:val="32"/>
          <w:szCs w:val="32"/>
          <w:lang w:val="zh-CN"/>
        </w:rPr>
        <w:t>年</w:t>
      </w:r>
      <w:r>
        <w:rPr>
          <w:rFonts w:ascii="仿宋_GB2312" w:eastAsia="仿宋_GB2312"/>
          <w:sz w:val="32"/>
          <w:szCs w:val="32"/>
          <w:lang w:val="zh-CN"/>
        </w:rPr>
        <w:t>12</w:t>
      </w:r>
      <w:r>
        <w:rPr>
          <w:rFonts w:ascii="仿宋_GB2312" w:eastAsia="仿宋_GB2312" w:hint="eastAsia"/>
          <w:sz w:val="32"/>
          <w:szCs w:val="32"/>
          <w:lang w:val="zh-CN"/>
        </w:rPr>
        <w:t>月</w:t>
      </w:r>
      <w:r>
        <w:rPr>
          <w:rFonts w:ascii="仿宋_GB2312" w:eastAsia="仿宋_GB2312"/>
          <w:sz w:val="32"/>
          <w:szCs w:val="32"/>
          <w:lang w:val="zh-CN"/>
        </w:rPr>
        <w:t>31</w:t>
      </w:r>
      <w:r>
        <w:rPr>
          <w:rFonts w:ascii="仿宋_GB2312" w:eastAsia="仿宋_GB2312" w:hint="eastAsia"/>
          <w:sz w:val="32"/>
          <w:szCs w:val="32"/>
          <w:lang w:val="zh-CN"/>
        </w:rPr>
        <w:t>日前，帮扶救助建档困难职工总数</w:t>
      </w:r>
      <w:r>
        <w:rPr>
          <w:rFonts w:ascii="仿宋_GB2312" w:eastAsia="仿宋_GB2312"/>
          <w:sz w:val="32"/>
          <w:szCs w:val="32"/>
          <w:lang w:val="zh-CN"/>
        </w:rPr>
        <w:t>200</w:t>
      </w:r>
      <w:r>
        <w:rPr>
          <w:rFonts w:ascii="仿宋_GB2312" w:eastAsia="仿宋_GB2312" w:hint="eastAsia"/>
          <w:sz w:val="32"/>
          <w:szCs w:val="32"/>
          <w:lang w:val="zh-CN"/>
        </w:rPr>
        <w:t>户，</w:t>
      </w:r>
      <w:r>
        <w:rPr>
          <w:rFonts w:ascii="仿宋_GB2312" w:eastAsia="仿宋_GB2312"/>
          <w:sz w:val="32"/>
          <w:szCs w:val="32"/>
          <w:lang w:val="zh-CN"/>
        </w:rPr>
        <w:t>50</w:t>
      </w:r>
      <w:r>
        <w:rPr>
          <w:rFonts w:ascii="仿宋_GB2312" w:eastAsia="仿宋_GB2312" w:hint="eastAsia"/>
          <w:sz w:val="32"/>
          <w:szCs w:val="32"/>
          <w:lang w:val="zh-CN"/>
        </w:rPr>
        <w:t>万帮扶救助资金全部使用完毕，采取当年不低于</w:t>
      </w:r>
      <w:r>
        <w:rPr>
          <w:rFonts w:ascii="仿宋_GB2312" w:eastAsia="仿宋_GB2312"/>
          <w:sz w:val="32"/>
          <w:szCs w:val="32"/>
          <w:lang w:val="zh-CN"/>
        </w:rPr>
        <w:t>2000</w:t>
      </w:r>
      <w:r>
        <w:rPr>
          <w:rFonts w:ascii="仿宋_GB2312" w:eastAsia="仿宋_GB2312" w:hint="eastAsia"/>
          <w:sz w:val="32"/>
          <w:szCs w:val="32"/>
          <w:lang w:val="zh-CN"/>
        </w:rPr>
        <w:t>元不高于低保</w:t>
      </w:r>
      <w:r>
        <w:rPr>
          <w:rFonts w:ascii="仿宋_GB2312" w:eastAsia="仿宋_GB2312"/>
          <w:sz w:val="32"/>
          <w:szCs w:val="32"/>
          <w:lang w:val="zh-CN"/>
        </w:rPr>
        <w:t>12</w:t>
      </w:r>
      <w:r>
        <w:rPr>
          <w:rFonts w:ascii="仿宋_GB2312" w:eastAsia="仿宋_GB2312" w:hint="eastAsia"/>
          <w:sz w:val="32"/>
          <w:szCs w:val="32"/>
          <w:lang w:val="zh-CN"/>
        </w:rPr>
        <w:t>个月的标准给予每户建档困难职工、农民工发放救助。</w:t>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（二）项目效益情况。</w:t>
      </w:r>
    </w:p>
    <w:p>
      <w:pPr>
        <w:widowControl/>
        <w:ind w:firstLineChars="200" w:firstLine="640"/>
        <w:textAlignment w:val="center"/>
        <w:rPr>
          <w:rFonts w:ascii="仿宋" w:eastAsia="仿宋" w:cs="仿宋"/>
          <w:sz w:val="32"/>
          <w:szCs w:val="32"/>
        </w:rPr>
      </w:pPr>
      <w:r>
        <w:rPr>
          <w:rFonts w:ascii="仿宋_GB2312" w:eastAsia="仿宋_GB2312" w:hint="eastAsia"/>
          <w:sz w:val="32"/>
          <w:szCs w:val="32"/>
          <w:lang w:val="zh-CN"/>
        </w:rPr>
        <w:t>实现</w:t>
      </w:r>
      <w:r>
        <w:rPr>
          <w:rFonts w:ascii="仿宋" w:eastAsia="仿宋" w:cs="仿宋" w:hint="eastAsia"/>
          <w:sz w:val="32"/>
          <w:szCs w:val="32"/>
        </w:rPr>
        <w:t>助力困难职工解困脱困，采取多种帮扶措施，解决困难职工生活中燃眉之急，力促困难职工生活有保障。全年针对建档困难职工、开展救助</w:t>
      </w:r>
      <w:r>
        <w:rPr>
          <w:rFonts w:ascii="仿宋" w:eastAsia="仿宋" w:cs="仿宋"/>
          <w:sz w:val="32"/>
          <w:szCs w:val="32"/>
        </w:rPr>
        <w:t>200</w:t>
      </w:r>
      <w:r>
        <w:rPr>
          <w:rFonts w:ascii="仿宋" w:eastAsia="仿宋" w:cs="仿宋" w:hint="eastAsia"/>
          <w:sz w:val="32"/>
          <w:szCs w:val="32"/>
        </w:rPr>
        <w:t>人次，发放生活救助金、医疗救助金及助学金共计</w:t>
      </w:r>
      <w:r>
        <w:rPr>
          <w:rFonts w:ascii="仿宋" w:eastAsia="仿宋" w:cs="仿宋"/>
          <w:sz w:val="32"/>
          <w:szCs w:val="32"/>
        </w:rPr>
        <w:t>50.00</w:t>
      </w:r>
      <w:r>
        <w:rPr>
          <w:rFonts w:ascii="仿宋" w:eastAsia="仿宋" w:cs="仿宋" w:hint="eastAsia"/>
          <w:sz w:val="32"/>
          <w:szCs w:val="32"/>
        </w:rPr>
        <w:t>万元。缓解贫困职工家庭生活的压力，在强化服务职工群众宗旨中凝聚民心。</w:t>
      </w:r>
    </w:p>
    <w:p>
      <w:pPr>
        <w:adjustRightInd w:val="0"/>
        <w:snapToGrid w:val="0"/>
        <w:spacing w:line="600" w:lineRule="exact"/>
        <w:ind w:firstLine="720"/>
        <w:rPr>
          <w:rFonts w:ascii="黑体" w:eastAsia="黑体"/>
          <w:sz w:val="32"/>
          <w:szCs w:val="32"/>
        </w:rPr>
      </w:pPr>
      <w:r>
        <w:rPr>
          <w:rFonts w:ascii="黑体" w:eastAsia="黑体" w:hint="eastAsia"/>
          <w:sz w:val="32"/>
          <w:szCs w:val="32"/>
        </w:rPr>
        <w:t>五、评价结论及建议</w:t>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（一）评价结论。</w:t>
      </w:r>
    </w:p>
    <w:p>
      <w:pPr>
        <w:spacing w:line="580" w:lineRule="exact"/>
        <w:ind w:firstLineChars="200" w:firstLine="640"/>
        <w:rPr>
          <w:rFonts w:ascii="仿宋" w:eastAsia="仿宋"/>
          <w:sz w:val="32"/>
          <w:szCs w:val="32"/>
        </w:rPr>
      </w:pPr>
      <w:r>
        <w:rPr>
          <w:rFonts w:ascii="仿宋" w:eastAsia="仿宋" w:cs="仿宋" w:hint="eastAsia"/>
          <w:sz w:val="32"/>
          <w:szCs w:val="32"/>
        </w:rPr>
        <w:t>项目符合党中央、国务院和省委、省政府及市委、市政府关于对工会工作的要求，符合工会工作职责要求。绩效目标设置明确、合理。助力困难职工解困脱困，解决困难职工生活中燃眉之急，力促困难职工生活有保障，把党委、政府和工会的真切关怀送到职工的心坎上。</w:t>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（二）存在的问题。</w:t>
      </w:r>
    </w:p>
    <w:p>
      <w:pPr>
        <w:spacing w:line="560" w:lineRule="exact"/>
        <w:ind w:firstLineChars="200" w:firstLine="640"/>
        <w:rPr>
          <w:rFonts w:ascii="仿宋" w:eastAsia="仿宋"/>
          <w:b/>
          <w:bCs/>
          <w:color w:val="000000"/>
          <w:sz w:val="32"/>
          <w:szCs w:val="32"/>
        </w:rPr>
      </w:pPr>
      <w:r>
        <w:rPr>
          <w:rFonts w:ascii="仿宋" w:eastAsia="仿宋" w:cs="仿宋" w:hint="eastAsia"/>
          <w:sz w:val="32"/>
          <w:szCs w:val="32"/>
        </w:rPr>
        <w:t>通过项目经费的使用，</w:t>
      </w:r>
      <w:r>
        <w:rPr>
          <w:rFonts w:ascii="仿宋_GB2312" w:eastAsia="仿宋_GB2312" w:cs="仿宋_GB2312" w:hint="eastAsia"/>
          <w:sz w:val="32"/>
          <w:szCs w:val="32"/>
        </w:rPr>
        <w:t>缓解贫困职工家庭生活的压力，</w:t>
      </w:r>
      <w:r>
        <w:rPr>
          <w:rFonts w:ascii="仿宋" w:eastAsia="仿宋" w:cs="仿宋" w:hint="eastAsia"/>
          <w:sz w:val="32"/>
          <w:szCs w:val="32"/>
        </w:rPr>
        <w:t>在维护社会和谐稳定中发挥了作用，应该提升相关科室绩效运行监控管理机制，认真做好绩效监控工作，确保达到预期效果。</w:t>
      </w:r>
    </w:p>
    <w:p>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（三）相关建议。</w:t>
      </w:r>
    </w:p>
    <w:p>
      <w:pPr>
        <w:spacing w:line="580" w:lineRule="exact"/>
        <w:ind w:firstLineChars="200" w:firstLine="640"/>
        <w:rPr>
          <w:rFonts w:ascii="仿宋" w:eastAsia="仿宋" w:cs="仿宋"/>
          <w:sz w:val="32"/>
          <w:szCs w:val="32"/>
        </w:rPr>
      </w:pPr>
      <w:r>
        <w:rPr>
          <w:rFonts w:ascii="仿宋" w:eastAsia="仿宋" w:cs="仿宋_GB2312" w:hint="eastAsia"/>
          <w:sz w:val="32"/>
          <w:szCs w:val="32"/>
        </w:rPr>
        <w:t>加大对财政资金支出绩效评价工作的培训力度，</w:t>
      </w:r>
      <w:r>
        <w:rPr>
          <w:rFonts w:ascii="仿宋" w:eastAsia="仿宋" w:cs="仿宋" w:hint="eastAsia"/>
          <w:sz w:val="32"/>
          <w:szCs w:val="32"/>
        </w:rPr>
        <w:t>提升业务能力；加强建章立制，作为部门工作的重点，强化工作人员绩效意识，齐抓共管，共同做好绩效工作。</w:t>
      </w:r>
    </w:p>
    <w:p>
      <w:pPr>
        <w:spacing w:line="580" w:lineRule="exact"/>
        <w:ind w:firstLine="640"/>
        <w:rPr>
          <w:rFonts w:ascii="仿宋_GB2312" w:eastAsia="仿宋_GB2312" w:cs="仿宋_GB2312"/>
          <w:sz w:val="32"/>
          <w:szCs w:val="32"/>
        </w:rPr>
      </w:pPr>
    </w:p>
    <w:p>
      <w:pPr>
        <w:spacing w:line="580" w:lineRule="exact"/>
        <w:ind w:firstLine="640"/>
        <w:rPr>
          <w:rFonts w:ascii="仿宋_GB2312" w:eastAsia="仿宋_GB2312" w:cs="仿宋_GB2312"/>
          <w:sz w:val="32"/>
          <w:szCs w:val="32"/>
        </w:rPr>
      </w:pPr>
    </w:p>
    <w:p>
      <w:pPr>
        <w:widowControl/>
        <w:jc w:val="left"/>
        <w:rPr>
          <w:rStyle w:val="1Char"/>
          <w:rFonts w:ascii="黑体" w:eastAsia="黑体"/>
          <w:b w:val="0"/>
        </w:rPr>
      </w:pPr>
    </w:p>
    <w:p>
      <w:pPr>
        <w:widowControl/>
        <w:jc w:val="left"/>
        <w:rPr>
          <w:rStyle w:val="1Char"/>
          <w:rFonts w:ascii="黑体" w:eastAsia="黑体"/>
          <w:b w:val="0"/>
        </w:rPr>
      </w:pPr>
      <w:r>
        <w:rPr>
          <w:rStyle w:val="1Char"/>
          <w:rFonts w:ascii="黑体" w:eastAsia="黑体"/>
          <w:b w:val="0"/>
        </w:rPr>
        <w:br w:type="page"/>
      </w:r>
    </w:p>
    <w:p>
      <w:pPr>
        <w:spacing w:line="600" w:lineRule="exact"/>
        <w:jc w:val="center"/>
        <w:outlineLvl w:val="0"/>
        <w:rPr>
          <w:rStyle w:val="1Char"/>
          <w:rFonts w:ascii="黑体" w:eastAsia="黑体"/>
          <w:b w:val="0"/>
        </w:rPr>
      </w:pPr>
    </w:p>
    <w:p>
      <w:pPr>
        <w:spacing w:line="600" w:lineRule="exact"/>
        <w:jc w:val="center"/>
        <w:outlineLvl w:val="0"/>
        <w:rPr>
          <w:rStyle w:val="1Char"/>
          <w:rFonts w:ascii="黑体" w:eastAsia="黑体"/>
          <w:b w:val="0"/>
        </w:rPr>
      </w:pPr>
      <w:bookmarkStart w:id="60" w:name="_Toc15396618"/>
      <w:r>
        <w:rPr>
          <w:rFonts w:ascii="黑体" w:eastAsia="黑体" w:hint="eastAsia"/>
          <w:color w:val="000000"/>
          <w:sz w:val="44"/>
          <w:szCs w:val="44"/>
        </w:rPr>
        <w:t>第</w:t>
      </w:r>
      <w:r>
        <w:rPr>
          <w:rStyle w:val="1Char"/>
          <w:rFonts w:ascii="黑体" w:eastAsia="黑体" w:hint="eastAsia"/>
          <w:b w:val="0"/>
        </w:rPr>
        <w:t>五部分</w:t>
      </w:r>
      <w:r>
        <w:rPr>
          <w:rStyle w:val="1Char"/>
          <w:rFonts w:ascii="黑体" w:eastAsia="黑体"/>
          <w:b w:val="0"/>
        </w:rPr>
        <w:t xml:space="preserve"> </w:t>
      </w:r>
      <w:r>
        <w:rPr>
          <w:rStyle w:val="1Char"/>
          <w:rFonts w:ascii="黑体" w:eastAsia="黑体" w:hint="eastAsia"/>
          <w:b w:val="0"/>
        </w:rPr>
        <w:t>附表</w:t>
      </w:r>
      <w:bookmarkEnd w:id="58"/>
      <w:bookmarkEnd w:id="60"/>
    </w:p>
    <w:p>
      <w:pPr>
        <w:spacing w:line="600" w:lineRule="exact"/>
        <w:jc w:val="center"/>
        <w:outlineLvl w:val="0"/>
        <w:rPr>
          <w:rFonts w:ascii="仿宋" w:eastAsia="仿宋"/>
          <w:b/>
          <w:color w:val="000000"/>
          <w:sz w:val="44"/>
          <w:szCs w:val="44"/>
        </w:rPr>
      </w:pPr>
    </w:p>
    <w:p>
      <w:pPr>
        <w:pStyle w:val="2"/>
        <w:rPr>
          <w:rFonts w:ascii="仿宋" w:eastAsia="仿宋"/>
          <w:color w:val="000000"/>
        </w:rPr>
      </w:pPr>
      <w:bookmarkStart w:id="61" w:name="_Toc15396619"/>
      <w:r>
        <w:rPr>
          <w:rFonts w:ascii="仿宋" w:eastAsia="仿宋" w:hint="eastAsia"/>
          <w:b w:val="0"/>
          <w:color w:val="000000"/>
        </w:rPr>
        <w:t>一、收</w:t>
      </w:r>
      <w:r>
        <w:rPr>
          <w:rStyle w:val="2Char"/>
          <w:rFonts w:ascii="仿宋" w:eastAsia="仿宋" w:hint="eastAsia"/>
        </w:rPr>
        <w:t>入支出决算总表</w:t>
      </w:r>
      <w:bookmarkEnd w:id="61"/>
    </w:p>
    <w:p>
      <w:pPr>
        <w:pStyle w:val="2"/>
        <w:rPr>
          <w:rFonts w:ascii="仿宋" w:eastAsia="仿宋"/>
          <w:color w:val="000000"/>
        </w:rPr>
      </w:pPr>
      <w:bookmarkStart w:id="62" w:name="_Toc15396620"/>
      <w:r>
        <w:rPr>
          <w:rFonts w:ascii="仿宋" w:eastAsia="仿宋" w:hint="eastAsia"/>
          <w:b w:val="0"/>
          <w:color w:val="000000"/>
        </w:rPr>
        <w:t>二、收</w:t>
      </w:r>
      <w:r>
        <w:rPr>
          <w:rStyle w:val="2Char"/>
          <w:rFonts w:ascii="仿宋" w:eastAsia="仿宋" w:hint="eastAsia"/>
        </w:rPr>
        <w:t>入决算表</w:t>
      </w:r>
      <w:bookmarkEnd w:id="62"/>
    </w:p>
    <w:p>
      <w:pPr>
        <w:pStyle w:val="2"/>
        <w:rPr>
          <w:rFonts w:ascii="仿宋" w:eastAsia="仿宋"/>
          <w:color w:val="000000"/>
        </w:rPr>
      </w:pPr>
      <w:bookmarkStart w:id="63" w:name="_Toc15396621"/>
      <w:r>
        <w:rPr>
          <w:rStyle w:val="2Char"/>
          <w:rFonts w:ascii="仿宋" w:eastAsia="仿宋" w:hint="eastAsia"/>
        </w:rPr>
        <w:t>三、</w:t>
      </w:r>
      <w:r>
        <w:rPr>
          <w:rFonts w:ascii="仿宋" w:eastAsia="仿宋" w:hint="eastAsia"/>
          <w:b w:val="0"/>
          <w:color w:val="000000"/>
        </w:rPr>
        <w:t>支</w:t>
      </w:r>
      <w:r>
        <w:rPr>
          <w:rStyle w:val="2Char"/>
          <w:rFonts w:ascii="仿宋" w:eastAsia="仿宋" w:hint="eastAsia"/>
        </w:rPr>
        <w:t>出决算表</w:t>
      </w:r>
      <w:bookmarkEnd w:id="63"/>
    </w:p>
    <w:p>
      <w:pPr>
        <w:pStyle w:val="2"/>
        <w:rPr>
          <w:rFonts w:ascii="仿宋" w:eastAsia="仿宋"/>
          <w:b w:val="0"/>
          <w:color w:val="000000"/>
        </w:rPr>
      </w:pPr>
      <w:bookmarkStart w:id="64" w:name="_Toc15396622"/>
      <w:r>
        <w:rPr>
          <w:rStyle w:val="2Char"/>
          <w:rFonts w:ascii="仿宋" w:eastAsia="仿宋" w:hint="eastAsia"/>
        </w:rPr>
        <w:t>四、</w:t>
      </w:r>
      <w:r>
        <w:rPr>
          <w:rFonts w:ascii="仿宋" w:eastAsia="仿宋" w:hint="eastAsia"/>
          <w:b w:val="0"/>
          <w:color w:val="000000"/>
        </w:rPr>
        <w:t>财</w:t>
      </w:r>
      <w:r>
        <w:rPr>
          <w:rStyle w:val="2Char"/>
          <w:rFonts w:ascii="仿宋" w:eastAsia="仿宋" w:hint="eastAsia"/>
        </w:rPr>
        <w:t>政拨款收入支出决算总表</w:t>
      </w:r>
      <w:bookmarkEnd w:id="64"/>
    </w:p>
    <w:p>
      <w:pPr>
        <w:pStyle w:val="2"/>
        <w:rPr>
          <w:rStyle w:val="2Char"/>
          <w:rFonts w:ascii="仿宋" w:eastAsia="仿宋"/>
        </w:rPr>
      </w:pPr>
      <w:bookmarkStart w:id="65" w:name="_Toc15396623"/>
      <w:r>
        <w:rPr>
          <w:rStyle w:val="2Char"/>
          <w:rFonts w:ascii="仿宋" w:eastAsia="仿宋" w:hint="eastAsia"/>
        </w:rPr>
        <w:t>五、</w:t>
      </w:r>
      <w:r>
        <w:rPr>
          <w:rFonts w:ascii="仿宋" w:eastAsia="仿宋" w:hint="eastAsia"/>
          <w:b w:val="0"/>
          <w:color w:val="000000"/>
        </w:rPr>
        <w:t>财</w:t>
      </w:r>
      <w:r>
        <w:rPr>
          <w:rStyle w:val="2Char"/>
          <w:rFonts w:ascii="仿宋" w:eastAsia="仿宋" w:hint="eastAsia"/>
        </w:rPr>
        <w:t>政拨款支出决算明细表</w:t>
      </w:r>
      <w:bookmarkStart w:id="66" w:name="_Toc15396624"/>
      <w:bookmarkEnd w:id="65"/>
    </w:p>
    <w:p>
      <w:pPr>
        <w:pStyle w:val="2"/>
        <w:rPr>
          <w:rFonts w:ascii="仿宋" w:eastAsia="仿宋"/>
          <w:color w:val="000000"/>
        </w:rPr>
      </w:pPr>
      <w:r>
        <w:rPr>
          <w:rStyle w:val="2Char"/>
          <w:rFonts w:ascii="仿宋" w:eastAsia="仿宋" w:hint="eastAsia"/>
        </w:rPr>
        <w:t>六、</w:t>
      </w:r>
      <w:r>
        <w:rPr>
          <w:rFonts w:ascii="仿宋" w:eastAsia="仿宋" w:hint="eastAsia"/>
          <w:b w:val="0"/>
          <w:color w:val="000000"/>
        </w:rPr>
        <w:t>一</w:t>
      </w:r>
      <w:r>
        <w:rPr>
          <w:rStyle w:val="2Char"/>
          <w:rFonts w:ascii="仿宋" w:eastAsia="仿宋" w:hint="eastAsia"/>
        </w:rPr>
        <w:t>般公共预算财政拨款支出决算表</w:t>
      </w:r>
      <w:bookmarkEnd w:id="66"/>
    </w:p>
    <w:p>
      <w:pPr>
        <w:pStyle w:val="2"/>
        <w:rPr>
          <w:rFonts w:ascii="仿宋" w:eastAsia="仿宋"/>
          <w:color w:val="000000"/>
        </w:rPr>
      </w:pPr>
      <w:bookmarkStart w:id="67" w:name="_Toc15396625"/>
      <w:r>
        <w:rPr>
          <w:rStyle w:val="2Char"/>
          <w:rFonts w:ascii="仿宋" w:eastAsia="仿宋" w:hint="eastAsia"/>
        </w:rPr>
        <w:t>七、</w:t>
      </w:r>
      <w:r>
        <w:rPr>
          <w:rFonts w:ascii="仿宋" w:eastAsia="仿宋" w:hint="eastAsia"/>
          <w:b w:val="0"/>
          <w:color w:val="000000"/>
        </w:rPr>
        <w:t>一</w:t>
      </w:r>
      <w:r>
        <w:rPr>
          <w:rStyle w:val="2Char"/>
          <w:rFonts w:ascii="仿宋" w:eastAsia="仿宋" w:hint="eastAsia"/>
        </w:rPr>
        <w:t>般公共预算财政拨款支出决算明细表</w:t>
      </w:r>
      <w:bookmarkEnd w:id="67"/>
    </w:p>
    <w:p>
      <w:pPr>
        <w:pStyle w:val="2"/>
        <w:rPr>
          <w:rFonts w:ascii="仿宋" w:eastAsia="仿宋"/>
          <w:color w:val="000000"/>
        </w:rPr>
      </w:pPr>
      <w:bookmarkStart w:id="68" w:name="_Toc15396626"/>
      <w:r>
        <w:rPr>
          <w:rStyle w:val="2Char"/>
          <w:rFonts w:ascii="仿宋" w:eastAsia="仿宋" w:hint="eastAsia"/>
        </w:rPr>
        <w:t>八、</w:t>
      </w:r>
      <w:r>
        <w:rPr>
          <w:rFonts w:ascii="仿宋" w:eastAsia="仿宋" w:hint="eastAsia"/>
          <w:b w:val="0"/>
          <w:color w:val="000000"/>
        </w:rPr>
        <w:t>一</w:t>
      </w:r>
      <w:r>
        <w:rPr>
          <w:rStyle w:val="2Char"/>
          <w:rFonts w:ascii="仿宋" w:eastAsia="仿宋" w:hint="eastAsia"/>
        </w:rPr>
        <w:t>般公共预算财政拨款基本支出决算表</w:t>
      </w:r>
      <w:bookmarkEnd w:id="68"/>
    </w:p>
    <w:p>
      <w:pPr>
        <w:pStyle w:val="2"/>
        <w:rPr>
          <w:rFonts w:ascii="仿宋" w:eastAsia="仿宋"/>
          <w:color w:val="000000"/>
        </w:rPr>
      </w:pPr>
      <w:bookmarkStart w:id="69" w:name="_Toc15396627"/>
      <w:r>
        <w:rPr>
          <w:rStyle w:val="2Char"/>
          <w:rFonts w:ascii="仿宋" w:eastAsia="仿宋" w:hint="eastAsia"/>
        </w:rPr>
        <w:t>九、</w:t>
      </w:r>
      <w:r>
        <w:rPr>
          <w:rFonts w:ascii="仿宋" w:eastAsia="仿宋" w:hint="eastAsia"/>
          <w:b w:val="0"/>
          <w:color w:val="000000"/>
        </w:rPr>
        <w:t>一</w:t>
      </w:r>
      <w:r>
        <w:rPr>
          <w:rStyle w:val="2Char"/>
          <w:rFonts w:ascii="仿宋" w:eastAsia="仿宋" w:hint="eastAsia"/>
        </w:rPr>
        <w:t>般公共预算财政拨款项目支出决算表</w:t>
      </w:r>
      <w:bookmarkEnd w:id="69"/>
    </w:p>
    <w:p>
      <w:pPr>
        <w:pStyle w:val="2"/>
        <w:rPr>
          <w:rFonts w:ascii="仿宋" w:eastAsia="仿宋"/>
          <w:color w:val="000000"/>
        </w:rPr>
      </w:pPr>
      <w:bookmarkStart w:id="70" w:name="_Toc15396628"/>
      <w:r>
        <w:rPr>
          <w:rStyle w:val="2Char"/>
          <w:rFonts w:ascii="仿宋" w:eastAsia="仿宋" w:hint="eastAsia"/>
        </w:rPr>
        <w:t>十、</w:t>
      </w:r>
      <w:r>
        <w:rPr>
          <w:rFonts w:ascii="仿宋" w:eastAsia="仿宋" w:hint="eastAsia"/>
          <w:b w:val="0"/>
          <w:color w:val="000000"/>
        </w:rPr>
        <w:t>一</w:t>
      </w:r>
      <w:r>
        <w:rPr>
          <w:rStyle w:val="2Char"/>
          <w:rFonts w:ascii="仿宋" w:eastAsia="仿宋" w:hint="eastAsia"/>
        </w:rPr>
        <w:t>般公共预算财政拨款“三公”经费支出决算表</w:t>
      </w:r>
      <w:bookmarkEnd w:id="70"/>
      <w:r>
        <w:rPr>
          <w:rStyle w:val="2Char"/>
          <w:rFonts w:ascii="仿宋" w:eastAsia="仿宋" w:hint="eastAsia"/>
        </w:rPr>
        <w:t>（此表无数据）</w:t>
      </w:r>
    </w:p>
    <w:p>
      <w:pPr>
        <w:pStyle w:val="2"/>
        <w:rPr>
          <w:rFonts w:ascii="仿宋" w:eastAsia="仿宋"/>
          <w:color w:val="000000"/>
        </w:rPr>
      </w:pPr>
      <w:bookmarkStart w:id="71" w:name="_Toc15396629"/>
      <w:r>
        <w:rPr>
          <w:rStyle w:val="2Char"/>
          <w:rFonts w:ascii="仿宋" w:eastAsia="仿宋" w:hint="eastAsia"/>
        </w:rPr>
        <w:t>十一、</w:t>
      </w:r>
      <w:r>
        <w:rPr>
          <w:rFonts w:ascii="仿宋" w:eastAsia="仿宋" w:hint="eastAsia"/>
          <w:b w:val="0"/>
          <w:color w:val="000000"/>
        </w:rPr>
        <w:t>政</w:t>
      </w:r>
      <w:r>
        <w:rPr>
          <w:rStyle w:val="2Char"/>
          <w:rFonts w:ascii="仿宋" w:eastAsia="仿宋" w:hint="eastAsia"/>
        </w:rPr>
        <w:t>府性基金预算财政拨款收入支出决算表</w:t>
      </w:r>
      <w:bookmarkEnd w:id="71"/>
    </w:p>
    <w:p>
      <w:pPr>
        <w:pStyle w:val="2"/>
        <w:rPr>
          <w:rFonts w:ascii="仿宋" w:eastAsia="仿宋"/>
          <w:color w:val="000000"/>
        </w:rPr>
      </w:pPr>
      <w:bookmarkStart w:id="72" w:name="_Toc15396630"/>
      <w:r>
        <w:rPr>
          <w:rStyle w:val="2Char"/>
          <w:rFonts w:ascii="仿宋" w:eastAsia="仿宋" w:hint="eastAsia"/>
        </w:rPr>
        <w:t>十二、</w:t>
      </w:r>
      <w:r>
        <w:rPr>
          <w:rFonts w:ascii="仿宋" w:eastAsia="仿宋" w:hint="eastAsia"/>
          <w:b w:val="0"/>
          <w:color w:val="000000"/>
        </w:rPr>
        <w:t>政</w:t>
      </w:r>
      <w:r>
        <w:rPr>
          <w:rStyle w:val="2Char"/>
          <w:rFonts w:ascii="仿宋" w:eastAsia="仿宋" w:hint="eastAsia"/>
        </w:rPr>
        <w:t>府性基金预算财政拨款“三公”经费支出决算表</w:t>
      </w:r>
      <w:bookmarkEnd w:id="72"/>
      <w:r>
        <w:rPr>
          <w:rStyle w:val="2Char"/>
          <w:rFonts w:ascii="仿宋" w:eastAsia="仿宋" w:hint="eastAsia"/>
        </w:rPr>
        <w:t>（此表无数据）</w:t>
      </w:r>
    </w:p>
    <w:p>
      <w:pPr>
        <w:pStyle w:val="2"/>
        <w:rPr>
          <w:rFonts w:ascii="仿宋" w:eastAsia="仿宋"/>
          <w:color w:val="000000"/>
        </w:rPr>
      </w:pPr>
      <w:bookmarkStart w:id="73" w:name="_Toc15396631"/>
      <w:r>
        <w:rPr>
          <w:rStyle w:val="2Char"/>
          <w:rFonts w:ascii="仿宋" w:eastAsia="仿宋" w:hint="eastAsia"/>
        </w:rPr>
        <w:t>十三、</w:t>
      </w:r>
      <w:r>
        <w:rPr>
          <w:rFonts w:ascii="仿宋" w:eastAsia="仿宋" w:hint="eastAsia"/>
          <w:b w:val="0"/>
          <w:color w:val="000000"/>
        </w:rPr>
        <w:t>国</w:t>
      </w:r>
      <w:r>
        <w:rPr>
          <w:rStyle w:val="2Char"/>
          <w:rFonts w:ascii="仿宋" w:eastAsia="仿宋" w:hint="eastAsia"/>
        </w:rPr>
        <w:t>有资本经营预算财政拨款支出决算表</w:t>
      </w:r>
      <w:bookmarkEnd w:id="73"/>
      <w:r>
        <w:rPr>
          <w:rStyle w:val="2Char"/>
          <w:rFonts w:ascii="仿宋" w:eastAsia="仿宋" w:hint="eastAsia"/>
        </w:rPr>
        <w:t>（此表无数据）</w:t>
      </w:r>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Calibri">
    <w:altName w:val="DejaVu Sans"/>
    <w:panose1 w:val="020F0502020204030204"/>
    <w:charset w:val="00"/>
    <w:family w:val="swiss"/>
    <w:pitch w:val="variable"/>
    <w:sig w:usb0="E0002EFF" w:usb1="C000247B" w:usb2="00000009" w:usb3="00000000" w:csb0="000001FF" w:csb1="00000000"/>
  </w:font>
  <w:font w:name="楷体_GB2312">
    <w:altName w:val="楷体"/>
    <w:panose1 w:val="00000000000000000000"/>
    <w:charset w:val="86"/>
    <w:family w:val="auto"/>
    <w:pitch w:val="variable"/>
    <w:sig w:usb0="00000001" w:usb1="080E0000" w:usb2="00000000" w:usb3="00000000" w:csb0="00040000" w:csb1="00000000"/>
  </w:font>
  <w:font w:name="宋体">
    <w:altName w:val="方正兰亭黑_GBK"/>
    <w:panose1 w:val="02010600030101010101"/>
    <w:charset w:val="86"/>
    <w:family w:val="auto"/>
    <w:pitch w:val="variable"/>
    <w:sig w:usb0="00000003" w:usb1="288F0000" w:usb2="00000016" w:usb3="00000000" w:csb0="00040001" w:csb1="00000000"/>
  </w:font>
  <w:font w:name="Times New Roman">
    <w:altName w:val="DejaVu Sans"/>
    <w:panose1 w:val="02020603050405020304"/>
    <w:charset w:val="00"/>
    <w:family w:val="roman"/>
    <w:pitch w:val="variable"/>
    <w:sig w:usb0="E0002EFF" w:usb1="C000785B" w:usb2="00000009" w:usb3="00000000" w:csb0="000001FF" w:csb1="00000000"/>
  </w:font>
  <w:font w:name="Cambria">
    <w:altName w:val="DejaVu Sans"/>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center"/>
    </w:pPr>
    <w:r>
      <w:fldChar w:fldCharType="begin"/>
    </w:r>
    <w:r>
      <w:instrText>PAGE   \* MERGEFORMAT</w:instrText>
    </w:r>
    <w:r>
      <w:fldChar w:fldCharType="separate"/>
    </w:r>
    <w:r>
      <w:rPr>
        <w:lang w:val="zh-CN" w:eastAsia="zh-CN"/>
      </w:rPr>
      <w:t>29</w:t>
    </w:r>
    <w:r>
      <w:fldChar w:fldCharType="end"/>
    </w:r>
  </w:p>
  <w:p>
    <w:pPr>
      <w:pStyle w:val="15"/>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tabs>
          <w:tab w:val="num" w:pos="0"/>
        </w:tabs>
        <w:ind w:left="1360" w:hanging="720"/>
      </w:pPr>
      <w:rPr>
        <w:rFonts w:cs="Times New Roman" w:hint="default"/>
        <w:b w:val="0"/>
      </w:rPr>
    </w:lvl>
    <w:lvl w:ilvl="1">
      <w:start w:val="1"/>
      <w:numFmt w:val="lowerLetter"/>
      <w:lvlText w:val="%2)"/>
      <w:lvlJc w:val="left"/>
      <w:pPr>
        <w:tabs>
          <w:tab w:val="num" w:pos="0"/>
        </w:tabs>
        <w:ind w:left="1480" w:hanging="420"/>
      </w:pPr>
      <w:rPr>
        <w:rFonts w:cs="Times New Roman"/>
      </w:rPr>
    </w:lvl>
    <w:lvl w:ilvl="2">
      <w:start w:val="1"/>
      <w:numFmt w:val="lowerRoman"/>
      <w:lvlText w:val="%3."/>
      <w:lvlJc w:val="right"/>
      <w:pPr>
        <w:tabs>
          <w:tab w:val="num" w:pos="0"/>
        </w:tabs>
        <w:ind w:left="1900" w:hanging="420"/>
      </w:pPr>
      <w:rPr>
        <w:rFonts w:cs="Times New Roman"/>
      </w:rPr>
    </w:lvl>
    <w:lvl w:ilvl="3">
      <w:start w:val="1"/>
      <w:numFmt w:val="decimal"/>
      <w:lvlText w:val="%4."/>
      <w:lvlJc w:val="left"/>
      <w:pPr>
        <w:tabs>
          <w:tab w:val="num" w:pos="0"/>
        </w:tabs>
        <w:ind w:left="2320" w:hanging="420"/>
      </w:pPr>
      <w:rPr>
        <w:rFonts w:cs="Times New Roman"/>
      </w:rPr>
    </w:lvl>
    <w:lvl w:ilvl="4">
      <w:start w:val="1"/>
      <w:numFmt w:val="lowerLetter"/>
      <w:lvlText w:val="%5)"/>
      <w:lvlJc w:val="left"/>
      <w:pPr>
        <w:tabs>
          <w:tab w:val="num" w:pos="0"/>
        </w:tabs>
        <w:ind w:left="2740" w:hanging="420"/>
      </w:pPr>
      <w:rPr>
        <w:rFonts w:cs="Times New Roman"/>
      </w:rPr>
    </w:lvl>
    <w:lvl w:ilvl="5">
      <w:start w:val="1"/>
      <w:numFmt w:val="lowerRoman"/>
      <w:lvlText w:val="%6."/>
      <w:lvlJc w:val="right"/>
      <w:pPr>
        <w:tabs>
          <w:tab w:val="num" w:pos="0"/>
        </w:tabs>
        <w:ind w:left="3160" w:hanging="420"/>
      </w:pPr>
      <w:rPr>
        <w:rFonts w:cs="Times New Roman"/>
      </w:rPr>
    </w:lvl>
    <w:lvl w:ilvl="6">
      <w:start w:val="1"/>
      <w:numFmt w:val="decimal"/>
      <w:lvlText w:val="%7."/>
      <w:lvlJc w:val="left"/>
      <w:pPr>
        <w:tabs>
          <w:tab w:val="num" w:pos="0"/>
        </w:tabs>
        <w:ind w:left="3580" w:hanging="420"/>
      </w:pPr>
      <w:rPr>
        <w:rFonts w:cs="Times New Roman"/>
      </w:rPr>
    </w:lvl>
    <w:lvl w:ilvl="7">
      <w:start w:val="1"/>
      <w:numFmt w:val="lowerLetter"/>
      <w:lvlText w:val="%8)"/>
      <w:lvlJc w:val="left"/>
      <w:pPr>
        <w:tabs>
          <w:tab w:val="num" w:pos="0"/>
        </w:tabs>
        <w:ind w:left="4000" w:hanging="420"/>
      </w:pPr>
      <w:rPr>
        <w:rFonts w:cs="Times New Roman"/>
      </w:rPr>
    </w:lvl>
    <w:lvl w:ilvl="8">
      <w:start w:val="1"/>
      <w:numFmt w:val="lowerRoman"/>
      <w:lvlText w:val="%9."/>
      <w:lvlJc w:val="right"/>
      <w:pPr>
        <w:tabs>
          <w:tab w:val="num" w:pos="0"/>
        </w:tabs>
        <w:ind w:left="4420" w:hanging="420"/>
      </w:pPr>
      <w:rPr>
        <w:rFonts w:cs="Times New Roman"/>
      </w:rPr>
    </w:lvl>
  </w:abstractNum>
  <w:abstractNum w:abstractNumId="1">
    <w:nsid w:val="CF652CEC"/>
    <w:multiLevelType w:val="singleLevel"/>
    <w:tmpl w:val="CF652CEC"/>
    <w:lvl w:ilvl="0">
      <w:start w:val="9"/>
      <w:numFmt w:val="chineseCounting"/>
      <w:lvlRestart w:val="0"/>
      <w:suff w:val="nothing"/>
      <w:lvlText w:val="%1、"/>
      <w:lvlJc w:val="left"/>
      <w:pPr>
        <w:tabs>
          <w:tab w:val="num" w:pos="0"/>
        </w:tabs>
        <w:ind w:left="0" w:hanging="0"/>
      </w:pPr>
      <w:rPr>
        <w:rFonts w:cs="Times New Roman" w:hint="eastAsia"/>
      </w:rPr>
    </w:lvl>
  </w:abstractNum>
  <w:abstractNum w:abstractNumId="2">
    <w:nsid w:val="2FD15B73"/>
    <w:multiLevelType w:val="singleLevel"/>
    <w:tmpl w:val="2FD15B73"/>
    <w:lvl w:ilvl="0">
      <w:start w:val="1"/>
      <w:numFmt w:val="decimal"/>
      <w:lvlRestart w:val="0"/>
      <w:lvlText w:val="%1."/>
      <w:lvlJc w:val="left"/>
      <w:pPr>
        <w:tabs>
          <w:tab w:val="num" w:pos="312"/>
        </w:tabs>
        <w:ind w:left="0" w:hanging="0"/>
      </w:pPr>
    </w:lvl>
  </w:abstractNum>
  <w:abstractNum w:abstractNumId="3">
    <w:nsid w:val="E2FA047D"/>
    <w:multiLevelType w:val="singleLevel"/>
    <w:tmpl w:val="E2FA047D"/>
    <w:lvl w:ilvl="0">
      <w:start w:val="3"/>
      <w:numFmt w:val="chineseCounting"/>
      <w:lvlRestart w:val="0"/>
      <w:suff w:val="space"/>
      <w:lvlText w:val="第%1部分"/>
      <w:lvlJc w:val="left"/>
      <w:pPr>
        <w:tabs>
          <w:tab w:val="num" w:pos="0"/>
        </w:tabs>
        <w:ind w:left="0" w:hanging="0"/>
      </w:pPr>
      <w:rPr>
        <w:rFonts w:cs="Times New Roman" w:hint="eastAsia"/>
      </w:rPr>
    </w:lvl>
  </w:abstractNum>
  <w:abstractNum w:abstractNumId="4">
    <w:nsid w:val="9383675E"/>
    <w:multiLevelType w:val="singleLevel"/>
    <w:tmpl w:val="9383675E"/>
    <w:lvl w:ilvl="0">
      <w:start w:val="2"/>
      <w:numFmt w:val="chineseCounting"/>
      <w:lvlRestart w:val="0"/>
      <w:suff w:val="nothing"/>
      <w:lvlText w:val="（%1）"/>
      <w:lvlJc w:val="left"/>
      <w:pPr>
        <w:tabs>
          <w:tab w:val="num" w:pos="0"/>
        </w:tabs>
        <w:ind w:left="0" w:hanging="0"/>
      </w:pPr>
      <w:rPr>
        <w:rFonts w:hint="eastAsia"/>
      </w:rPr>
    </w:lvl>
  </w:abstractNum>
  <w:abstractNum w:abstractNumId="5">
    <w:nsid w:val="3185FF35"/>
    <w:multiLevelType w:val="singleLevel"/>
    <w:tmpl w:val="3185FF35"/>
    <w:lvl w:ilvl="0">
      <w:start w:val="1"/>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rFonts w:ascii="Calibri" w:hAnsi="Calibri"/>
      <w:kern w:val="0"/>
      <w:sz w:val="18"/>
      <w:szCs w:val="20"/>
    </w:rPr>
  </w:style>
  <w:style w:type="paragraph" w:styleId="16">
    <w:name w:val="Body Text"/>
    <w:basedOn w:val="0"/>
    <w:pPr>
      <w:spacing w:beforeLines="30" w:before="30"/>
    </w:pPr>
    <w:rPr>
      <w:rFonts w:ascii="仿宋_GB2312" w:eastAsia="仿宋_GB2312"/>
      <w:kern w:val="0"/>
      <w:sz w:val="24"/>
      <w:szCs w:val="20"/>
    </w:rPr>
  </w:style>
  <w:style w:type="paragraph" w:styleId="17">
    <w:name w:val="header"/>
    <w:basedOn w:val="0"/>
    <w:pPr>
      <w:pBdr>
        <w:bottom w:val="single" w:sz="6" w:space="1" w:color="auto"/>
      </w:pBdr>
      <w:tabs>
        <w:tab w:val="center" w:pos="4153"/>
        <w:tab w:val="right" w:pos="8306"/>
      </w:tabs>
      <w:snapToGrid w:val="0"/>
      <w:jc w:val="center"/>
    </w:pPr>
    <w:rPr>
      <w:rFonts w:ascii="Calibri" w:hAnsi="Calibri"/>
      <w:kern w:val="0"/>
      <w:sz w:val="18"/>
      <w:szCs w:val="20"/>
    </w:rPr>
  </w:style>
  <w:style w:type="character" w:styleId="18">
    <w:name w:val="Strong"/>
    <w:basedOn w:val="10"/>
    <w:rPr>
      <w:rFonts w:cs="Times New Roman"/>
      <w:b/>
    </w:rPr>
  </w:style>
  <w:style w:type="character" w:styleId="19">
    <w:name w:val="Hyperlink"/>
    <w:rPr>
      <w:rFonts w:cs="Times New Roman"/>
      <w:color w:val="0000FF"/>
      <w:u w:val="single"/>
    </w:rPr>
  </w:style>
  <w:style w:type="paragraph" w:styleId="20">
    <w:name w:val="Balloon Text"/>
    <w:basedOn w:val="0"/>
    <w:rPr>
      <w:sz w:val="18"/>
      <w:szCs w:val="18"/>
    </w:rPr>
  </w:style>
  <w:style w:type="paragraph" w:styleId="21">
    <w:name w:val="toc 2"/>
    <w:basedOn w:val="0"/>
    <w:next w:val="0"/>
    <w:pPr>
      <w:tabs>
        <w:tab w:val="right" w:leader="dot" w:pos="8296"/>
      </w:tabs>
      <w:ind w:leftChars="200" w:left="200"/>
    </w:pPr>
  </w:style>
  <w:style w:type="paragraph" w:customStyle="1" w:styleId="22">
    <w:name w:val="List Paragraph"/>
    <w:basedOn w:val="0"/>
    <w:pPr>
      <w:ind w:firstLineChars="200" w:firstLine="200"/>
    </w:pPr>
  </w:style>
  <w:style w:type="paragraph" w:styleId="23">
    <w:name w:val="toc 3"/>
    <w:basedOn w:val="0"/>
    <w:next w:val="0"/>
    <w:pPr>
      <w:tabs>
        <w:tab w:val="right" w:leader="dot" w:pos="8296"/>
      </w:tabs>
      <w:ind w:leftChars="400" w:left="400"/>
    </w:pPr>
  </w:style>
  <w:style w:type="paragraph" w:styleId="24">
    <w:name w:val="toc 1"/>
    <w:basedOn w:val="0"/>
    <w:next w:val="0"/>
    <w:pPr>
      <w:tabs>
        <w:tab w:val="right" w:leader="dot" w:pos="8296"/>
      </w:tabs>
      <w:spacing w:before="93"/>
      <w:jc w:val="center"/>
    </w:pPr>
    <w:rPr>
      <w:rFonts w:ascii="仿宋" w:eastAsia="仿宋"/>
      <w:sz w:val="28"/>
      <w:szCs w:val="28"/>
    </w:rPr>
  </w:style>
  <w:style w:type="paragraph" w:customStyle="1" w:styleId="25">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26">
    <w:name w:val="TOC 标题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7">
    <w:name w:val="TOC Heading1"/>
    <w:basedOn w:val="1"/>
    <w:next w:val="0"/>
    <w:pPr>
      <w:keepNext/>
      <w:keepLines/>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2019</c:v>
          </c:tx>
          <c:spPr>
            <a:solidFill>
              <a:srgbClr val="5B9BD5"/>
            </a:solidFill>
            <a:ln>
              <a:noFill/>
            </a:ln>
          </c:spPr>
          <c:invertIfNegative val="0"/>
          <c:dLbls>
            <c:showLegendKey val="0"/>
            <c:showVal val="0"/>
            <c:showCatName val="0"/>
            <c:showSerName val="0"/>
            <c:showPercent val="0"/>
            <c:showBubbleSize val="0"/>
            <c:showLeaderLines val="0"/>
          </c:dLbls>
          <c:cat>
            <c:strLit>
              <c:ptCount val="2"/>
              <c:pt idx="0">
                <c:v>总收入</c:v>
              </c:pt>
              <c:pt idx="1">
                <c:v>总支出</c:v>
              </c:pt>
            </c:strLit>
          </c:cat>
          <c:val>
            <c:numRef>
              <c:f/>
              <c:numCache>
                <c:formatCode>General</c:formatCode>
                <c:ptCount val="2"/>
                <c:pt idx="0">
                  <c:v>891.15</c:v>
                </c:pt>
                <c:pt idx="1">
                  <c:v>892.12</c:v>
                </c:pt>
              </c:numCache>
            </c:numRef>
          </c:val>
        </c:ser>
        <c:ser>
          <c:idx val="1"/>
          <c:order val="1"/>
          <c:tx>
            <c:v>2020</c:v>
          </c:tx>
          <c:spPr>
            <a:solidFill>
              <a:srgbClr val="ED7D31"/>
            </a:solidFill>
            <a:ln>
              <a:noFill/>
            </a:ln>
          </c:spPr>
          <c:invertIfNegative val="0"/>
          <c:dLbls>
            <c:showLegendKey val="0"/>
            <c:showVal val="0"/>
            <c:showCatName val="0"/>
            <c:showSerName val="0"/>
            <c:showPercent val="0"/>
            <c:showBubbleSize val="0"/>
            <c:showLeaderLines val="0"/>
          </c:dLbls>
          <c:cat>
            <c:strLit>
              <c:ptCount val="2"/>
              <c:pt idx="0">
                <c:v>总收入</c:v>
              </c:pt>
              <c:pt idx="1">
                <c:v>总支出</c:v>
              </c:pt>
            </c:strLit>
          </c:cat>
          <c:val>
            <c:numRef>
              <c:f/>
              <c:numCache>
                <c:formatCode>General</c:formatCode>
                <c:ptCount val="2"/>
                <c:pt idx="0">
                  <c:v>974.01</c:v>
                </c:pt>
                <c:pt idx="1">
                  <c:v>850.78</c:v>
                </c:pt>
              </c:numCache>
            </c:numRef>
          </c:val>
        </c:ser>
        <c:ser>
          <c:idx val="2"/>
          <c:order val="2"/>
          <c:spPr>
            <a:solidFill>
              <a:srgbClr val="A5A5A5"/>
            </a:solidFill>
            <a:ln>
              <a:noFill/>
            </a:ln>
          </c:spPr>
          <c:invertIfNegative val="0"/>
          <c:dLbls>
            <c:showLegendKey val="0"/>
            <c:showVal val="0"/>
            <c:showCatName val="0"/>
            <c:showSerName val="0"/>
            <c:showPercent val="0"/>
            <c:showBubbleSize val="0"/>
            <c:showLeaderLines val="0"/>
          </c:dLbls>
          <c:cat>
            <c:strLit>
              <c:ptCount val="2"/>
              <c:pt idx="0">
                <c:v>总收入</c:v>
              </c:pt>
              <c:pt idx="1">
                <c:v>总支出</c:v>
              </c:pt>
            </c:strLit>
          </c:cat>
          <c:val>
            <c:numRef>
              <c:f/>
              <c:numCache>
                <c:formatCode>General</c:formatCode>
                <c:ptCount val="1"/>
                <c:pt idx="0">
                  <c:v>1.0</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方正兰亭黑_GBK"/>
                <a:ea typeface="方正兰亭黑_GBK"/>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legendEntry>
        <c:idx val="2"/>
        <c:delete val="1"/>
      </c:legendEntry>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方正兰亭黑_GBK"/>
                <a:ea typeface="方正兰亭黑_GBK"/>
                <a:cs typeface="Lucida Sans"/>
              </a:defRPr>
            </a:pPr>
            <a:r>
              <a:rPr lang="zh-CN"/>
              <a:t>总收入（万元）</a:t>
            </a:r>
          </a:p>
        </c:rich>
      </c:tx>
      <c:layout/>
      <c:overlay val="0"/>
      <c:spPr>
        <a:ln>
          <a:noFill/>
        </a:ln>
      </c:spPr>
    </c:title>
    <c:autoTitleDeleted val="1"/>
    <c:plotArea>
      <c:layout/>
      <c:pieChart>
        <c:varyColors val="1"/>
        <c:ser>
          <c:idx val="0"/>
          <c:order val="0"/>
          <c:tx>
            <c:v>一般公共预算财政拨款收入</c:v>
          </c:tx>
          <c:spPr>
            <a:solidFill>
              <a:srgbClr val="FCD9BC"/>
            </a:solidFill>
            <a:ln>
              <a:noFill/>
            </a:ln>
          </c:spPr>
          <c:dPt>
            <c:idx val="0"/>
            <c:bubble3D val="0"/>
            <c:spPr>
              <a:solidFill>
                <a:srgbClr val="FCD9BC"/>
              </a:solidFill>
              <a:ln>
                <a:noFill/>
              </a:ln>
            </c:spPr>
          </c:dPt>
          <c:dPt>
            <c:idx val="1"/>
            <c:bubble3D val="0"/>
            <c:spPr>
              <a:solidFill>
                <a:srgbClr val="F5E3E3"/>
              </a:solidFill>
              <a:ln>
                <a:noFill/>
              </a:ln>
            </c:spPr>
          </c:dPt>
          <c:dLbls>
            <c:spPr>
              <a:noFill/>
              <a:ln>
                <a:noFill/>
              </a:ln>
            </c:spPr>
            <c:txPr>
              <a:bodyPr vert="horz"/>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0"/>
            <c:showLegendKey val="0"/>
            <c:showVal val="1"/>
            <c:showCatName val="0"/>
            <c:showSerName val="0"/>
            <c:showPercent val="0"/>
            <c:showBubbleSize val="0"/>
            <c:showLeaderLines val="1"/>
          </c:dLbls>
          <c:cat>
            <c:strLit>
              <c:ptCount val="2"/>
              <c:pt idx="0">
                <c:v>一般公共预算财政拨款收入</c:v>
              </c:pt>
              <c:pt idx="1">
                <c:v>政府性基金预算财政拨款收入</c:v>
              </c:pt>
            </c:strLit>
          </c:cat>
          <c:val>
            <c:numRef>
              <c:f/>
              <c:numCache>
                <c:formatCode>General</c:formatCode>
                <c:ptCount val="2"/>
                <c:pt idx="0">
                  <c:v>901.94</c:v>
                </c:pt>
                <c:pt idx="1">
                  <c:v>72.07</c:v>
                </c:pt>
              </c:numCache>
            </c:numRef>
          </c:val>
        </c:ser>
        <c:ser>
          <c:idx val="1"/>
          <c:order val="1"/>
          <c:tx>
            <c:v>政府性基金预算财政拨款收入</c:v>
          </c:tx>
          <c:spPr>
            <a:solidFill>
              <a:srgbClr val="ED7D31"/>
            </a:solidFill>
            <a:ln>
              <a:noFill/>
            </a:ln>
          </c:spPr>
          <c:dLbls>
            <c:txPr>
              <a:bodyPr/>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1"/>
            <c:showLegendKey val="0"/>
            <c:showVal val="1"/>
            <c:showCatName val="0"/>
            <c:showSerName val="0"/>
            <c:showPercent val="0"/>
            <c:showBubbleSize val="0"/>
            <c:showLeaderLines val="1"/>
          </c:dLbls>
          <c:cat>
            <c:strLit>
              <c:ptCount val="2"/>
              <c:pt idx="0">
                <c:v>一般公共预算财政拨款收入</c:v>
              </c:pt>
              <c:pt idx="1">
                <c:v>政府性基金预算财政拨款收入</c:v>
              </c:pt>
            </c:strLit>
          </c:cat>
          <c:val>
            <c:numRef>
              <c:f/>
            </c:numRef>
          </c:val>
        </c:ser>
        <c:ser>
          <c:idx val="2"/>
          <c:order val="2"/>
          <c:spPr>
            <a:solidFill>
              <a:srgbClr val="A5A5A5"/>
            </a:solidFill>
            <a:ln>
              <a:noFill/>
            </a:ln>
          </c:spPr>
          <c:dPt>
            <c:idx val="0"/>
            <c:invertIfNegative val="0"/>
            <c:bubble3D val="0"/>
            <c:spPr>
              <a:ln>
                <a:noFill/>
              </a:ln>
            </c:spPr>
          </c:dPt>
          <c:dLbls>
            <c:txPr>
              <a:bodyPr/>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0"/>
            <c:showLegendKey val="0"/>
            <c:showVal val="1"/>
            <c:showCatName val="0"/>
            <c:showSerName val="0"/>
            <c:showPercent val="0"/>
            <c:showBubbleSize val="0"/>
            <c:showLeaderLines val="1"/>
          </c:dLbls>
          <c:cat>
            <c:strLit>
              <c:ptCount val="2"/>
              <c:pt idx="0">
                <c:v>一般公共预算财政拨款收入</c:v>
              </c:pt>
              <c:pt idx="1">
                <c:v>政府性基金预算财政拨款收入</c:v>
              </c:pt>
            </c:strLit>
          </c:cat>
          <c:val>
            <c:numRef>
              <c:f/>
              <c:numCache>
                <c:formatCode>General</c:formatCode>
                <c:ptCount val="1"/>
                <c:pt idx="0">
                  <c:v>1.0</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方正兰亭黑_GBK"/>
                <a:ea typeface="方正兰亭黑_GBK"/>
                <a:cs typeface="Lucida Sans"/>
              </a:defRPr>
            </a:pPr>
            <a:r>
              <a:rPr lang="zh-CN"/>
              <a:t> 支出决算情况</a:t>
            </a:r>
          </a:p>
        </c:rich>
      </c:tx>
      <c:layout/>
      <c:overlay val="0"/>
      <c:spPr>
        <a:ln>
          <a:noFill/>
        </a:ln>
      </c:spPr>
    </c:title>
    <c:autoTitleDeleted val="1"/>
    <c:plotArea>
      <c:layout/>
      <c:pieChart>
        <c:varyColors val="1"/>
        <c:ser>
          <c:idx val="0"/>
          <c:order val="0"/>
          <c:spPr>
            <a:solidFill>
              <a:srgbClr val="5B9BD5"/>
            </a:solidFill>
            <a:ln>
              <a:noFill/>
            </a:ln>
          </c:spPr>
          <c:dPt>
            <c:idx val="0"/>
            <c:bubble3D val="0"/>
            <c:spPr>
              <a:solidFill>
                <a:srgbClr val="F5E3E3"/>
              </a:solidFill>
              <a:ln>
                <a:noFill/>
              </a:ln>
            </c:spPr>
          </c:dPt>
          <c:dPt>
            <c:idx val="1"/>
            <c:bubble3D val="0"/>
            <c:spPr>
              <a:solidFill>
                <a:srgbClr val="FCD9BC"/>
              </a:solidFill>
              <a:ln>
                <a:noFill/>
              </a:ln>
            </c:spPr>
          </c:dPt>
          <c:dLbls>
            <c:spPr>
              <a:noFill/>
              <a:ln>
                <a:noFill/>
              </a:ln>
            </c:spPr>
            <c:txPr>
              <a:bodyPr vert="horz"/>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0"/>
            <c:showLegendKey val="0"/>
            <c:showVal val="1"/>
            <c:showCatName val="0"/>
            <c:showSerName val="0"/>
            <c:showPercent val="0"/>
            <c:showBubbleSize val="0"/>
            <c:showLeaderLines val="1"/>
          </c:dLbls>
          <c:cat>
            <c:strLit>
              <c:ptCount val="2"/>
              <c:pt idx="0">
                <c:v>基本支出</c:v>
              </c:pt>
              <c:pt idx="1">
                <c:v>项目支出</c:v>
              </c:pt>
            </c:strLit>
          </c:cat>
          <c:val>
            <c:numRef>
              <c:f/>
              <c:numCache>
                <c:formatCode>General</c:formatCode>
                <c:ptCount val="2"/>
                <c:pt idx="0">
                  <c:v>360.58</c:v>
                </c:pt>
                <c:pt idx="1">
                  <c:v>490.2</c:v>
                </c:pt>
              </c:numCache>
            </c:numRef>
          </c:val>
        </c:ser>
        <c:ser>
          <c:idx val="1"/>
          <c:order val="1"/>
          <c:spPr>
            <a:solidFill>
              <a:srgbClr val="ED7D31"/>
            </a:solidFill>
            <a:ln>
              <a:noFill/>
            </a:ln>
          </c:spPr>
          <c:dLbls>
            <c:txPr>
              <a:bodyPr/>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1"/>
            <c:showLegendKey val="0"/>
            <c:showVal val="1"/>
            <c:showCatName val="0"/>
            <c:showSerName val="0"/>
            <c:showPercent val="0"/>
            <c:showBubbleSize val="0"/>
            <c:showLeaderLines val="1"/>
          </c:dLbls>
          <c:cat>
            <c:strLit>
              <c:ptCount val="2"/>
              <c:pt idx="0">
                <c:v>基本支出</c:v>
              </c:pt>
              <c:pt idx="1">
                <c:v>项目支出</c:v>
              </c:pt>
            </c:strLit>
          </c:cat>
          <c:val>
            <c:numRef>
              <c:f/>
            </c:numRef>
          </c:val>
        </c:ser>
        <c:ser>
          <c:idx val="2"/>
          <c:order val="2"/>
          <c:spPr>
            <a:solidFill>
              <a:srgbClr val="A5A5A5"/>
            </a:solidFill>
            <a:ln>
              <a:noFill/>
            </a:ln>
          </c:spPr>
          <c:dPt>
            <c:idx val="0"/>
            <c:invertIfNegative val="0"/>
            <c:bubble3D val="0"/>
            <c:spPr>
              <a:ln>
                <a:noFill/>
              </a:ln>
            </c:spPr>
          </c:dPt>
          <c:dLbls>
            <c:txPr>
              <a:bodyPr/>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0"/>
            <c:showLegendKey val="0"/>
            <c:showVal val="1"/>
            <c:showCatName val="0"/>
            <c:showSerName val="0"/>
            <c:showPercent val="0"/>
            <c:showBubbleSize val="0"/>
            <c:showLeaderLines val="1"/>
          </c:dLbls>
          <c:cat>
            <c:strLit>
              <c:ptCount val="2"/>
              <c:pt idx="0">
                <c:v>基本支出</c:v>
              </c:pt>
              <c:pt idx="1">
                <c:v>项目支出</c:v>
              </c:pt>
            </c:strLit>
          </c:cat>
          <c:val>
            <c:numRef>
              <c:f/>
              <c:numCache>
                <c:formatCode>General</c:formatCode>
                <c:ptCount val="1"/>
                <c:pt idx="0">
                  <c:v>1.0</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939393"/>
                </a:solidFill>
                <a:latin typeface="方正兰亭黑_GBK"/>
                <a:ea typeface="方正兰亭黑_GBK"/>
                <a:cs typeface="Lucida Sans"/>
              </a:defRPr>
            </a:pPr>
            <a:r>
              <a:rPr lang="zh-CN"/>
              <a:t>财政拨款收支情况</a:t>
            </a:r>
          </a:p>
        </c:rich>
      </c:tx>
      <c:layout/>
      <c:overlay val="0"/>
      <c:spPr>
        <a:ln>
          <a:noFill/>
        </a:ln>
      </c:spPr>
    </c:title>
    <c:autoTitleDeleted val="1"/>
    <c:plotArea>
      <c:layout/>
      <c:barChart>
        <c:barDir val="col"/>
        <c:grouping val="clustered"/>
        <c:varyColors val="0"/>
        <c:ser>
          <c:idx val="0"/>
          <c:order val="0"/>
          <c:tx>
            <c:v>2019</c:v>
          </c:tx>
          <c:spPr>
            <a:solidFill>
              <a:srgbClr val="5B9BD5"/>
            </a:solidFill>
            <a:ln>
              <a:noFill/>
            </a:ln>
          </c:spPr>
          <c:invertIfNegative val="0"/>
          <c:dLbls>
            <c:spPr>
              <a:noFill/>
              <a:ln>
                <a:noFill/>
              </a:ln>
            </c:spPr>
            <c:txPr>
              <a:bodyPr vert="horz"/>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总收入</c:v>
              </c:pt>
              <c:pt idx="1">
                <c:v>总支出</c:v>
              </c:pt>
            </c:strLit>
          </c:cat>
          <c:val>
            <c:numRef>
              <c:f/>
              <c:numCache>
                <c:formatCode>General</c:formatCode>
                <c:ptCount val="2"/>
                <c:pt idx="0">
                  <c:v>892.12</c:v>
                </c:pt>
                <c:pt idx="1">
                  <c:v>892.12</c:v>
                </c:pt>
              </c:numCache>
            </c:numRef>
          </c:val>
        </c:ser>
        <c:ser>
          <c:idx val="1"/>
          <c:order val="1"/>
          <c:tx>
            <c:v>2020</c:v>
          </c:tx>
          <c:spPr>
            <a:solidFill>
              <a:srgbClr val="ED7D31"/>
            </a:solidFill>
            <a:ln>
              <a:noFill/>
            </a:ln>
          </c:spPr>
          <c:invertIfNegative val="0"/>
          <c:dLbls>
            <c:spPr>
              <a:noFill/>
              <a:ln>
                <a:noFill/>
              </a:ln>
            </c:spPr>
            <c:txPr>
              <a:bodyPr vert="horz"/>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总收入</c:v>
              </c:pt>
              <c:pt idx="1">
                <c:v>总支出</c:v>
              </c:pt>
            </c:strLit>
          </c:cat>
          <c:val>
            <c:numRef>
              <c:f/>
              <c:numCache>
                <c:formatCode>General</c:formatCode>
                <c:ptCount val="2"/>
                <c:pt idx="0">
                  <c:v>974.01</c:v>
                </c:pt>
                <c:pt idx="1">
                  <c:v>974.01</c:v>
                </c:pt>
              </c:numCache>
            </c:numRef>
          </c:val>
        </c:ser>
        <c:ser>
          <c:idx val="2"/>
          <c:order val="2"/>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总收入</c:v>
              </c:pt>
              <c:pt idx="1">
                <c:v>总支出</c:v>
              </c:pt>
            </c:strLit>
          </c:cat>
          <c:val>
            <c:numRef>
              <c:f/>
              <c:numCache>
                <c:formatCode>General</c:formatCode>
                <c:ptCount val="1"/>
                <c:pt idx="0">
                  <c:v>1.0</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方正兰亭黑_GBK"/>
                <a:ea typeface="方正兰亭黑_GBK"/>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legendEntry>
        <c:idx val="2"/>
        <c:delete val="1"/>
      </c:legendEntry>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方正兰亭黑_GBK"/>
                <a:ea typeface="方正兰亭黑_GBK"/>
                <a:cs typeface="Lucida Sans"/>
              </a:defRPr>
            </a:pPr>
            <a:r>
              <a:rPr lang="zh-CN" sz="1400" b="0" i="0" u="none" strike="noStrike" baseline="0">
                <a:solidFill>
                  <a:srgbClr val="939393"/>
                </a:solidFill>
                <a:latin typeface="方正兰亭黑_GBK"/>
                <a:ea typeface="方正兰亭黑_GBK"/>
                <a:cs typeface="Lucida Sans"/>
              </a:rPr>
              <a:t>一般公共</a:t>
            </a:r>
            <a:r>
              <a:rPr lang="zh-CN" sz="1200" b="0" i="0" u="none" strike="noStrike" baseline="0">
                <a:solidFill>
                  <a:srgbClr val="939393"/>
                </a:solidFill>
                <a:latin typeface="方正兰亭黑_GBK"/>
                <a:ea typeface="方正兰亭黑_GBK"/>
                <a:cs typeface="Lucida Sans"/>
              </a:rPr>
              <a:t>预算</a:t>
            </a:r>
            <a:r>
              <a:rPr lang="zh-CN" sz="1400" b="0" i="0" u="none" strike="noStrike" baseline="0">
                <a:solidFill>
                  <a:srgbClr val="939393"/>
                </a:solidFill>
                <a:latin typeface="方正兰亭黑_GBK"/>
                <a:ea typeface="方正兰亭黑_GBK"/>
                <a:cs typeface="Lucida Sans"/>
              </a:rPr>
              <a:t>财政拨款支出</a:t>
            </a:r>
          </a:p>
        </c:rich>
      </c:tx>
      <c:layout/>
      <c:overlay val="0"/>
      <c:spPr>
        <a:ln>
          <a:noFill/>
        </a:ln>
      </c:spPr>
    </c:title>
    <c:autoTitleDeleted val="1"/>
    <c:plotArea>
      <c:layout/>
      <c:barChart>
        <c:barDir val="col"/>
        <c:grouping val="clustered"/>
        <c:varyColors val="0"/>
        <c:ser>
          <c:idx val="0"/>
          <c:order val="0"/>
          <c:tx>
            <c:v>2019</c:v>
          </c:tx>
          <c:spPr>
            <a:solidFill>
              <a:srgbClr val="5B9BD5"/>
            </a:solidFill>
            <a:ln>
              <a:noFill/>
            </a:ln>
          </c:spPr>
          <c:invertIfNegative val="0"/>
          <c:dLbls>
            <c:spPr>
              <a:noFill/>
              <a:ln>
                <a:noFill/>
              </a:ln>
            </c:spPr>
            <c:txPr>
              <a:bodyPr vert="horz"/>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1"/>
              <c:pt idx="0">
                <c:v>一般公共预算财政拨款支出（万元）</c:v>
              </c:pt>
            </c:strLit>
          </c:cat>
          <c:val>
            <c:numRef>
              <c:f/>
              <c:numCache>
                <c:formatCode>General</c:formatCode>
                <c:ptCount val="1"/>
                <c:pt idx="0">
                  <c:v>842.14</c:v>
                </c:pt>
              </c:numCache>
            </c:numRef>
          </c:val>
        </c:ser>
        <c:ser>
          <c:idx val="1"/>
          <c:order val="1"/>
          <c:tx>
            <c:v>2020</c:v>
          </c:tx>
          <c:spPr>
            <a:solidFill>
              <a:srgbClr val="ED7D31"/>
            </a:solidFill>
            <a:ln>
              <a:noFill/>
            </a:ln>
          </c:spPr>
          <c:invertIfNegative val="0"/>
          <c:dLbls>
            <c:spPr>
              <a:noFill/>
              <a:ln>
                <a:noFill/>
              </a:ln>
            </c:spPr>
            <c:txPr>
              <a:bodyPr vert="horz"/>
              <a:lstStyle/>
              <a:p>
                <a:pPr>
                  <a:defRPr sz="1000" b="0" i="0" u="none" strike="noStrike" baseline="0">
                    <a:solidFill>
                      <a:srgbClr val="000000"/>
                    </a:solidFill>
                    <a:latin typeface="方正兰亭黑_GBK"/>
                    <a:ea typeface="方正兰亭黑_GBK"/>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trendline>
            <c:trendlineType val="linear"/>
            <c:dispRSqr val="0"/>
            <c:dispEq val="0"/>
          </c:trendline>
          <c:cat>
            <c:strLit>
              <c:ptCount val="1"/>
              <c:pt idx="0">
                <c:v>一般公共预算财政拨款支出（万元）</c:v>
              </c:pt>
            </c:strLit>
          </c:cat>
          <c:val>
            <c:numRef>
              <c:f/>
              <c:numCache>
                <c:formatCode>General</c:formatCode>
                <c:ptCount val="1"/>
                <c:pt idx="0">
                  <c:v>778.7</c:v>
                </c:pt>
              </c:numCache>
            </c:numRef>
          </c:val>
        </c:ser>
        <c:ser>
          <c:idx val="2"/>
          <c:order val="2"/>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Lit>
              <c:ptCount val="1"/>
              <c:pt idx="0">
                <c:v>一般公共预算财政拨款支出（万元）</c:v>
              </c:pt>
            </c:strLit>
          </c:cat>
          <c:val>
            <c:numRef>
              <c:f/>
              <c:numCache>
                <c:formatCode>General</c:formatCode>
                <c:ptCount val="1"/>
                <c:pt idx="0">
                  <c:v>1.0</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方正兰亭黑_GBK"/>
                <a:ea typeface="方正兰亭黑_GBK"/>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legendEntry>
        <c:idx val="2"/>
        <c:delete val="1"/>
      </c:legendEntry>
      <c:legendEntry>
        <c:idx val="3"/>
        <c:delete val="1"/>
      </c:legendEntry>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tx>
            <c:v>一般公共预算财政拨款支出决算结构情况（万元）</c:v>
          </c:tx>
          <c:spPr>
            <a:solidFill>
              <a:srgbClr val="5B9BD5"/>
            </a:solidFill>
            <a:ln>
              <a:noFill/>
            </a:ln>
          </c:spPr>
          <c:dPt>
            <c:idx val="0"/>
            <c:bubble3D val="0"/>
            <c:spPr>
              <a:solidFill>
                <a:srgbClr val="FCD9BC"/>
              </a:solidFill>
              <a:ln>
                <a:noFill/>
              </a:ln>
            </c:spPr>
          </c:dPt>
          <c:dPt>
            <c:idx val="1"/>
            <c:bubble3D val="0"/>
            <c:spPr>
              <a:solidFill>
                <a:srgbClr val="E8C0BF"/>
              </a:solidFill>
              <a:ln>
                <a:noFill/>
              </a:ln>
            </c:spPr>
          </c:dPt>
          <c:dLbls>
            <c:dLbl>
              <c:idx val="0"/>
              <c:numFmt formatCode="General" sourceLinked="0"/>
              <c:spPr>
                <a:noFill/>
                <a:ln>
                  <a:noFill/>
                </a:ln>
              </c:spPr>
              <c:txPr>
                <a:bodyPr vert="horz"/>
                <a:lstStyle/>
                <a:p>
                  <a:pPr>
                    <a:defRPr sz="1000" b="0" i="0" u="none" strike="noStrike" baseline="0">
                      <a:solidFill>
                        <a:srgbClr val="000000"/>
                      </a:solidFill>
                      <a:latin typeface="方正兰亭黑_GBK"/>
                      <a:ea typeface="方正兰亭黑_GBK"/>
                      <a:cs typeface="Lucida Sans"/>
                    </a:defRPr>
                  </a:pPr>
                  <a:endParaRPr lang="zh-CN"/>
                </a:p>
              </c:txPr>
              <c:showLegendKey val="0"/>
              <c:showVal val="1"/>
              <c:showCatName val="0"/>
              <c:showSerName val="0"/>
              <c:showPercent val="0"/>
              <c:showBubbleSize val="0"/>
            </c:dLbl>
            <c:dLbl>
              <c:idx val="1"/>
              <c:numFmt formatCode="General" sourceLinked="0"/>
              <c:spPr>
                <a:noFill/>
                <a:ln>
                  <a:noFill/>
                </a:ln>
              </c:spPr>
              <c:txPr>
                <a:bodyPr vert="horz"/>
                <a:lstStyle/>
                <a:p>
                  <a:pPr>
                    <a:defRPr sz="1000" b="0" i="0" u="none" strike="noStrike" baseline="0">
                      <a:solidFill>
                        <a:srgbClr val="000000"/>
                      </a:solidFill>
                      <a:latin typeface="方正兰亭黑_GBK"/>
                      <a:ea typeface="方正兰亭黑_GBK"/>
                      <a:cs typeface="Lucida Sans"/>
                    </a:defRPr>
                  </a:pPr>
                  <a:endParaRPr lang="zh-CN"/>
                </a:p>
              </c:txPr>
              <c:showLegendKey val="0"/>
              <c:showVal val="1"/>
              <c:showCatName val="0"/>
              <c:showSerName val="0"/>
              <c:showPercent val="0"/>
              <c:showBubbleSize val="0"/>
            </c:dLbl>
            <c:showLegendKey val="0"/>
            <c:showVal val="0"/>
            <c:showCatName val="0"/>
            <c:showSerName val="0"/>
            <c:showPercent val="0"/>
            <c:showBubbleSize val="0"/>
            <c:showLeaderLines val="0"/>
          </c:dLbls>
          <c:cat>
            <c:strLit>
              <c:ptCount val="2"/>
              <c:pt idx="0">
                <c:v>一般公共服务（类）支出</c:v>
              </c:pt>
              <c:pt idx="1">
                <c:v>社会保障和就业（类）支出</c:v>
              </c:pt>
            </c:strLit>
          </c:cat>
          <c:val>
            <c:numRef>
              <c:f/>
              <c:numCache>
                <c:formatCode>General</c:formatCode>
                <c:ptCount val="2"/>
                <c:pt idx="0">
                  <c:v>726.75</c:v>
                </c:pt>
                <c:pt idx="1">
                  <c:v>51.95</c:v>
                </c:pt>
              </c:numCache>
            </c:numRef>
          </c:val>
        </c:ser>
        <c:ser>
          <c:idx val="1"/>
          <c:order val="1"/>
          <c:spPr>
            <a:solidFill>
              <a:srgbClr val="ED7D31"/>
            </a:solidFill>
            <a:ln>
              <a:noFill/>
            </a:ln>
          </c:spPr>
          <c:dLbls>
            <c:showLegendKey val="0"/>
            <c:showVal val="0"/>
            <c:showCatName val="0"/>
            <c:showSerName val="0"/>
            <c:showPercent val="0"/>
            <c:showBubbleSize val="0"/>
            <c:showLeaderLines val="0"/>
          </c:dLbls>
          <c:cat>
            <c:strLit>
              <c:ptCount val="2"/>
              <c:pt idx="0">
                <c:v>一般公共服务（类）支出</c:v>
              </c:pt>
              <c:pt idx="1">
                <c:v>社会保障和就业（类）支出</c:v>
              </c:pt>
            </c:strLit>
          </c:cat>
          <c:val>
            <c:numRef>
              <c:f/>
            </c:numRef>
          </c:val>
        </c:ser>
        <c:ser>
          <c:idx val="2"/>
          <c:order val="2"/>
          <c:spPr>
            <a:solidFill>
              <a:srgbClr val="A5A5A5"/>
            </a:solidFill>
            <a:ln>
              <a:noFill/>
            </a:ln>
          </c:spPr>
          <c:dPt>
            <c:idx val="0"/>
            <c:invertIfNegative val="0"/>
            <c:bubble3D val="0"/>
            <c:spPr>
              <a:ln>
                <a:noFill/>
              </a:ln>
            </c:spPr>
          </c:dPt>
          <c:dLbls>
            <c:showLegendKey val="0"/>
            <c:showVal val="0"/>
            <c:showCatName val="0"/>
            <c:showSerName val="0"/>
            <c:showPercent val="0"/>
            <c:showBubbleSize val="0"/>
            <c:showLeaderLines val="0"/>
          </c:dLbls>
          <c:cat>
            <c:strLit>
              <c:ptCount val="2"/>
              <c:pt idx="0">
                <c:v>一般公共服务（类）支出</c:v>
              </c:pt>
              <c:pt idx="1">
                <c:v>社会保障和就业（类）支出</c:v>
              </c:pt>
            </c:strLit>
          </c:cat>
          <c:val>
            <c:numRef>
              <c:f/>
              <c:numCache>
                <c:formatCode>General</c:formatCode>
                <c:ptCount val="1"/>
                <c:pt idx="0">
                  <c:v>1.0</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方正兰亭黑_GBK"/>
              <a:ea typeface="方正兰亭黑_GBK"/>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方正兰亭黑_GBK"/>
          <a:ea typeface="方正兰亭黑_GBK"/>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5</TotalTime>
  <Application>Yozo_Office27021597764231179</Application>
  <Pages>29</Pages>
  <Words>8862</Words>
  <Characters>9915</Characters>
  <Lines>648</Lines>
  <Paragraphs>288</Paragraphs>
  <CharactersWithSpaces>9979</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2</cp:revision>
  <cp:lastPrinted>2021-07-29T03:56:00Z</cp:lastPrinted>
  <dcterms:created xsi:type="dcterms:W3CDTF">2021-09-14T08:23:00Z</dcterms:created>
  <dcterms:modified xsi:type="dcterms:W3CDTF">2021-09-16T07:21:10Z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2052-11.1.0.8838</vt:lpwstr>
  </property>
</Properties>
</file>