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adjustRightInd w:val="0"/>
        <w:snapToGrid w:val="0"/>
        <w:spacing w:line="300" w:lineRule="auto"/>
        <w:ind w:firstLine="0" w:firstLineChars="0"/>
        <w:jc w:val="both"/>
        <w:rPr>
          <w:rFonts w:ascii="黑体" w:hAnsi="黑体" w:eastAsia="黑体"/>
          <w:bCs/>
          <w:snapToGrid w:val="0"/>
          <w:sz w:val="32"/>
          <w:szCs w:val="32"/>
        </w:rPr>
      </w:pPr>
      <w:r>
        <w:rPr>
          <w:rFonts w:ascii="黑体" w:hAnsi="黑体" w:eastAsia="黑体"/>
          <w:bCs/>
          <w:snapToGrid w:val="0"/>
          <w:sz w:val="32"/>
          <w:szCs w:val="32"/>
        </w:rPr>
        <w:t>附件</w:t>
      </w:r>
    </w:p>
    <w:p>
      <w:pPr>
        <w:adjustRightInd w:val="0"/>
        <w:snapToGrid w:val="0"/>
        <w:spacing w:line="300" w:lineRule="auto"/>
        <w:ind w:firstLine="0" w:firstLineChars="0"/>
        <w:jc w:val="center"/>
        <w:textAlignment w:val="baseline"/>
        <w:rPr>
          <w:rFonts w:hint="eastAsia" w:ascii="方正小标宋_GBK" w:eastAsia="方正小标宋_GBK"/>
          <w:bCs/>
          <w:snapToGrid w:val="0"/>
          <w:sz w:val="44"/>
          <w:szCs w:val="44"/>
        </w:rPr>
      </w:pPr>
      <w:r>
        <w:rPr>
          <w:rFonts w:hint="eastAsia" w:ascii="方正小标宋_GBK" w:eastAsia="方正小标宋_GBK"/>
          <w:bCs/>
          <w:snapToGrid w:val="0"/>
          <w:sz w:val="44"/>
          <w:szCs w:val="44"/>
        </w:rPr>
        <w:t>攀枝花市证明事项告知承诺制首批目录</w:t>
      </w:r>
    </w:p>
    <w:p>
      <w:bookmarkStart w:id="0" w:name="_GoBack"/>
      <w:bookmarkEnd w:id="0"/>
    </w:p>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147"/>
        <w:gridCol w:w="1683"/>
        <w:gridCol w:w="1407"/>
        <w:gridCol w:w="3433"/>
        <w:gridCol w:w="1107"/>
        <w:gridCol w:w="745"/>
        <w:gridCol w:w="1338"/>
        <w:gridCol w:w="658"/>
        <w:gridCol w:w="667"/>
        <w:gridCol w:w="8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教育行政部门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民办学校设置审批中校长任职资格证明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民办学校设立</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《中华人民共和国民办教育促进法》第十五条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教育行政部门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教育行政部门、原工作单位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4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民政部门</w:t>
            </w:r>
          </w:p>
        </w:tc>
        <w:tc>
          <w:tcPr>
            <w:tcW w:w="1683"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住所使用权证明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社会组织登记</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《社会团体登记管理条例》（国务院令第666号）第十条</w:t>
            </w:r>
            <w:r>
              <w:rPr>
                <w:rFonts w:eastAsia="仿宋_GB2312"/>
                <w:sz w:val="21"/>
                <w:szCs w:val="21"/>
              </w:rPr>
              <w:br w:type="textWrapping"/>
            </w:r>
            <w:r>
              <w:rPr>
                <w:rFonts w:eastAsia="仿宋_GB2312"/>
                <w:spacing w:val="-6"/>
                <w:sz w:val="21"/>
                <w:szCs w:val="21"/>
              </w:rPr>
              <w:t>《民办非企业单位登记管理暂行条例》（国务院令第251号）第八条</w:t>
            </w:r>
            <w:r>
              <w:rPr>
                <w:rFonts w:eastAsia="仿宋_GB2312"/>
                <w:sz w:val="21"/>
                <w:szCs w:val="21"/>
              </w:rPr>
              <w:br w:type="textWrapping"/>
            </w:r>
            <w:r>
              <w:rPr>
                <w:rFonts w:eastAsia="仿宋_GB2312"/>
                <w:sz w:val="21"/>
                <w:szCs w:val="21"/>
              </w:rPr>
              <w:t>《基金会管理条例》（国务院令第400号）第八条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行政法规</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社会组织登记部门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不动产登记管理部门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跨省、市设立分所的具备设立分所条件证明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律师事务所分所设立审核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《中华人民共和国律师法》第十九条第一款</w:t>
            </w:r>
          </w:p>
          <w:p>
            <w:pPr>
              <w:adjustRightInd w:val="0"/>
              <w:snapToGrid w:val="0"/>
              <w:ind w:firstLine="0" w:firstLineChars="0"/>
              <w:jc w:val="both"/>
              <w:rPr>
                <w:rFonts w:eastAsia="仿宋_GB2312"/>
                <w:sz w:val="21"/>
                <w:szCs w:val="21"/>
              </w:rPr>
            </w:pPr>
            <w:r>
              <w:rPr>
                <w:rFonts w:eastAsia="仿宋_GB2312"/>
                <w:sz w:val="21"/>
                <w:szCs w:val="21"/>
              </w:rPr>
              <w:t>《律师事务所管理办法》第三十五条第一款第二项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本所执业许可证明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律师事务所分所设立审核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《中华人民共和国律师法》第十九条第一款</w:t>
            </w:r>
          </w:p>
          <w:p>
            <w:pPr>
              <w:adjustRightInd w:val="0"/>
              <w:snapToGrid w:val="0"/>
              <w:ind w:firstLine="0" w:firstLineChars="0"/>
              <w:jc w:val="both"/>
              <w:rPr>
                <w:rFonts w:eastAsia="仿宋_GB2312"/>
                <w:sz w:val="21"/>
                <w:szCs w:val="21"/>
              </w:rPr>
            </w:pPr>
            <w:r>
              <w:rPr>
                <w:rFonts w:eastAsia="仿宋_GB2312"/>
                <w:sz w:val="21"/>
                <w:szCs w:val="21"/>
              </w:rPr>
              <w:t>《律师事务所管理办法》第三十五条第一款第三项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执业机构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拟任分所负责人执业经历及未受过停止执业处罚的证明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律师事务所分所设立审核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《中华人民共和国律师法》第十九条第一款</w:t>
            </w:r>
          </w:p>
          <w:p>
            <w:pPr>
              <w:adjustRightInd w:val="0"/>
              <w:snapToGrid w:val="0"/>
              <w:ind w:firstLine="0" w:firstLineChars="0"/>
              <w:jc w:val="both"/>
              <w:rPr>
                <w:rFonts w:eastAsia="仿宋_GB2312"/>
                <w:sz w:val="21"/>
                <w:szCs w:val="21"/>
              </w:rPr>
            </w:pPr>
            <w:r>
              <w:rPr>
                <w:rFonts w:eastAsia="仿宋_GB2312"/>
                <w:sz w:val="21"/>
                <w:szCs w:val="21"/>
              </w:rPr>
              <w:t>《律师事务所管理办法》第三十五条第一款第五项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在高等院校、科研机构从事法学教育、研究工作的证明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律师执业许可</w:t>
            </w:r>
          </w:p>
        </w:tc>
        <w:tc>
          <w:tcPr>
            <w:tcW w:w="3433" w:type="dxa"/>
            <w:shd w:val="clear" w:color="000000" w:fill="FFFFFF"/>
            <w:noWrap w:val="0"/>
            <w:vAlign w:val="center"/>
          </w:tcPr>
          <w:p>
            <w:pPr>
              <w:adjustRightInd w:val="0"/>
              <w:snapToGrid w:val="0"/>
              <w:ind w:firstLine="0" w:firstLineChars="0"/>
              <w:jc w:val="both"/>
              <w:rPr>
                <w:rFonts w:hint="eastAsia" w:eastAsia="仿宋_GB2312"/>
                <w:spacing w:val="-6"/>
                <w:sz w:val="21"/>
                <w:szCs w:val="21"/>
              </w:rPr>
            </w:pPr>
            <w:r>
              <w:rPr>
                <w:rFonts w:eastAsia="仿宋_GB2312"/>
                <w:spacing w:val="-6"/>
                <w:sz w:val="21"/>
                <w:szCs w:val="21"/>
              </w:rPr>
              <w:t>《中华人民共和国律师法》第十二条</w:t>
            </w:r>
          </w:p>
          <w:p>
            <w:pPr>
              <w:adjustRightInd w:val="0"/>
              <w:snapToGrid w:val="0"/>
              <w:ind w:firstLine="0" w:firstLineChars="0"/>
              <w:jc w:val="both"/>
              <w:rPr>
                <w:rFonts w:eastAsia="仿宋_GB2312"/>
                <w:sz w:val="21"/>
                <w:szCs w:val="21"/>
              </w:rPr>
            </w:pPr>
            <w:r>
              <w:rPr>
                <w:rFonts w:eastAsia="仿宋_GB2312"/>
                <w:sz w:val="21"/>
                <w:szCs w:val="21"/>
              </w:rPr>
              <w:t>《律师执业管理办法》第十二条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高等院校或科研机构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0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申请人不具有禁止变更执业机构情形的证明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律师执业变更</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《中华人民共和国律师法》第十条</w:t>
            </w:r>
            <w:r>
              <w:rPr>
                <w:rFonts w:eastAsia="仿宋_GB2312"/>
                <w:sz w:val="21"/>
                <w:szCs w:val="21"/>
              </w:rPr>
              <w:br w:type="textWrapping"/>
            </w:r>
            <w:r>
              <w:rPr>
                <w:rFonts w:eastAsia="仿宋_GB2312"/>
                <w:sz w:val="21"/>
                <w:szCs w:val="21"/>
              </w:rPr>
              <w:t>《律师执业管理办法》第二十条第一款第一项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无故意犯罪受过刑事处罚记录证明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律师执业许可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《中华人民共和国律师法》第七条第二项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与原执业机构解除聘用关系或者合伙关系以及办结业务、档案、财务等交接手续的证明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律师执业变更</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《中华人民共和国律师法》第十条</w:t>
            </w:r>
            <w:r>
              <w:rPr>
                <w:rFonts w:eastAsia="仿宋_GB2312"/>
                <w:sz w:val="21"/>
                <w:szCs w:val="21"/>
              </w:rPr>
              <w:br w:type="textWrapping"/>
            </w:r>
            <w:r>
              <w:rPr>
                <w:rFonts w:eastAsia="仿宋_GB2312"/>
                <w:sz w:val="21"/>
                <w:szCs w:val="21"/>
              </w:rPr>
              <w:t>《律师执业管理办法》第二十条第一款第二项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执业机构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申请人的执业经历证明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律师执业变更</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《中华人民共和国律师法》第十条</w:t>
            </w:r>
            <w:r>
              <w:rPr>
                <w:rFonts w:eastAsia="仿宋_GB2312"/>
                <w:sz w:val="21"/>
                <w:szCs w:val="21"/>
              </w:rPr>
              <w:br w:type="textWrapping"/>
            </w:r>
            <w:r>
              <w:rPr>
                <w:rFonts w:eastAsia="仿宋_GB2312"/>
                <w:sz w:val="21"/>
                <w:szCs w:val="21"/>
              </w:rPr>
              <w:t>《律师执业管理办法》第二十条第一款第四项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台湾居民身份证明公证</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台湾居民申请在大陆从事律师职业许可</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《中华人民共和国律师法》第六条第一款第三项</w:t>
            </w:r>
          </w:p>
          <w:p>
            <w:pPr>
              <w:adjustRightInd w:val="0"/>
              <w:snapToGrid w:val="0"/>
              <w:ind w:firstLine="0" w:firstLineChars="0"/>
              <w:jc w:val="both"/>
              <w:rPr>
                <w:rFonts w:eastAsia="仿宋_GB2312"/>
                <w:sz w:val="21"/>
                <w:szCs w:val="21"/>
              </w:rPr>
            </w:pPr>
            <w:r>
              <w:rPr>
                <w:rFonts w:eastAsia="仿宋_GB2312"/>
                <w:sz w:val="21"/>
                <w:szCs w:val="21"/>
              </w:rPr>
              <w:t>《取得国家法律职业资格的台湾居民在大陆从事律师职业管理办法》第五条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台湾地区警政署</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1"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无刑事犯罪记录证明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基层法律服务工作者执业许可</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《四川省基层法律服务条例》第十一条第四款</w:t>
            </w:r>
          </w:p>
          <w:p>
            <w:pPr>
              <w:adjustRightInd w:val="0"/>
              <w:snapToGrid w:val="0"/>
              <w:ind w:firstLine="0" w:firstLineChars="0"/>
              <w:jc w:val="both"/>
              <w:rPr>
                <w:rFonts w:eastAsia="仿宋_GB2312"/>
                <w:spacing w:val="-4"/>
                <w:sz w:val="21"/>
                <w:szCs w:val="21"/>
              </w:rPr>
            </w:pPr>
            <w:r>
              <w:rPr>
                <w:rFonts w:eastAsia="仿宋_GB2312"/>
                <w:spacing w:val="-4"/>
                <w:sz w:val="21"/>
                <w:szCs w:val="21"/>
              </w:rPr>
              <w:t>《基层法律服务工作者管理办法》（司法部令第138号）第八条第一款</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地方性法规、部门规章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未被开除公职或被开除公职已满五年的证明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基层法律服务工作者执业许可</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《四川省基层法律服务条例》第十一条第四款</w:t>
            </w:r>
          </w:p>
          <w:p>
            <w:pPr>
              <w:adjustRightInd w:val="0"/>
              <w:snapToGrid w:val="0"/>
              <w:ind w:firstLine="0" w:firstLineChars="0"/>
              <w:jc w:val="both"/>
              <w:rPr>
                <w:rFonts w:eastAsia="仿宋_GB2312"/>
                <w:spacing w:val="-4"/>
                <w:sz w:val="21"/>
                <w:szCs w:val="21"/>
              </w:rPr>
            </w:pPr>
            <w:r>
              <w:rPr>
                <w:rFonts w:eastAsia="仿宋_GB2312"/>
                <w:spacing w:val="-4"/>
                <w:sz w:val="21"/>
                <w:szCs w:val="21"/>
              </w:rPr>
              <w:t>《基层法律服务工作者管理办法》（司法部令第138号）第八条第二款</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地方性法规、部门规章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工作单位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5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未被开除公职证明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司法鉴定人执业登记</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《全国人民代表大会常务委员会关于司法鉴定管理问题的决定》（2015年修正）第四条第三款</w:t>
            </w:r>
            <w:r>
              <w:rPr>
                <w:rFonts w:eastAsia="仿宋_GB2312"/>
                <w:sz w:val="21"/>
                <w:szCs w:val="21"/>
              </w:rPr>
              <w:br w:type="textWrapping"/>
            </w:r>
            <w:r>
              <w:rPr>
                <w:rFonts w:eastAsia="仿宋_GB2312"/>
                <w:sz w:val="21"/>
                <w:szCs w:val="21"/>
              </w:rPr>
              <w:t>《司法鉴定机构登记管理办法》（司法部令第95号）第十九条第一项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申请人人事关系所在单位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3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无故意犯罪或职务过失犯罪受过刑事处罚记录证明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司法鉴定人执业登记、司法鉴定人延续登记</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《全国人民代表大会常务委员会关于司法鉴定管理问题的决定》（2015年修正）第四条第三款</w:t>
            </w:r>
          </w:p>
          <w:p>
            <w:pPr>
              <w:adjustRightInd w:val="0"/>
              <w:snapToGrid w:val="0"/>
              <w:ind w:firstLine="0" w:firstLineChars="0"/>
              <w:jc w:val="both"/>
              <w:rPr>
                <w:rFonts w:eastAsia="仿宋_GB2312"/>
                <w:sz w:val="21"/>
                <w:szCs w:val="21"/>
              </w:rPr>
            </w:pPr>
            <w:r>
              <w:rPr>
                <w:rFonts w:eastAsia="仿宋_GB2312"/>
                <w:sz w:val="21"/>
                <w:szCs w:val="21"/>
              </w:rPr>
              <w:t>《司法鉴定人登记管理办法》（司法部令第96号）第十三条第一项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45"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16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机构法定代表人无故意犯罪或职务过失犯罪受过刑事处罚记录证明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司法鉴定机构设立、司法鉴定机构延续</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《全国人民代表大会常务委员会关于司法鉴定管理问题的决定》（2015年修正）第四条第三款</w:t>
            </w:r>
            <w:r>
              <w:rPr>
                <w:rFonts w:eastAsia="仿宋_GB2312"/>
                <w:sz w:val="21"/>
                <w:szCs w:val="21"/>
              </w:rPr>
              <w:br w:type="textWrapping"/>
            </w:r>
            <w:r>
              <w:rPr>
                <w:rFonts w:eastAsia="仿宋_GB2312"/>
                <w:sz w:val="21"/>
                <w:szCs w:val="21"/>
              </w:rPr>
              <w:t>《司法鉴定机构登记管理办法》（司法部令第95号）第十九条第一项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1"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17</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pacing w:val="-6"/>
                <w:sz w:val="21"/>
                <w:szCs w:val="21"/>
              </w:rPr>
            </w:pPr>
            <w:r>
              <w:rPr>
                <w:rFonts w:eastAsia="仿宋_GB2312"/>
                <w:spacing w:val="-6"/>
                <w:sz w:val="21"/>
                <w:szCs w:val="21"/>
              </w:rPr>
              <w:t>机构法定代表人未受过开除公职处分证明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司法鉴定机构设立登记</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《全国人民代表大会常务委员会关于司法鉴定管理问题的决定》（2015年修正）第四条第三款</w:t>
            </w:r>
            <w:r>
              <w:rPr>
                <w:rFonts w:eastAsia="仿宋_GB2312"/>
                <w:sz w:val="21"/>
                <w:szCs w:val="21"/>
              </w:rPr>
              <w:br w:type="textWrapping"/>
            </w:r>
            <w:r>
              <w:rPr>
                <w:rFonts w:eastAsia="仿宋_GB2312"/>
                <w:sz w:val="21"/>
                <w:szCs w:val="21"/>
              </w:rPr>
              <w:t>《司法鉴定机构登记管理办法》（司法部令第95号）第十九条第一项</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pacing w:val="-12"/>
                <w:sz w:val="21"/>
                <w:szCs w:val="21"/>
              </w:rPr>
            </w:pPr>
            <w:r>
              <w:rPr>
                <w:rFonts w:eastAsia="仿宋_GB2312"/>
                <w:spacing w:val="-12"/>
                <w:sz w:val="21"/>
                <w:szCs w:val="21"/>
              </w:rPr>
              <w:t>申请人人事关系所在单位</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18</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原所在司法鉴定机构出具的办结业务、档案、财务等交接手续证明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napToGrid w:val="0"/>
                <w:spacing w:val="-6"/>
                <w:sz w:val="21"/>
                <w:szCs w:val="21"/>
              </w:rPr>
            </w:pPr>
            <w:r>
              <w:rPr>
                <w:rFonts w:eastAsia="仿宋_GB2312"/>
                <w:snapToGrid w:val="0"/>
                <w:spacing w:val="-6"/>
                <w:sz w:val="21"/>
                <w:szCs w:val="21"/>
              </w:rPr>
              <w:t>司法鉴定人变更执业机构、司法鉴定人注销登记</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《司法鉴定人登记管理办法》（司法部令第96号）第三条</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拟转出司法鉴定机构</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19</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pacing w:val="-6"/>
                <w:sz w:val="21"/>
                <w:szCs w:val="21"/>
              </w:rPr>
            </w:pPr>
            <w:r>
              <w:rPr>
                <w:rFonts w:eastAsia="仿宋_GB2312"/>
                <w:spacing w:val="-6"/>
                <w:sz w:val="21"/>
                <w:szCs w:val="21"/>
              </w:rPr>
              <w:t>无故意犯罪或职务犯罪受过刑事处罚记录证明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公证员执业许可</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《中华人民共和国公证法》第二十条第二项</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4"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20</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napToGrid w:val="0"/>
                <w:sz w:val="21"/>
                <w:szCs w:val="21"/>
              </w:rPr>
            </w:pPr>
            <w:r>
              <w:rPr>
                <w:rFonts w:eastAsia="仿宋_GB2312"/>
                <w:snapToGrid w:val="0"/>
                <w:sz w:val="21"/>
                <w:szCs w:val="21"/>
              </w:rPr>
              <w:t>符合公证员任职条件的学历、工作经历及职务证明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公证员执业许可</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w:t>
            </w:r>
            <w:r>
              <w:rPr>
                <w:rFonts w:eastAsia="仿宋_GB2312"/>
                <w:spacing w:val="-6"/>
                <w:sz w:val="21"/>
                <w:szCs w:val="21"/>
              </w:rPr>
              <w:t>中华人民共和国公证法》第十九条</w:t>
            </w:r>
            <w:r>
              <w:rPr>
                <w:rFonts w:eastAsia="仿宋_GB2312"/>
                <w:sz w:val="21"/>
                <w:szCs w:val="21"/>
              </w:rPr>
              <w:br w:type="textWrapping"/>
            </w:r>
            <w:r>
              <w:rPr>
                <w:rFonts w:eastAsia="仿宋_GB2312"/>
                <w:sz w:val="21"/>
                <w:szCs w:val="21"/>
              </w:rPr>
              <w:t>《公证员执业管理办法》(司法部令第102号)第十一条第二款第四项</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工作单位</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21</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pacing w:val="-6"/>
                <w:sz w:val="21"/>
                <w:szCs w:val="21"/>
              </w:rPr>
            </w:pPr>
            <w:r>
              <w:rPr>
                <w:rFonts w:eastAsia="仿宋_GB2312"/>
                <w:spacing w:val="-6"/>
                <w:sz w:val="21"/>
                <w:szCs w:val="21"/>
              </w:rPr>
              <w:t>原所在公证机构出具办结业务、档案、财务等交接手续的证明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公证员执业机构变更</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《中华人民共和国公证法》第二十三条第一项</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工作单位</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11" w:hRule="atLeast"/>
          <w:jc w:val="center"/>
        </w:trPr>
        <w:tc>
          <w:tcPr>
            <w:tcW w:w="70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22</w:t>
            </w:r>
          </w:p>
        </w:tc>
        <w:tc>
          <w:tcPr>
            <w:tcW w:w="114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spacing w:line="238" w:lineRule="auto"/>
              <w:ind w:firstLine="0" w:firstLineChars="0"/>
              <w:jc w:val="both"/>
              <w:rPr>
                <w:rFonts w:eastAsia="仿宋_GB2312"/>
                <w:spacing w:val="-6"/>
                <w:sz w:val="21"/>
                <w:szCs w:val="21"/>
              </w:rPr>
            </w:pPr>
            <w:r>
              <w:rPr>
                <w:rFonts w:eastAsia="仿宋_GB2312"/>
                <w:spacing w:val="-6"/>
                <w:sz w:val="21"/>
                <w:szCs w:val="21"/>
              </w:rPr>
              <w:t>律师执业、变更、注销证明;律师事务所（分所）设立、变更、注销证明</w:t>
            </w:r>
          </w:p>
        </w:tc>
        <w:tc>
          <w:tcPr>
            <w:tcW w:w="1407" w:type="dxa"/>
            <w:shd w:val="clear" w:color="000000" w:fill="FFFFFF"/>
            <w:noWrap w:val="0"/>
            <w:vAlign w:val="center"/>
          </w:tcPr>
          <w:p>
            <w:pPr>
              <w:adjustRightInd w:val="0"/>
              <w:snapToGrid w:val="0"/>
              <w:spacing w:line="238" w:lineRule="auto"/>
              <w:ind w:firstLine="0" w:firstLineChars="0"/>
              <w:jc w:val="center"/>
              <w:rPr>
                <w:rFonts w:eastAsia="仿宋_GB2312"/>
                <w:spacing w:val="-6"/>
                <w:sz w:val="18"/>
                <w:szCs w:val="18"/>
              </w:rPr>
            </w:pPr>
            <w:r>
              <w:rPr>
                <w:rFonts w:eastAsia="仿宋_GB2312"/>
                <w:spacing w:val="-6"/>
                <w:sz w:val="18"/>
                <w:szCs w:val="18"/>
              </w:rPr>
              <w:t>律师执业、变更、注销许可；律师事务所（分所）设立、变更、注销许可</w:t>
            </w:r>
          </w:p>
        </w:tc>
        <w:tc>
          <w:tcPr>
            <w:tcW w:w="3433" w:type="dxa"/>
            <w:shd w:val="clear" w:color="000000" w:fill="FFFFFF"/>
            <w:noWrap w:val="0"/>
            <w:vAlign w:val="center"/>
          </w:tcPr>
          <w:p>
            <w:pPr>
              <w:adjustRightInd w:val="0"/>
              <w:snapToGrid w:val="0"/>
              <w:spacing w:line="238" w:lineRule="auto"/>
              <w:ind w:firstLine="0" w:firstLineChars="0"/>
              <w:jc w:val="both"/>
              <w:rPr>
                <w:rFonts w:eastAsia="仿宋_GB2312"/>
                <w:sz w:val="21"/>
                <w:szCs w:val="21"/>
              </w:rPr>
            </w:pPr>
            <w:r>
              <w:rPr>
                <w:rFonts w:eastAsia="仿宋_GB2312"/>
                <w:sz w:val="21"/>
                <w:szCs w:val="21"/>
              </w:rPr>
              <w:t>《律师执业管理办法》第十四条</w:t>
            </w:r>
            <w:r>
              <w:rPr>
                <w:rFonts w:eastAsia="仿宋_GB2312"/>
                <w:sz w:val="21"/>
                <w:szCs w:val="21"/>
              </w:rPr>
              <w:br w:type="textWrapping"/>
            </w:r>
            <w:r>
              <w:rPr>
                <w:rFonts w:eastAsia="仿宋_GB2312"/>
                <w:snapToGrid w:val="0"/>
                <w:spacing w:val="-4"/>
                <w:sz w:val="21"/>
                <w:szCs w:val="21"/>
              </w:rPr>
              <w:t>《律师事务所管理办法》第二十一条</w:t>
            </w:r>
          </w:p>
        </w:tc>
        <w:tc>
          <w:tcPr>
            <w:tcW w:w="110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spacing w:line="238" w:lineRule="auto"/>
              <w:ind w:firstLine="0" w:firstLineChars="0"/>
              <w:jc w:val="center"/>
              <w:rPr>
                <w:rFonts w:eastAsia="仿宋_GB2312"/>
                <w:spacing w:val="-12"/>
                <w:sz w:val="21"/>
                <w:szCs w:val="21"/>
              </w:rPr>
            </w:pPr>
            <w:r>
              <w:rPr>
                <w:rFonts w:eastAsia="仿宋_GB2312"/>
                <w:spacing w:val="-12"/>
                <w:sz w:val="21"/>
                <w:szCs w:val="21"/>
              </w:rPr>
              <w:t>公安、人力资源社会保障、住房城乡建设等部门</w:t>
            </w:r>
          </w:p>
        </w:tc>
        <w:tc>
          <w:tcPr>
            <w:tcW w:w="658"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spacing w:line="238" w:lineRule="auto"/>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无故意犯罪受过刑事处罚记录证明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申请律师执业人员实习备案登记</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《中华人民共和国律师法》第五条第一款第四项</w:t>
            </w:r>
            <w:r>
              <w:rPr>
                <w:rFonts w:eastAsia="仿宋_GB2312"/>
                <w:sz w:val="21"/>
                <w:szCs w:val="21"/>
              </w:rPr>
              <w:br w:type="textWrapping"/>
            </w:r>
            <w:r>
              <w:rPr>
                <w:rFonts w:eastAsia="仿宋_GB2312"/>
                <w:sz w:val="21"/>
                <w:szCs w:val="21"/>
              </w:rPr>
              <w:t>《申请律师执业人员实习管理规则》第五条第五项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律师协会</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8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获得表彰奖励、受到行政处罚或者行业惩戒的证明</w:t>
            </w:r>
            <w:r>
              <w:rPr>
                <w:rFonts w:hint="eastAsia" w:eastAsia="仿宋_GB2312"/>
                <w:spacing w:val="-6"/>
                <w:sz w:val="21"/>
                <w:szCs w:val="21"/>
              </w:rPr>
              <w:t>；</w:t>
            </w:r>
            <w:r>
              <w:rPr>
                <w:rFonts w:eastAsia="仿宋_GB2312"/>
                <w:spacing w:val="-6"/>
                <w:sz w:val="21"/>
                <w:szCs w:val="21"/>
              </w:rPr>
              <w:t>履行律协会员义务证明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律师执业年度考核</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《中华人民共和国律师法》第四条</w:t>
            </w:r>
            <w:r>
              <w:rPr>
                <w:rFonts w:eastAsia="仿宋_GB2312"/>
                <w:sz w:val="21"/>
                <w:szCs w:val="21"/>
              </w:rPr>
              <w:br w:type="textWrapping"/>
            </w:r>
            <w:r>
              <w:rPr>
                <w:rFonts w:eastAsia="仿宋_GB2312"/>
                <w:sz w:val="21"/>
                <w:szCs w:val="21"/>
              </w:rPr>
              <w:t>《律师执业年度考核规则》第十四条第二项</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律师协会</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司法行政部门、行业协会</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年度财务审计证明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会计事务机构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年度内被获准的重大变更事项的证明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《中华人民共和国律师法》第四条                                《律师事务所年度检查考核办法》第十六条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建立执业风险、事业发展等基金的证明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保险机构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获得行政或者行业表彰奖励、受到行政处罚或者行业惩戒的证明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司法行政部门、律师协会</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29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为聘用律师和辅助人员办理社会保险的证明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履行法律援助义务、参加社会服务及其他社会公益活动的证明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司法行政部门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履行律师协会会员义务的证明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律师事务所年度考核</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《中华人民共和国律师法》第四条</w:t>
            </w:r>
          </w:p>
          <w:p>
            <w:pPr>
              <w:adjustRightInd w:val="0"/>
              <w:snapToGrid w:val="0"/>
              <w:ind w:firstLine="0" w:firstLineChars="0"/>
              <w:jc w:val="both"/>
              <w:rPr>
                <w:rFonts w:eastAsia="仿宋_GB2312"/>
                <w:sz w:val="21"/>
                <w:szCs w:val="21"/>
              </w:rPr>
            </w:pPr>
            <w:r>
              <w:rPr>
                <w:rFonts w:eastAsia="仿宋_GB2312"/>
                <w:sz w:val="21"/>
                <w:szCs w:val="21"/>
              </w:rPr>
              <w:t>《律师事务所年度检查考核办法》第十六条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司法行政部门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律师协会</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4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一次性缴费期间存在劳动关系证明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企业职工社会保险费补缴申报</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《关于城镇企业职工基本养老保险关系转移接续若干问题的通知》（人社部规〔2016〕5号）第四条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社会保险经办机构</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法院、审计、仲裁、劳动保障监察部门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5"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居民死亡医学证明（推断）证明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一次性工亡补助金（含生活困难，预支50%确认）、丧葬补助金申领</w:t>
            </w:r>
          </w:p>
        </w:tc>
        <w:tc>
          <w:tcPr>
            <w:tcW w:w="3433" w:type="dxa"/>
            <w:shd w:val="clear" w:color="000000" w:fill="FFFFFF"/>
            <w:noWrap w:val="0"/>
            <w:vAlign w:val="center"/>
          </w:tcPr>
          <w:p>
            <w:pPr>
              <w:adjustRightInd w:val="0"/>
              <w:snapToGrid w:val="0"/>
              <w:ind w:firstLine="0" w:firstLineChars="0"/>
              <w:jc w:val="both"/>
              <w:rPr>
                <w:rFonts w:eastAsia="仿宋_GB2312"/>
                <w:spacing w:val="-4"/>
                <w:sz w:val="21"/>
                <w:szCs w:val="21"/>
              </w:rPr>
            </w:pPr>
            <w:r>
              <w:rPr>
                <w:rFonts w:eastAsia="仿宋_GB2312"/>
                <w:spacing w:val="-4"/>
                <w:sz w:val="21"/>
                <w:szCs w:val="21"/>
              </w:rPr>
              <w:t>《关于印发〈基本养老保险经办业务规程（试行）〉的通知》（劳社险中心函〔2003〕38号）第六十三条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社会保险经办机构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城市管理行政主管部门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本人困难证明或残疾证明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临时便民服务摊点设置</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《城市道路管理条例》第三十二条</w:t>
            </w:r>
            <w:r>
              <w:rPr>
                <w:rFonts w:eastAsia="仿宋_GB2312"/>
                <w:sz w:val="21"/>
                <w:szCs w:val="21"/>
              </w:rPr>
              <w:br w:type="textWrapping"/>
            </w:r>
            <w:r>
              <w:rPr>
                <w:rFonts w:eastAsia="仿宋_GB2312"/>
                <w:sz w:val="21"/>
                <w:szCs w:val="21"/>
              </w:rPr>
              <w:t>《四川省城乡环境综合治理条例》第二十三条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行政法规、地方性法规</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城市管理行政主管部门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民政部门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建设工程档案验收证明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建设工程竣工联合验收</w:t>
            </w:r>
          </w:p>
        </w:tc>
        <w:tc>
          <w:tcPr>
            <w:tcW w:w="3433" w:type="dxa"/>
            <w:vMerge w:val="restart"/>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《城市建设档案管理规定》（建设部令第90号）第五条、第八条</w:t>
            </w:r>
          </w:p>
          <w:p>
            <w:pPr>
              <w:adjustRightInd w:val="0"/>
              <w:snapToGrid w:val="0"/>
              <w:ind w:firstLine="0" w:firstLineChars="0"/>
              <w:jc w:val="both"/>
              <w:rPr>
                <w:rFonts w:eastAsia="仿宋_GB2312"/>
                <w:sz w:val="21"/>
                <w:szCs w:val="21"/>
              </w:rPr>
            </w:pPr>
            <w:r>
              <w:rPr>
                <w:rFonts w:eastAsia="仿宋_GB2312"/>
                <w:sz w:val="21"/>
                <w:szCs w:val="21"/>
              </w:rPr>
              <w:t>《建设工程文件归档规范》（2019版）基本规定第6条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城建档案部门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勘察、设计等单位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环卫设施建设工程项目档案备案证明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建设工程竣工联合验收</w:t>
            </w:r>
          </w:p>
        </w:tc>
        <w:tc>
          <w:tcPr>
            <w:tcW w:w="3433" w:type="dxa"/>
            <w:vMerge w:val="continue"/>
            <w:shd w:val="clear" w:color="auto" w:fill="auto"/>
            <w:noWrap w:val="0"/>
            <w:vAlign w:val="center"/>
          </w:tcPr>
          <w:p>
            <w:pPr>
              <w:adjustRightInd w:val="0"/>
              <w:snapToGrid w:val="0"/>
              <w:ind w:firstLine="0" w:firstLineChars="0"/>
              <w:jc w:val="both"/>
              <w:rPr>
                <w:rFonts w:eastAsia="仿宋_GB2312"/>
                <w:sz w:val="21"/>
                <w:szCs w:val="21"/>
              </w:rPr>
            </w:pP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城建档案部门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勘察、设计等单位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城市管理行政主管部门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建设项目立项批准证明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改变绿化规划、绿化用地的使用性质审批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《企业投资项目核准暂行办法》第三条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城市绿化行政主管部门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发展改革部门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城市管理行政主管部门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建设项目选址意见证明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改变绿化规划、绿化用地的使用性质审批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《中华人民共和国城乡规划法》第三十六条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城市绿化行政主管部门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城乡规划部门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9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39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社保证明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公共租赁住房申请资格审核认定</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《公共租赁住房管理办法》（建设部第11号令）第八条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6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收入情况证明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公共租赁住房申请资格审核认定</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《公共租赁住房管理办法》（建设部第11号令）第八条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民政部门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住房情况证明、住房保障情况证明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公共租赁住房申请资格审核认定</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《公共租赁住房管理办法》（建设部第11号令）第八条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拆迁进度符合施工要求证明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申办建筑工程施工许可证核发</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《中华人民共和国建筑法》第八条</w:t>
            </w:r>
            <w:r>
              <w:rPr>
                <w:rFonts w:eastAsia="仿宋_GB2312"/>
                <w:sz w:val="21"/>
                <w:szCs w:val="21"/>
              </w:rPr>
              <w:br w:type="textWrapping"/>
            </w:r>
            <w:r>
              <w:rPr>
                <w:rFonts w:eastAsia="仿宋_GB2312"/>
                <w:sz w:val="21"/>
                <w:szCs w:val="21"/>
              </w:rPr>
              <w:t>《建筑工程施工许可管理办法》第四条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勘察、施工等单位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建设资金已经落实承诺证明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申办建筑工程施工许可证核发</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《中华人民共和国建筑法》第八条</w:t>
            </w:r>
            <w:r>
              <w:rPr>
                <w:rFonts w:eastAsia="仿宋_GB2312"/>
                <w:sz w:val="21"/>
                <w:szCs w:val="21"/>
              </w:rPr>
              <w:br w:type="textWrapping"/>
            </w:r>
            <w:r>
              <w:rPr>
                <w:rFonts w:eastAsia="仿宋_GB2312"/>
                <w:sz w:val="21"/>
                <w:szCs w:val="21"/>
              </w:rPr>
              <w:t>《建筑工程施工许可管理办法》第四条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住房城乡建设部门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建设单位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4"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经营场所使用权证明或产权证明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不动产管理部门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教练场地使用权证明或产权证明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不动产管理部门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教学车辆技术条件、车型及数量证明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机动车综合性能检测机构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教学车辆购置证明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市场监督部门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拟聘用人员名册、职称证明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6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49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相关人员安全驾驶经历证明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机动车驾驶培训经营许可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《机动车驾驶员培训管理规定》（交通运输部令2016年第51号）第十三条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4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全日制驾驶职业教育学籍证明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道路危险货物运输驾驶员从业资格证核发</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《道路运输从业人员管理规定》（交通运输部令2019年第18号）第十六条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教育行政部门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相关培训证明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道路危险货物运输驾驶员从业资格证核发，道路危险货物运输装卸管理人员和押运人员从业资格证核发</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《道路运输从业人员管理规定》（交通运输部令2019年第18号）第十六条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教育行政部门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无交通肇事犯罪、危险驾驶犯罪、无暴力犯罪、无吸毒、无饮酒后驾驶、最近连续3个记分周期内没有记满12分记录的证明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巡游出租汽车驾驶员从业资格证件核发，网络预约出租汽车驾驶员证发放</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《出租汽车驾驶员从业资格管理规定》（交通运输部令2016年第63号）第十一条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交通运输部门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公安部门，司法机关</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09"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水工程规划同意书审批证明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建设项目依据、基本情况和利害关系地区、行业的意见</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《中华人民共和国水法》第十九条《水工程建设规划同意书制度管理办法（试行）》（水利部令第31号）第六条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发展改革或者行业主管部门，有关地区、行业主管部门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83"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利害关系人的证明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河道管理范围内建设项目工程建设方案审批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《中华人民共和国水法》第三十八条第一款</w:t>
            </w:r>
            <w:r>
              <w:rPr>
                <w:rFonts w:eastAsia="仿宋_GB2312"/>
                <w:sz w:val="21"/>
                <w:szCs w:val="21"/>
              </w:rPr>
              <w:br w:type="textWrapping"/>
            </w:r>
            <w:r>
              <w:rPr>
                <w:rFonts w:eastAsia="仿宋_GB2312"/>
                <w:sz w:val="21"/>
                <w:szCs w:val="21"/>
              </w:rPr>
              <w:t>《中华人民共和国防洪法》第二十七条</w:t>
            </w:r>
            <w:r>
              <w:rPr>
                <w:rFonts w:eastAsia="仿宋_GB2312"/>
                <w:sz w:val="21"/>
                <w:szCs w:val="21"/>
              </w:rPr>
              <w:br w:type="textWrapping"/>
            </w:r>
            <w:r>
              <w:rPr>
                <w:rFonts w:eastAsia="仿宋_GB2312"/>
                <w:sz w:val="21"/>
                <w:szCs w:val="21"/>
              </w:rPr>
              <w:t>《河道管理范围内建设项目管理的有关规定》（水利部、国家计划委员会水政（1992）7号）第五条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发展改革或者行业主管部门，有关地区、行业主管部门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3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采砂单位身份证明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河道采砂许可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《河道管理条例》第二十五条</w:t>
            </w:r>
            <w:r>
              <w:rPr>
                <w:rFonts w:eastAsia="仿宋_GB2312"/>
                <w:sz w:val="21"/>
                <w:szCs w:val="21"/>
              </w:rPr>
              <w:br w:type="textWrapping"/>
            </w:r>
            <w:r>
              <w:rPr>
                <w:rFonts w:eastAsia="仿宋_GB2312"/>
                <w:sz w:val="21"/>
                <w:szCs w:val="21"/>
              </w:rPr>
              <w:t>《四川省河道采砂管理条例》第十八条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行政法规、地方性法规</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市场监管部门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40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水利建设市场主体信用评价证明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水利建设市场主体的资格和具备相关能力</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《国务院关于印发社会信用体系建设规划纲要（2014-2020年）的通知》（国发〔2014〕21号）五、（二）</w:t>
            </w:r>
            <w:r>
              <w:rPr>
                <w:rFonts w:eastAsia="仿宋_GB2312"/>
                <w:sz w:val="21"/>
                <w:szCs w:val="21"/>
              </w:rPr>
              <w:br w:type="textWrapping"/>
            </w:r>
            <w:r>
              <w:rPr>
                <w:rFonts w:eastAsia="仿宋_GB2312"/>
                <w:sz w:val="21"/>
                <w:szCs w:val="21"/>
              </w:rPr>
              <w:t>《水利建设市场主体信用评价管理办法》（水建设〔2019〕307号）第十条</w:t>
            </w:r>
          </w:p>
        </w:tc>
        <w:tc>
          <w:tcPr>
            <w:tcW w:w="1107"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国务院文件、部门规范性文件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认证机构、会计机构、奖惩机关、市场监管、税务、金融等信用评价机关</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3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水利基建项目初步设计文件审批证明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水利基建项目初步设计文件材料符合审批要求</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《国务院对确需保留的行政审批项目设定行政许可的决定》（国务院令第412号）第172项</w:t>
            </w:r>
          </w:p>
          <w:p>
            <w:pPr>
              <w:adjustRightInd w:val="0"/>
              <w:snapToGrid w:val="0"/>
              <w:ind w:firstLine="0" w:firstLineChars="0"/>
              <w:jc w:val="both"/>
              <w:rPr>
                <w:rFonts w:eastAsia="仿宋_GB2312"/>
                <w:sz w:val="21"/>
                <w:szCs w:val="21"/>
              </w:rPr>
            </w:pPr>
            <w:r>
              <w:rPr>
                <w:rFonts w:eastAsia="仿宋_GB2312"/>
                <w:sz w:val="21"/>
                <w:szCs w:val="21"/>
              </w:rPr>
              <w:t>《水利部本级行政审批事项审查工作细则》（办政法〔2017〕10号）及《水利水电工程初步设计报告编制规程》</w:t>
            </w:r>
          </w:p>
        </w:tc>
        <w:tc>
          <w:tcPr>
            <w:tcW w:w="1107"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行政法规、部门规范性文件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发展改革、生态环境、水行政、自然资源、住房城乡建设等部门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9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建设项目水资源论证报告书选址审查意见证明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编制建设项目水资源论证报告书需载入项目选址情况和有关部门审查意见</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《取水许可和水资源费征收管理条例》（国务院令第460号）第十一条第二款</w:t>
            </w:r>
            <w:r>
              <w:rPr>
                <w:rFonts w:eastAsia="仿宋_GB2312"/>
                <w:sz w:val="21"/>
                <w:szCs w:val="21"/>
              </w:rPr>
              <w:br w:type="textWrapping"/>
            </w:r>
            <w:r>
              <w:rPr>
                <w:rFonts w:eastAsia="仿宋_GB2312"/>
                <w:sz w:val="21"/>
                <w:szCs w:val="21"/>
              </w:rPr>
              <w:t>《建设项目水资源论证管理办法》（水利部国家计委令第15号）附录“一、总论”3</w:t>
            </w:r>
            <w:r>
              <w:rPr>
                <w:rFonts w:hint="eastAsia" w:eastAsia="仿宋_GB2312"/>
                <w:sz w:val="21"/>
                <w:szCs w:val="21"/>
              </w:rPr>
              <w:t>．</w:t>
            </w:r>
            <w:r>
              <w:rPr>
                <w:rFonts w:eastAsia="仿宋_GB2312"/>
                <w:sz w:val="21"/>
                <w:szCs w:val="21"/>
              </w:rPr>
              <w:t>项目选址状况、有关部门审查意见</w:t>
            </w:r>
          </w:p>
        </w:tc>
        <w:tc>
          <w:tcPr>
            <w:tcW w:w="1107"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行政法规、部门规章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流域管理机构、水行政主管部门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城乡规划、发展改革或其他行业主管部门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03"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59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水行政主管部门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取水许可证核发证明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建设项目已批准、核准、计量设施符合法规要求、取水闸坝具有蓄水调度运行方案</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pacing w:val="-4"/>
                <w:sz w:val="21"/>
                <w:szCs w:val="21"/>
              </w:rPr>
              <w:t>《取水许可和水资源费征收管理条例》（国务院令第460号）第二十三条第一款</w:t>
            </w:r>
            <w:r>
              <w:rPr>
                <w:rFonts w:eastAsia="仿宋_GB2312"/>
                <w:sz w:val="21"/>
                <w:szCs w:val="21"/>
              </w:rPr>
              <w:br w:type="textWrapping"/>
            </w:r>
            <w:r>
              <w:rPr>
                <w:rFonts w:eastAsia="仿宋_GB2312"/>
                <w:spacing w:val="-4"/>
                <w:sz w:val="21"/>
                <w:szCs w:val="21"/>
              </w:rPr>
              <w:t>《取水许可管理办法》（水利部令第34号）第二十二条第一款、第二款</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行政法规、部门规章</w:t>
            </w:r>
          </w:p>
        </w:tc>
        <w:tc>
          <w:tcPr>
            <w:tcW w:w="745"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流域管理</w:t>
            </w:r>
            <w:r>
              <w:rPr>
                <w:rFonts w:eastAsia="仿宋_GB2312"/>
                <w:spacing w:val="-18"/>
                <w:sz w:val="21"/>
                <w:szCs w:val="21"/>
              </w:rPr>
              <w:t>机构、</w:t>
            </w:r>
            <w:r>
              <w:rPr>
                <w:rFonts w:eastAsia="仿宋_GB2312"/>
                <w:spacing w:val="-12"/>
                <w:sz w:val="21"/>
                <w:szCs w:val="21"/>
              </w:rPr>
              <w:t>水行政主管部门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发展改革、经信、市场监管或计量认证机构、水行政主管部门、流域管理机构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14"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商务行政部门</w:t>
            </w:r>
          </w:p>
        </w:tc>
        <w:tc>
          <w:tcPr>
            <w:tcW w:w="1683"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土地使用权证明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设立二手车交易市场、二手车经销企业开设店铺</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《二手车流通管理办法》（商务部、公安部、工商总局、税务总局令2005年第2号）第三十一条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商务行政部门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不动产管理部门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41"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演员的艺术表演能力证明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设立文艺表演团体审批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《营业性演出管理条例实施细则》（文化部令第47号）第七条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院校、人力资源社会保障部门、演出行业协会</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683"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营业执照证明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设立文艺表演团体审批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《营业性演出管理条例实施细则》（文化部令第47号）第七条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pacing w:val="-20"/>
                <w:sz w:val="21"/>
                <w:szCs w:val="21"/>
              </w:rPr>
            </w:pPr>
            <w:r>
              <w:rPr>
                <w:rFonts w:eastAsia="仿宋_GB2312"/>
                <w:spacing w:val="-20"/>
                <w:sz w:val="21"/>
                <w:szCs w:val="21"/>
              </w:rPr>
              <w:t>文化和旅游部门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市场监管部门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24"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三名导游人员的劳动关系证明和导游资格证明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旅行社设立许可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《中华人民共和国旅游法》第二十八条</w:t>
            </w:r>
            <w:r>
              <w:rPr>
                <w:rFonts w:eastAsia="仿宋_GB2312"/>
                <w:sz w:val="21"/>
                <w:szCs w:val="21"/>
              </w:rPr>
              <w:br w:type="textWrapping"/>
            </w:r>
            <w:r>
              <w:rPr>
                <w:rFonts w:eastAsia="仿宋_GB2312"/>
                <w:sz w:val="21"/>
                <w:szCs w:val="21"/>
              </w:rPr>
              <w:t>《旅行社条例》(国务院令第550号)第三十一条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法律、行政法规</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文化旅游部门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企业法人营业证明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旅行社设立许可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pacing w:val="-12"/>
                <w:sz w:val="21"/>
                <w:szCs w:val="21"/>
              </w:rPr>
              <w:t>《中华人民共和国旅游法》第二十八条</w:t>
            </w:r>
            <w:r>
              <w:rPr>
                <w:rFonts w:eastAsia="仿宋_GB2312"/>
                <w:sz w:val="21"/>
                <w:szCs w:val="21"/>
              </w:rPr>
              <w:br w:type="textWrapping"/>
            </w:r>
            <w:r>
              <w:rPr>
                <w:rFonts w:eastAsia="仿宋_GB2312"/>
                <w:sz w:val="21"/>
                <w:szCs w:val="21"/>
              </w:rPr>
              <w:t>《旅行社管理条例实施细则》（原国家旅游局颁布）第八条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文化和旅游部门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市场监管部门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3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卫生健康行政部门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母婴保健服务人员资格认定工作经历和工作年限证明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母婴保健专项技术服务人员资格首次申报</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《母婴保健专项技术服务许可及人员资格管理办法》(2019年2月28日修订)第十条</w:t>
            </w:r>
            <w:r>
              <w:rPr>
                <w:rFonts w:eastAsia="仿宋_GB2312"/>
                <w:sz w:val="21"/>
                <w:szCs w:val="21"/>
              </w:rPr>
              <w:br w:type="textWrapping"/>
            </w:r>
            <w:r>
              <w:rPr>
                <w:rFonts w:eastAsia="仿宋_GB2312"/>
                <w:spacing w:val="-6"/>
                <w:sz w:val="21"/>
                <w:szCs w:val="21"/>
              </w:rPr>
              <w:t>《国家卫生健康委关于印发开展产前筛查技术医疗机构基本标准和开展产前诊断技术医疗机构基本标准的通知》（国卫妇幼函〔2019〕297号）</w:t>
            </w:r>
            <w:r>
              <w:rPr>
                <w:rFonts w:eastAsia="仿宋_GB2312"/>
                <w:sz w:val="21"/>
                <w:szCs w:val="21"/>
              </w:rPr>
              <w:br w:type="textWrapping"/>
            </w:r>
            <w:r>
              <w:rPr>
                <w:rFonts w:eastAsia="仿宋_GB2312"/>
                <w:spacing w:val="-6"/>
                <w:sz w:val="21"/>
                <w:szCs w:val="21"/>
              </w:rPr>
              <w:t>《母婴保健专项技术服务基本标准》</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卫生健康行政部门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医疗机构</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林业和草原部门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林权证明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林木采伐许可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《中华人民共和国森林法》第五十八条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林草主管部门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自然资源等部门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4"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林业和草原部门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草原权属证明材料</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征占用草原审批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《草原征占用审核审批管理办法》第十一条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林草主管部门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县级人民政府</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5"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林业和草原部门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被治理土地权属的合法证明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从事营利性治沙活动许可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《中华人民共和国防沙治沙法》第二十六条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林草主管部门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自然资源等部门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69</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林业和草原部门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治理所需的资金证明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从事营利性治沙活动许可</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《中华人民共和国防沙治沙法》第二十六条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林草主管部门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银行</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70</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广播电视部门</w:t>
            </w:r>
          </w:p>
        </w:tc>
        <w:tc>
          <w:tcPr>
            <w:tcW w:w="168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宾馆饭店同意在其宾馆饭店从事视频点播业务的证明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宾馆饭店以外的机构申请广播电视视频点播业务许可证（乙种）审批</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《广播电视视频点播业务管理办法》（国家广播电影电视总局令第35号）第十条第二款</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广播电视视频点播部门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宾馆饭店</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71</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退休审批证明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职工基本医疗保险费趸缴</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《中华人民共和国社会保险法》第二十七条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人力资源社会保障部门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72</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异地安置认定证明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异地安置退休人员备案</w:t>
            </w:r>
          </w:p>
        </w:tc>
        <w:tc>
          <w:tcPr>
            <w:tcW w:w="3433" w:type="dxa"/>
            <w:vMerge w:val="restart"/>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《国家医保局 财政部关于切实做好2019年跨省异地就医住院费用直接结算工作的通知》（医保发〔2019〕33号）</w:t>
            </w:r>
          </w:p>
          <w:p>
            <w:pPr>
              <w:adjustRightInd w:val="0"/>
              <w:snapToGrid w:val="0"/>
              <w:ind w:firstLine="0" w:firstLineChars="0"/>
              <w:jc w:val="both"/>
              <w:rPr>
                <w:rFonts w:eastAsia="仿宋_GB2312"/>
                <w:sz w:val="21"/>
                <w:szCs w:val="21"/>
              </w:rPr>
            </w:pPr>
            <w:r>
              <w:rPr>
                <w:rFonts w:eastAsia="仿宋_GB2312"/>
                <w:sz w:val="21"/>
                <w:szCs w:val="21"/>
              </w:rPr>
              <w:t>《国家医疗保障局办公室关于建立基本医疗保险跨省异地就医结算业务协同管理工作机制的通知》（医保办发〔2019〕33号）</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73</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both"/>
              <w:rPr>
                <w:rFonts w:eastAsia="仿宋_GB2312"/>
                <w:spacing w:val="-16"/>
                <w:sz w:val="21"/>
                <w:szCs w:val="21"/>
              </w:rPr>
            </w:pPr>
            <w:r>
              <w:rPr>
                <w:rFonts w:eastAsia="仿宋_GB2312"/>
                <w:spacing w:val="-16"/>
                <w:sz w:val="21"/>
                <w:szCs w:val="21"/>
              </w:rPr>
              <w:t>长期居住认定证明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异地长期居住人员备案</w:t>
            </w:r>
          </w:p>
        </w:tc>
        <w:tc>
          <w:tcPr>
            <w:tcW w:w="3433" w:type="dxa"/>
            <w:vMerge w:val="continue"/>
            <w:shd w:val="clear" w:color="auto" w:fill="auto"/>
            <w:noWrap w:val="0"/>
            <w:vAlign w:val="center"/>
          </w:tcPr>
          <w:p>
            <w:pPr>
              <w:adjustRightInd w:val="0"/>
              <w:snapToGrid w:val="0"/>
              <w:ind w:firstLine="0" w:firstLineChars="0"/>
              <w:jc w:val="both"/>
              <w:rPr>
                <w:rFonts w:eastAsia="仿宋_GB2312"/>
                <w:sz w:val="21"/>
                <w:szCs w:val="21"/>
              </w:rPr>
            </w:pP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公安部门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56"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74</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异地工作证明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常驻异地工作人员备案</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《国家医保局 财政部关于切实做好2019年跨省异地就医住院费用直接结算工作的通知》（医保发〔2019〕33号）</w:t>
            </w:r>
            <w:r>
              <w:rPr>
                <w:rFonts w:eastAsia="仿宋_GB2312"/>
                <w:sz w:val="21"/>
                <w:szCs w:val="21"/>
              </w:rPr>
              <w:br w:type="textWrapping"/>
            </w:r>
            <w:r>
              <w:rPr>
                <w:rFonts w:eastAsia="仿宋_GB2312"/>
                <w:sz w:val="21"/>
                <w:szCs w:val="21"/>
              </w:rPr>
              <w:t>《国家医疗保障局办公室关于建立基本医疗保险跨省异地就医结算业务协同管理工作机制的通知》（医保办发〔2019〕33号）</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工作单位</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05"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序号</w:t>
            </w:r>
          </w:p>
        </w:tc>
        <w:tc>
          <w:tcPr>
            <w:tcW w:w="114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部门</w:t>
            </w:r>
          </w:p>
          <w:p>
            <w:pPr>
              <w:adjustRightInd w:val="0"/>
              <w:snapToGrid w:val="0"/>
              <w:ind w:firstLine="0" w:firstLineChars="0"/>
              <w:jc w:val="center"/>
              <w:rPr>
                <w:rFonts w:hint="eastAsia" w:ascii="黑体" w:hAnsi="黑体" w:eastAsia="黑体"/>
                <w:bCs/>
                <w:sz w:val="21"/>
                <w:szCs w:val="21"/>
              </w:rPr>
            </w:pPr>
            <w:r>
              <w:rPr>
                <w:rFonts w:hint="eastAsia" w:ascii="黑体" w:hAnsi="黑体" w:eastAsia="黑体"/>
                <w:bCs/>
                <w:sz w:val="21"/>
                <w:szCs w:val="21"/>
              </w:rPr>
              <w:t>（</w:t>
            </w:r>
            <w:r>
              <w:rPr>
                <w:rFonts w:ascii="黑体" w:hAnsi="黑体" w:eastAsia="黑体"/>
                <w:bCs/>
                <w:sz w:val="21"/>
                <w:szCs w:val="21"/>
              </w:rPr>
              <w:t>单位</w:t>
            </w:r>
            <w:r>
              <w:rPr>
                <w:rFonts w:hint="eastAsia" w:ascii="黑体" w:hAnsi="黑体" w:eastAsia="黑体"/>
                <w:bCs/>
                <w:sz w:val="21"/>
                <w:szCs w:val="21"/>
              </w:rPr>
              <w:t>）</w:t>
            </w:r>
          </w:p>
        </w:tc>
        <w:tc>
          <w:tcPr>
            <w:tcW w:w="1683" w:type="dxa"/>
            <w:vMerge w:val="restart"/>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证明名称</w:t>
            </w:r>
          </w:p>
        </w:tc>
        <w:tc>
          <w:tcPr>
            <w:tcW w:w="1407" w:type="dxa"/>
            <w:vMerge w:val="restart"/>
            <w:shd w:val="clear" w:color="000000" w:fill="FFFFFF"/>
            <w:noWrap w:val="0"/>
            <w:vAlign w:val="center"/>
          </w:tcPr>
          <w:p>
            <w:pPr>
              <w:adjustRightInd w:val="0"/>
              <w:snapToGrid w:val="0"/>
              <w:ind w:firstLine="0" w:firstLineChars="0"/>
              <w:jc w:val="center"/>
              <w:rPr>
                <w:rFonts w:hint="eastAsia" w:ascii="黑体" w:hAnsi="黑体" w:eastAsia="黑体"/>
                <w:bCs/>
                <w:sz w:val="21"/>
                <w:szCs w:val="21"/>
              </w:rPr>
            </w:pPr>
            <w:r>
              <w:rPr>
                <w:rFonts w:ascii="黑体" w:hAnsi="黑体" w:eastAsia="黑体"/>
                <w:bCs/>
                <w:sz w:val="21"/>
                <w:szCs w:val="21"/>
              </w:rPr>
              <w:t>证明</w:t>
            </w:r>
          </w:p>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用途</w:t>
            </w:r>
          </w:p>
        </w:tc>
        <w:tc>
          <w:tcPr>
            <w:tcW w:w="4540"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设定依据</w:t>
            </w:r>
          </w:p>
        </w:tc>
        <w:tc>
          <w:tcPr>
            <w:tcW w:w="2083" w:type="dxa"/>
            <w:gridSpan w:val="2"/>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实施基本情况</w:t>
            </w:r>
          </w:p>
        </w:tc>
        <w:tc>
          <w:tcPr>
            <w:tcW w:w="2206" w:type="dxa"/>
            <w:gridSpan w:val="3"/>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行使层级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05"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14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1683" w:type="dxa"/>
            <w:vMerge w:val="continue"/>
            <w:shd w:val="clear" w:color="auto" w:fill="auto"/>
            <w:noWrap w:val="0"/>
            <w:vAlign w:val="center"/>
          </w:tcPr>
          <w:p>
            <w:pPr>
              <w:adjustRightInd w:val="0"/>
              <w:snapToGrid w:val="0"/>
              <w:ind w:firstLine="0" w:firstLineChars="0"/>
              <w:jc w:val="both"/>
              <w:rPr>
                <w:rFonts w:ascii="黑体" w:hAnsi="黑体" w:eastAsia="黑体"/>
                <w:bCs/>
                <w:sz w:val="21"/>
                <w:szCs w:val="21"/>
              </w:rPr>
            </w:pPr>
          </w:p>
        </w:tc>
        <w:tc>
          <w:tcPr>
            <w:tcW w:w="1407" w:type="dxa"/>
            <w:vMerge w:val="continue"/>
            <w:shd w:val="clear" w:color="auto" w:fill="auto"/>
            <w:noWrap w:val="0"/>
            <w:vAlign w:val="center"/>
          </w:tcPr>
          <w:p>
            <w:pPr>
              <w:adjustRightInd w:val="0"/>
              <w:snapToGrid w:val="0"/>
              <w:ind w:firstLine="0" w:firstLineChars="0"/>
              <w:jc w:val="center"/>
              <w:rPr>
                <w:rFonts w:ascii="黑体" w:hAnsi="黑体" w:eastAsia="黑体"/>
                <w:bCs/>
                <w:sz w:val="21"/>
                <w:szCs w:val="21"/>
              </w:rPr>
            </w:pPr>
          </w:p>
        </w:tc>
        <w:tc>
          <w:tcPr>
            <w:tcW w:w="3433"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依据名称、文号及条文</w:t>
            </w:r>
          </w:p>
        </w:tc>
        <w:tc>
          <w:tcPr>
            <w:tcW w:w="110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效力层级</w:t>
            </w:r>
          </w:p>
        </w:tc>
        <w:tc>
          <w:tcPr>
            <w:tcW w:w="745"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索要单位</w:t>
            </w:r>
          </w:p>
        </w:tc>
        <w:tc>
          <w:tcPr>
            <w:tcW w:w="133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开具单位</w:t>
            </w:r>
          </w:p>
        </w:tc>
        <w:tc>
          <w:tcPr>
            <w:tcW w:w="658"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市级</w:t>
            </w:r>
          </w:p>
        </w:tc>
        <w:tc>
          <w:tcPr>
            <w:tcW w:w="667"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县级</w:t>
            </w:r>
          </w:p>
        </w:tc>
        <w:tc>
          <w:tcPr>
            <w:tcW w:w="881" w:type="dxa"/>
            <w:shd w:val="clear" w:color="000000" w:fill="FFFFFF"/>
            <w:noWrap w:val="0"/>
            <w:vAlign w:val="center"/>
          </w:tcPr>
          <w:p>
            <w:pPr>
              <w:adjustRightInd w:val="0"/>
              <w:snapToGrid w:val="0"/>
              <w:ind w:firstLine="0" w:firstLineChars="0"/>
              <w:jc w:val="center"/>
              <w:rPr>
                <w:rFonts w:ascii="黑体" w:hAnsi="黑体" w:eastAsia="黑体"/>
                <w:bCs/>
                <w:sz w:val="21"/>
                <w:szCs w:val="21"/>
              </w:rPr>
            </w:pPr>
            <w:r>
              <w:rPr>
                <w:rFonts w:ascii="黑体" w:hAnsi="黑体" w:eastAsia="黑体"/>
                <w:bCs/>
                <w:sz w:val="21"/>
                <w:szCs w:val="21"/>
              </w:rPr>
              <w:t>乡级及其他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40"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75</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center"/>
              <w:rPr>
                <w:rFonts w:eastAsia="仿宋_GB2312"/>
                <w:spacing w:val="-16"/>
                <w:sz w:val="21"/>
                <w:szCs w:val="21"/>
              </w:rPr>
            </w:pPr>
            <w:r>
              <w:rPr>
                <w:rFonts w:eastAsia="仿宋_GB2312"/>
                <w:spacing w:val="-16"/>
                <w:sz w:val="21"/>
                <w:szCs w:val="21"/>
              </w:rPr>
              <w:t>意外伤害就医证明</w:t>
            </w:r>
          </w:p>
        </w:tc>
        <w:tc>
          <w:tcPr>
            <w:tcW w:w="1407" w:type="dxa"/>
            <w:shd w:val="clear" w:color="000000" w:fill="FFFFFF"/>
            <w:noWrap w:val="0"/>
            <w:vAlign w:val="center"/>
          </w:tcPr>
          <w:p>
            <w:pPr>
              <w:adjustRightInd w:val="0"/>
              <w:snapToGrid w:val="0"/>
              <w:ind w:firstLine="0" w:firstLineChars="0"/>
              <w:jc w:val="center"/>
              <w:rPr>
                <w:rFonts w:eastAsia="仿宋_GB2312"/>
                <w:spacing w:val="-6"/>
                <w:sz w:val="21"/>
                <w:szCs w:val="21"/>
              </w:rPr>
            </w:pPr>
            <w:r>
              <w:rPr>
                <w:rFonts w:eastAsia="仿宋_GB2312"/>
                <w:spacing w:val="-6"/>
                <w:sz w:val="21"/>
                <w:szCs w:val="21"/>
              </w:rPr>
              <w:t>医疗费用报销</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《中华人民共和国社会保险法》第二十八条、第三十条、第五十四条</w:t>
            </w:r>
            <w:r>
              <w:rPr>
                <w:rFonts w:eastAsia="仿宋_GB2312"/>
                <w:sz w:val="21"/>
                <w:szCs w:val="21"/>
              </w:rPr>
              <w:br w:type="textWrapping"/>
            </w:r>
            <w:r>
              <w:rPr>
                <w:rFonts w:eastAsia="仿宋_GB2312"/>
                <w:sz w:val="21"/>
                <w:szCs w:val="21"/>
              </w:rPr>
              <w:t>《国家医疗保障局关于加快解决群众办事堵点问题的通知》（国医保电〔2018〕19号）</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法律、部门规范性文件</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救治医疗机构、交通管理部门、法院</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0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76</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医疗保障部门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死亡证明、亲属关系证明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参保人员个人账户资金一次性支取</w:t>
            </w:r>
          </w:p>
        </w:tc>
        <w:tc>
          <w:tcPr>
            <w:tcW w:w="3433" w:type="dxa"/>
            <w:shd w:val="clear" w:color="000000" w:fill="FFFFFF"/>
            <w:noWrap w:val="0"/>
            <w:vAlign w:val="center"/>
          </w:tcPr>
          <w:p>
            <w:pPr>
              <w:adjustRightInd w:val="0"/>
              <w:snapToGrid w:val="0"/>
              <w:ind w:firstLine="0" w:firstLineChars="0"/>
              <w:jc w:val="both"/>
              <w:rPr>
                <w:rFonts w:hint="eastAsia" w:eastAsia="仿宋_GB2312"/>
                <w:sz w:val="21"/>
                <w:szCs w:val="21"/>
              </w:rPr>
            </w:pPr>
            <w:r>
              <w:rPr>
                <w:rFonts w:eastAsia="仿宋_GB2312"/>
                <w:sz w:val="21"/>
                <w:szCs w:val="21"/>
              </w:rPr>
              <w:t>《国务院关于建立城镇职工基本医疗保险制度的决定》（国发〔1998〕44号）</w:t>
            </w:r>
          </w:p>
          <w:p>
            <w:pPr>
              <w:adjustRightInd w:val="0"/>
              <w:snapToGrid w:val="0"/>
              <w:ind w:firstLine="0" w:firstLineChars="0"/>
              <w:jc w:val="both"/>
              <w:rPr>
                <w:rFonts w:hint="eastAsia" w:eastAsia="仿宋_GB2312"/>
                <w:sz w:val="21"/>
                <w:szCs w:val="21"/>
              </w:rPr>
            </w:pPr>
            <w:r>
              <w:rPr>
                <w:rFonts w:eastAsia="仿宋_GB2312"/>
                <w:sz w:val="21"/>
                <w:szCs w:val="21"/>
              </w:rPr>
              <w:t>《香港澳门台湾居民在内地（大陆）参加社会保险暂行办法》（人社部、国家医保局令第41号）第七条</w:t>
            </w:r>
          </w:p>
          <w:p>
            <w:pPr>
              <w:adjustRightInd w:val="0"/>
              <w:snapToGrid w:val="0"/>
              <w:ind w:firstLine="0" w:firstLineChars="0"/>
              <w:jc w:val="both"/>
              <w:rPr>
                <w:rFonts w:eastAsia="仿宋_GB2312"/>
                <w:sz w:val="21"/>
                <w:szCs w:val="21"/>
              </w:rPr>
            </w:pPr>
            <w:r>
              <w:rPr>
                <w:rFonts w:eastAsia="仿宋_GB2312"/>
                <w:sz w:val="21"/>
                <w:szCs w:val="21"/>
              </w:rPr>
              <w:t>《在中国境内就业的外国人参加社会保险暂行办法》（人社部令第16号）第五条、第六条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国务院文件、部门规章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医保经办机构</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医疗机构、公安部门、法院</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47"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77</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粮食和物资储备部门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近3个月50万以上银行存款证明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粮食收购资格认定</w:t>
            </w:r>
          </w:p>
        </w:tc>
        <w:tc>
          <w:tcPr>
            <w:tcW w:w="3433" w:type="dxa"/>
            <w:shd w:val="clear" w:color="000000" w:fill="FFFFFF"/>
            <w:noWrap w:val="0"/>
            <w:vAlign w:val="center"/>
          </w:tcPr>
          <w:p>
            <w:pPr>
              <w:adjustRightInd w:val="0"/>
              <w:snapToGrid w:val="0"/>
              <w:ind w:firstLine="0" w:firstLineChars="0"/>
              <w:jc w:val="both"/>
              <w:rPr>
                <w:rFonts w:eastAsia="仿宋_GB2312"/>
                <w:sz w:val="21"/>
                <w:szCs w:val="21"/>
              </w:rPr>
            </w:pPr>
            <w:r>
              <w:rPr>
                <w:rFonts w:eastAsia="仿宋_GB2312"/>
                <w:sz w:val="21"/>
                <w:szCs w:val="21"/>
              </w:rPr>
              <w:t>《粮食流通管理条例》（国务院令第407号）第八条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行政法规</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粮食和物资储备部门</w:t>
            </w:r>
          </w:p>
        </w:tc>
        <w:tc>
          <w:tcPr>
            <w:tcW w:w="133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银行</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98" w:hRule="atLeast"/>
          <w:jc w:val="center"/>
        </w:trPr>
        <w:tc>
          <w:tcPr>
            <w:tcW w:w="70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78</w:t>
            </w:r>
          </w:p>
        </w:tc>
        <w:tc>
          <w:tcPr>
            <w:tcW w:w="114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邮政管理部门</w:t>
            </w:r>
          </w:p>
        </w:tc>
        <w:tc>
          <w:tcPr>
            <w:tcW w:w="168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企业名称预核准通知书或者企业法人营业证明</w:t>
            </w:r>
          </w:p>
        </w:tc>
        <w:tc>
          <w:tcPr>
            <w:tcW w:w="14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快递业务经营审批</w:t>
            </w:r>
          </w:p>
        </w:tc>
        <w:tc>
          <w:tcPr>
            <w:tcW w:w="3433" w:type="dxa"/>
            <w:shd w:val="clear" w:color="000000" w:fill="FFFFFF"/>
            <w:noWrap w:val="0"/>
            <w:vAlign w:val="center"/>
          </w:tcPr>
          <w:p>
            <w:pPr>
              <w:adjustRightInd w:val="0"/>
              <w:snapToGrid w:val="0"/>
              <w:ind w:firstLine="0" w:firstLineChars="0"/>
              <w:jc w:val="both"/>
              <w:rPr>
                <w:rFonts w:eastAsia="仿宋_GB2312"/>
                <w:spacing w:val="-6"/>
                <w:sz w:val="21"/>
                <w:szCs w:val="21"/>
              </w:rPr>
            </w:pPr>
            <w:r>
              <w:rPr>
                <w:rFonts w:eastAsia="仿宋_GB2312"/>
                <w:spacing w:val="-6"/>
                <w:sz w:val="21"/>
                <w:szCs w:val="21"/>
              </w:rPr>
              <w:t>《快递业务经营许可管理办法》（交通运输部2018年第23号）第十一条</w:t>
            </w:r>
          </w:p>
        </w:tc>
        <w:tc>
          <w:tcPr>
            <w:tcW w:w="110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部门规章</w:t>
            </w:r>
          </w:p>
        </w:tc>
        <w:tc>
          <w:tcPr>
            <w:tcW w:w="745"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邮政管理部门</w:t>
            </w:r>
          </w:p>
        </w:tc>
        <w:tc>
          <w:tcPr>
            <w:tcW w:w="1338" w:type="dxa"/>
            <w:shd w:val="clear" w:color="000000" w:fill="FFFFFF"/>
            <w:noWrap w:val="0"/>
            <w:vAlign w:val="center"/>
          </w:tcPr>
          <w:p>
            <w:pPr>
              <w:adjustRightInd w:val="0"/>
              <w:snapToGrid w:val="0"/>
              <w:ind w:firstLine="0" w:firstLineChars="0"/>
              <w:jc w:val="center"/>
              <w:rPr>
                <w:rFonts w:eastAsia="仿宋_GB2312"/>
                <w:spacing w:val="-12"/>
                <w:sz w:val="21"/>
                <w:szCs w:val="21"/>
              </w:rPr>
            </w:pPr>
            <w:r>
              <w:rPr>
                <w:rFonts w:eastAsia="仿宋_GB2312"/>
                <w:spacing w:val="-12"/>
                <w:sz w:val="21"/>
                <w:szCs w:val="21"/>
              </w:rPr>
              <w:t>市场监管部门</w:t>
            </w:r>
          </w:p>
        </w:tc>
        <w:tc>
          <w:tcPr>
            <w:tcW w:w="658" w:type="dxa"/>
            <w:shd w:val="clear" w:color="000000" w:fill="FFFFFF"/>
            <w:noWrap w:val="0"/>
            <w:vAlign w:val="center"/>
          </w:tcPr>
          <w:p>
            <w:pPr>
              <w:adjustRightInd w:val="0"/>
              <w:snapToGrid w:val="0"/>
              <w:ind w:firstLine="0" w:firstLineChars="0"/>
              <w:jc w:val="center"/>
              <w:rPr>
                <w:rFonts w:eastAsia="仿宋_GB2312"/>
                <w:sz w:val="21"/>
                <w:szCs w:val="21"/>
              </w:rPr>
            </w:pPr>
          </w:p>
        </w:tc>
        <w:tc>
          <w:tcPr>
            <w:tcW w:w="667" w:type="dxa"/>
            <w:shd w:val="clear" w:color="000000" w:fill="FFFFFF"/>
            <w:noWrap w:val="0"/>
            <w:vAlign w:val="center"/>
          </w:tcPr>
          <w:p>
            <w:pPr>
              <w:adjustRightInd w:val="0"/>
              <w:snapToGrid w:val="0"/>
              <w:ind w:firstLine="0" w:firstLineChars="0"/>
              <w:jc w:val="center"/>
              <w:rPr>
                <w:rFonts w:eastAsia="仿宋_GB2312"/>
                <w:sz w:val="21"/>
                <w:szCs w:val="21"/>
              </w:rPr>
            </w:pPr>
            <w:r>
              <w:rPr>
                <w:rFonts w:eastAsia="仿宋_GB2312"/>
                <w:sz w:val="21"/>
                <w:szCs w:val="21"/>
              </w:rPr>
              <w:t>√</w:t>
            </w:r>
          </w:p>
        </w:tc>
        <w:tc>
          <w:tcPr>
            <w:tcW w:w="881" w:type="dxa"/>
            <w:shd w:val="clear" w:color="000000" w:fill="FFFFFF"/>
            <w:noWrap w:val="0"/>
            <w:vAlign w:val="center"/>
          </w:tcPr>
          <w:p>
            <w:pPr>
              <w:adjustRightInd w:val="0"/>
              <w:snapToGrid w:val="0"/>
              <w:ind w:firstLine="0" w:firstLineChars="0"/>
              <w:jc w:val="center"/>
              <w:rPr>
                <w:rFonts w:eastAsia="仿宋_GB2312"/>
                <w:sz w:val="21"/>
                <w:szCs w:val="21"/>
              </w:rPr>
            </w:pPr>
          </w:p>
        </w:tc>
      </w:tr>
    </w:tbl>
    <w:p/>
    <w:sectPr>
      <w:pgSz w:w="14515" w:h="20582"/>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83"/>
    <w:rsid w:val="001445C8"/>
    <w:rsid w:val="00314D83"/>
    <w:rsid w:val="00434A80"/>
    <w:rsid w:val="00547980"/>
    <w:rsid w:val="00767023"/>
    <w:rsid w:val="0079542D"/>
    <w:rsid w:val="00854DCC"/>
    <w:rsid w:val="00A14C27"/>
    <w:rsid w:val="00C64FD7"/>
    <w:rsid w:val="00CA000D"/>
    <w:rsid w:val="00D976C0"/>
    <w:rsid w:val="2D52798D"/>
    <w:rsid w:val="54EF4F7F"/>
    <w:rsid w:val="5AD07717"/>
    <w:rsid w:val="5BD614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Words>
  <Characters>520</Characters>
  <Lines>4</Lines>
  <Paragraphs>1</Paragraphs>
  <TotalTime>0</TotalTime>
  <ScaleCrop>false</ScaleCrop>
  <LinksUpToDate>false</LinksUpToDate>
  <CharactersWithSpaces>610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2021-02-06T02:48:00Z</dcterms:created>
  <dc:creator>高夕雯</dc:creator>
  <cp:lastModifiedBy>一期一会</cp:lastModifiedBy>
  <dcterms:modified xsi:type="dcterms:W3CDTF">2021-02-19T09:24:44Z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