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ascii="黑体" w:eastAsia="黑体"/>
          <w:sz w:val="32"/>
          <w:szCs w:val="32"/>
        </w:rPr>
      </w:pPr>
      <w:bookmarkStart w:id="0" w:name="_GoBack"/>
      <w:bookmarkEnd w:id="0"/>
      <w:r>
        <w:rPr>
          <w:rFonts w:hint="eastAsia" w:ascii="黑体" w:eastAsia="黑体"/>
          <w:sz w:val="32"/>
          <w:szCs w:val="32"/>
        </w:rPr>
        <w:t>附件：</w:t>
      </w:r>
    </w:p>
    <w:p>
      <w:pPr>
        <w:spacing w:line="540" w:lineRule="exact"/>
        <w:ind w:firstLine="160" w:firstLineChars="50"/>
        <w:rPr>
          <w:rFonts w:ascii="黑体" w:eastAsia="黑体"/>
          <w:sz w:val="32"/>
          <w:szCs w:val="32"/>
        </w:rPr>
      </w:pPr>
    </w:p>
    <w:p>
      <w:pPr>
        <w:spacing w:line="540" w:lineRule="exact"/>
        <w:ind w:firstLine="220" w:firstLineChars="50"/>
        <w:rPr>
          <w:rFonts w:ascii="方正小标宋_GBK" w:eastAsia="方正小标宋_GBK"/>
          <w:sz w:val="44"/>
          <w:szCs w:val="44"/>
        </w:rPr>
      </w:pPr>
      <w:r>
        <w:rPr>
          <w:rFonts w:hint="eastAsia" w:ascii="方正小标宋_GBK" w:eastAsia="方正小标宋_GBK"/>
          <w:sz w:val="44"/>
          <w:szCs w:val="44"/>
        </w:rPr>
        <w:t>康养住宅试点项目规划建设相关标准及规定</w:t>
      </w:r>
    </w:p>
    <w:p>
      <w:pPr>
        <w:rPr>
          <w:rFonts w:ascii="黑体" w:hAnsi="黑体" w:eastAsia="黑体"/>
        </w:rPr>
      </w:pPr>
    </w:p>
    <w:p>
      <w:pPr>
        <w:ind w:firstLine="640" w:firstLineChars="200"/>
        <w:rPr>
          <w:rFonts w:ascii="黑体" w:hAnsi="黑体" w:eastAsia="黑体"/>
          <w:sz w:val="32"/>
          <w:szCs w:val="32"/>
        </w:rPr>
      </w:pPr>
      <w:r>
        <w:rPr>
          <w:rFonts w:hint="eastAsia" w:ascii="黑体" w:hAnsi="黑体" w:eastAsia="黑体"/>
          <w:sz w:val="32"/>
          <w:szCs w:val="32"/>
        </w:rPr>
        <w:t>一、试点项目建设地点及适用范围</w:t>
      </w:r>
    </w:p>
    <w:p>
      <w:pPr>
        <w:ind w:firstLine="640" w:firstLineChars="200"/>
        <w:rPr>
          <w:rFonts w:ascii="仿宋_GB2312" w:eastAsia="仿宋_GB2312"/>
          <w:sz w:val="32"/>
          <w:szCs w:val="32"/>
        </w:rPr>
      </w:pPr>
      <w:r>
        <w:rPr>
          <w:rFonts w:hint="eastAsia" w:ascii="仿宋_GB2312" w:eastAsia="仿宋_GB2312"/>
          <w:sz w:val="32"/>
          <w:szCs w:val="32"/>
        </w:rPr>
        <w:t>拟在榕树街棚改腾空区约30亩未出让土地上实施康养住宅试点建设（如图所示）。县（区）已出让土地项目暂不执行试点项目涉及的标准、相关规定；其他未出让土地项目暂不执行试点项目涉及的标准、相关规定；推广范围、标准等另行规定。</w:t>
      </w:r>
    </w:p>
    <w:p>
      <w:pPr>
        <w:ind w:firstLine="630" w:firstLineChars="300"/>
        <w:rPr>
          <w:rFonts w:ascii="仿宋_GB2312"/>
        </w:rPr>
      </w:pPr>
      <w:r>
        <w:rPr>
          <w:rFonts w:hint="eastAsia" w:ascii="仿宋_GB2312"/>
        </w:rPr>
        <w:drawing>
          <wp:inline distT="0" distB="0" distL="0" distR="0">
            <wp:extent cx="4648200" cy="39433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4648200" cy="3943350"/>
                    </a:xfrm>
                    <a:prstGeom prst="rect">
                      <a:avLst/>
                    </a:prstGeom>
                    <a:noFill/>
                    <a:ln w="9525">
                      <a:noFill/>
                      <a:miter lim="800000"/>
                      <a:headEnd/>
                      <a:tailEnd/>
                    </a:ln>
                  </pic:spPr>
                </pic:pic>
              </a:graphicData>
            </a:graphic>
          </wp:inline>
        </w:drawing>
      </w:r>
    </w:p>
    <w:p>
      <w:pPr>
        <w:ind w:firstLine="420" w:firstLineChars="200"/>
        <w:rPr>
          <w:rFonts w:ascii="黑体" w:eastAsia="黑体"/>
        </w:rPr>
      </w:pPr>
    </w:p>
    <w:p>
      <w:pPr>
        <w:ind w:firstLine="640" w:firstLineChars="200"/>
        <w:rPr>
          <w:rFonts w:ascii="黑体" w:eastAsia="黑体"/>
          <w:sz w:val="32"/>
          <w:szCs w:val="32"/>
        </w:rPr>
      </w:pPr>
      <w:r>
        <w:rPr>
          <w:rFonts w:hint="eastAsia" w:ascii="黑体" w:eastAsia="黑体"/>
          <w:sz w:val="32"/>
          <w:szCs w:val="32"/>
        </w:rPr>
        <w:t>二、试点项目建设标准</w:t>
      </w:r>
    </w:p>
    <w:p>
      <w:pPr>
        <w:ind w:firstLine="640" w:firstLineChars="200"/>
        <w:rPr>
          <w:rFonts w:ascii="仿宋_GB2312" w:eastAsia="仿宋_GB2312"/>
          <w:sz w:val="32"/>
          <w:szCs w:val="32"/>
        </w:rPr>
      </w:pPr>
      <w:r>
        <w:rPr>
          <w:rFonts w:hint="eastAsia" w:ascii="仿宋_GB2312" w:eastAsia="仿宋_GB2312"/>
          <w:sz w:val="32"/>
          <w:szCs w:val="32"/>
        </w:rPr>
        <w:t>1.试点项目须满足《住宅设计规范》（GB50096—2011）相关要求，并按《建筑工程建筑面积计算规范》（GBT50353—2013）计算建筑面积。</w:t>
      </w:r>
    </w:p>
    <w:p>
      <w:pPr>
        <w:ind w:firstLine="640" w:firstLineChars="200"/>
        <w:rPr>
          <w:rFonts w:ascii="仿宋_GB2312" w:eastAsia="仿宋_GB2312"/>
          <w:sz w:val="32"/>
          <w:szCs w:val="32"/>
        </w:rPr>
      </w:pPr>
      <w:r>
        <w:rPr>
          <w:rFonts w:hint="eastAsia" w:ascii="仿宋_GB2312" w:eastAsia="仿宋_GB2312"/>
          <w:sz w:val="32"/>
          <w:szCs w:val="32"/>
        </w:rPr>
        <w:t>2.康养住宅试点项目私家景观平台、共享活动平台（包括如图所示同类型建筑区域；不包括楼梯间、公共通道、消防疏散通道等）不计算容积率，不计算建筑密度。</w:t>
      </w:r>
    </w:p>
    <w:p>
      <w:pPr>
        <w:jc w:val="center"/>
        <w:rPr>
          <w:rFonts w:ascii="仿宋_GB2312"/>
        </w:rPr>
      </w:pPr>
      <w:r>
        <w:rPr>
          <w:rFonts w:ascii="仿宋_GB2312"/>
        </w:rPr>
        <w:drawing>
          <wp:inline distT="0" distB="0" distL="0" distR="0">
            <wp:extent cx="5267325" cy="2952750"/>
            <wp:effectExtent l="1905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6"/>
                    <a:srcRect/>
                    <a:stretch>
                      <a:fillRect/>
                    </a:stretch>
                  </pic:blipFill>
                  <pic:spPr>
                    <a:xfrm>
                      <a:off x="0" y="0"/>
                      <a:ext cx="5267325" cy="2952750"/>
                    </a:xfrm>
                    <a:prstGeom prst="rect">
                      <a:avLst/>
                    </a:prstGeom>
                    <a:noFill/>
                    <a:ln w="9525">
                      <a:noFill/>
                      <a:miter lim="800000"/>
                      <a:headEnd/>
                      <a:tailEnd/>
                    </a:ln>
                  </pic:spPr>
                </pic:pic>
              </a:graphicData>
            </a:graphic>
          </wp:inline>
        </w:drawing>
      </w:r>
    </w:p>
    <w:p>
      <w:pPr>
        <w:ind w:firstLine="420" w:firstLineChars="200"/>
        <w:rPr>
          <w:rFonts w:ascii="仿宋_GB2312"/>
        </w:rPr>
      </w:pPr>
    </w:p>
    <w:p>
      <w:pPr>
        <w:rPr>
          <w:rFonts w:ascii="仿宋_GB2312"/>
        </w:rPr>
      </w:pPr>
      <w:r>
        <w:rPr>
          <w:rFonts w:ascii="仿宋_GB2312"/>
        </w:rPr>
        <w:drawing>
          <wp:inline distT="0" distB="0" distL="0" distR="0">
            <wp:extent cx="5267325" cy="3248025"/>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7"/>
                    <a:srcRect/>
                    <a:stretch>
                      <a:fillRect/>
                    </a:stretch>
                  </pic:blipFill>
                  <pic:spPr>
                    <a:xfrm>
                      <a:off x="0" y="0"/>
                      <a:ext cx="5267325" cy="3248025"/>
                    </a:xfrm>
                    <a:prstGeom prst="rect">
                      <a:avLst/>
                    </a:prstGeom>
                    <a:noFill/>
                    <a:ln w="9525">
                      <a:noFill/>
                      <a:miter lim="800000"/>
                      <a:headEnd/>
                      <a:tailEnd/>
                    </a:ln>
                  </pic:spPr>
                </pic:pic>
              </a:graphicData>
            </a:graphic>
          </wp:inline>
        </w:drawing>
      </w:r>
    </w:p>
    <w:p>
      <w:pPr>
        <w:spacing w:line="560" w:lineRule="exact"/>
        <w:ind w:firstLine="640"/>
        <w:rPr>
          <w:rFonts w:ascii="仿宋_GB2312" w:eastAsia="仿宋_GB2312"/>
          <w:sz w:val="32"/>
          <w:szCs w:val="32"/>
        </w:rPr>
      </w:pPr>
      <w:r>
        <w:rPr>
          <w:rFonts w:hint="eastAsia" w:ascii="仿宋_GB2312" w:eastAsia="仿宋_GB2312"/>
          <w:sz w:val="32"/>
          <w:szCs w:val="32"/>
        </w:rPr>
        <w:t>3.康养住宅试点项目中，不计容积率、不计建筑密度部分的水平投影面积可突破《攀枝花市建设项目计容建筑面积计算规则（2015版）》中“每套住宅阳台（包含但不限于各类形式的入户花园、空中花园、设备平台、花池、馆院、构造板、结构板、抗震板等非公共活动空间）的水平投影面积不应大于该套住宅套型总建筑面积的15%”的限制。其他各类形式的阳台、结构板等按《攀枝花市建设项目计容建筑面积计算规则（2015版）》执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私家景观平台每户最多设置一个，外挑尺寸大于4米，结构底板下沉，无维护墙体，无柱；层高不小于两个自然层高度；私家景观平台面积不超过该套型总建筑面积的50%；覆土深度不小于0.5米，绿化面积不小于该区域水平投影面积60%。</w:t>
      </w:r>
    </w:p>
    <w:p>
      <w:pPr>
        <w:ind w:firstLine="420" w:firstLineChars="200"/>
        <w:rPr>
          <w:rFonts w:ascii="仿宋_GB2312"/>
        </w:rPr>
      </w:pPr>
      <w:r>
        <w:rPr>
          <w:rFonts w:ascii="仿宋_GB2312"/>
        </w:rPr>
        <w:drawing>
          <wp:inline distT="0" distB="0" distL="0" distR="0">
            <wp:extent cx="4914900" cy="3714750"/>
            <wp:effectExtent l="0" t="0" r="7620" b="38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8"/>
                    <a:srcRect/>
                    <a:stretch>
                      <a:fillRect/>
                    </a:stretch>
                  </pic:blipFill>
                  <pic:spPr>
                    <a:xfrm>
                      <a:off x="0" y="0"/>
                      <a:ext cx="4914900" cy="3714750"/>
                    </a:xfrm>
                    <a:prstGeom prst="rect">
                      <a:avLst/>
                    </a:prstGeom>
                    <a:noFill/>
                    <a:ln w="9525">
                      <a:noFill/>
                      <a:miter lim="800000"/>
                      <a:headEnd/>
                      <a:tailEnd/>
                    </a:ln>
                  </pic:spPr>
                </pic:pic>
              </a:graphicData>
            </a:graphic>
          </wp:inline>
        </w:drawing>
      </w:r>
    </w:p>
    <w:p>
      <w:pPr>
        <w:ind w:firstLine="640"/>
        <w:rPr>
          <w:rFonts w:ascii="仿宋_GB2312" w:eastAsia="仿宋_GB2312"/>
          <w:sz w:val="32"/>
          <w:szCs w:val="32"/>
        </w:rPr>
      </w:pPr>
      <w:r>
        <w:rPr>
          <w:rFonts w:hint="eastAsia" w:ascii="仿宋_GB2312" w:eastAsia="仿宋_GB2312"/>
          <w:sz w:val="32"/>
          <w:szCs w:val="32"/>
        </w:rPr>
        <w:t>5.共享活动平台层高不小于两个自然层高度，总面积不大于该栋住宅总建筑面积之和的15%，绿化面积不小于该区域水平投影面积30%；其三分之一面须保证开敞，不得封闭，确保公共性。</w:t>
      </w:r>
    </w:p>
    <w:p>
      <w:pPr>
        <w:ind w:firstLine="640" w:firstLineChars="200"/>
        <w:rPr>
          <w:rFonts w:ascii="仿宋_GB2312" w:eastAsia="仿宋_GB2312"/>
          <w:sz w:val="32"/>
          <w:szCs w:val="32"/>
        </w:rPr>
      </w:pPr>
    </w:p>
    <w:p>
      <w:pPr>
        <w:ind w:firstLine="420" w:firstLineChars="200"/>
      </w:pPr>
      <w:r>
        <w:rPr>
          <w:rFonts w:hint="eastAsia"/>
        </w:rPr>
        <w:drawing>
          <wp:inline distT="0" distB="0" distL="0" distR="0">
            <wp:extent cx="5267325" cy="3419475"/>
            <wp:effectExtent l="1905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9"/>
                    <a:srcRect/>
                    <a:stretch>
                      <a:fillRect/>
                    </a:stretch>
                  </pic:blipFill>
                  <pic:spPr>
                    <a:xfrm>
                      <a:off x="0" y="0"/>
                      <a:ext cx="5267325" cy="3419475"/>
                    </a:xfrm>
                    <a:prstGeom prst="rect">
                      <a:avLst/>
                    </a:prstGeom>
                    <a:noFill/>
                    <a:ln w="9525">
                      <a:noFill/>
                      <a:miter lim="800000"/>
                      <a:headEnd/>
                      <a:tailEnd/>
                    </a:ln>
                  </pic:spPr>
                </pic:pic>
              </a:graphicData>
            </a:graphic>
          </wp:inline>
        </w:drawing>
      </w:r>
    </w:p>
    <w:p>
      <w:pPr>
        <w:ind w:firstLine="420" w:firstLineChars="200"/>
      </w:pPr>
    </w:p>
    <w:p>
      <w:pPr>
        <w:ind w:firstLine="420" w:firstLineChars="200"/>
        <w:rPr>
          <w:rFonts w:ascii="仿宋_GB2312"/>
        </w:rPr>
      </w:pPr>
      <w:r>
        <w:rPr>
          <w:rFonts w:ascii="仿宋_GB2312"/>
        </w:rPr>
        <w:drawing>
          <wp:inline distT="0" distB="0" distL="0" distR="0">
            <wp:extent cx="5267325" cy="3467100"/>
            <wp:effectExtent l="19050" t="0" r="952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10"/>
                    <a:srcRect/>
                    <a:stretch>
                      <a:fillRect/>
                    </a:stretch>
                  </pic:blipFill>
                  <pic:spPr>
                    <a:xfrm>
                      <a:off x="0" y="0"/>
                      <a:ext cx="5267325" cy="3467100"/>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6.私家景观平台、共享活动平台绿化达到相关建设标准要求后，可按其绿化面积的20%折算计入建设项目绿地率和绿地面积。</w:t>
      </w:r>
    </w:p>
    <w:p>
      <w:pPr>
        <w:ind w:firstLine="420" w:firstLineChars="200"/>
        <w:rPr>
          <w:rFonts w:ascii="仿宋_GB2312"/>
        </w:rPr>
      </w:pPr>
      <w:r>
        <w:rPr>
          <w:rFonts w:ascii="仿宋_GB2312"/>
        </w:rPr>
        <w:drawing>
          <wp:inline distT="0" distB="0" distL="0" distR="0">
            <wp:extent cx="4905375" cy="2943225"/>
            <wp:effectExtent l="19050" t="0" r="9525"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11"/>
                    <a:srcRect/>
                    <a:stretch>
                      <a:fillRect/>
                    </a:stretch>
                  </pic:blipFill>
                  <pic:spPr>
                    <a:xfrm>
                      <a:off x="0" y="0"/>
                      <a:ext cx="4905375" cy="2943225"/>
                    </a:xfrm>
                    <a:prstGeom prst="rect">
                      <a:avLst/>
                    </a:prstGeom>
                    <a:noFill/>
                    <a:ln w="9525">
                      <a:noFill/>
                      <a:miter lim="800000"/>
                      <a:headEnd/>
                      <a:tailEnd/>
                    </a:ln>
                  </pic:spPr>
                </pic:pic>
              </a:graphicData>
            </a:graphic>
          </wp:inline>
        </w:drawing>
      </w:r>
    </w:p>
    <w:p>
      <w:pPr>
        <w:rPr>
          <w:rFonts w:ascii="仿宋_GB2312"/>
        </w:rPr>
      </w:pPr>
    </w:p>
    <w:p>
      <w:pPr>
        <w:ind w:firstLine="640" w:firstLineChars="200"/>
        <w:rPr>
          <w:rFonts w:ascii="仿宋_GB2312" w:eastAsia="仿宋_GB2312"/>
          <w:sz w:val="32"/>
          <w:szCs w:val="32"/>
        </w:rPr>
      </w:pPr>
      <w:r>
        <w:rPr>
          <w:rFonts w:hint="eastAsia" w:ascii="仿宋_GB2312" w:eastAsia="仿宋_GB2312"/>
          <w:sz w:val="32"/>
          <w:szCs w:val="32"/>
        </w:rPr>
        <w:t>7.私家景观平台应错层错向设置，其平台之间的上层住宅外墙面不得开设任何门窗，保证私密性、安全性。</w:t>
      </w:r>
    </w:p>
    <w:p>
      <w:pPr>
        <w:jc w:val="center"/>
        <w:rPr>
          <w:rFonts w:ascii="仿宋_GB2312"/>
        </w:rPr>
      </w:pPr>
      <w:r>
        <w:rPr>
          <w:rFonts w:ascii="仿宋_GB2312"/>
        </w:rPr>
        <w:drawing>
          <wp:inline distT="0" distB="0" distL="0" distR="0">
            <wp:extent cx="5076825" cy="3429000"/>
            <wp:effectExtent l="19050" t="0" r="9525"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noChangeArrowheads="1"/>
                    </pic:cNvPicPr>
                  </pic:nvPicPr>
                  <pic:blipFill>
                    <a:blip r:embed="rId12"/>
                    <a:srcRect/>
                    <a:stretch>
                      <a:fillRect/>
                    </a:stretch>
                  </pic:blipFill>
                  <pic:spPr>
                    <a:xfrm>
                      <a:off x="0" y="0"/>
                      <a:ext cx="5076825" cy="3429000"/>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8. 试点项目建筑与周边建筑的建筑间距和建筑退距从私家景观平台和共享活动平台外挑外沿起进行计算。</w:t>
      </w:r>
    </w:p>
    <w:p>
      <w:pPr>
        <w:ind w:firstLine="640" w:firstLineChars="200"/>
        <w:rPr>
          <w:rFonts w:ascii="仿宋_GB2312" w:eastAsia="仿宋_GB2312"/>
          <w:sz w:val="32"/>
          <w:szCs w:val="32"/>
        </w:rPr>
      </w:pPr>
      <w:r>
        <w:rPr>
          <w:rFonts w:hint="eastAsia" w:ascii="仿宋_GB2312" w:eastAsia="仿宋_GB2312"/>
          <w:sz w:val="32"/>
          <w:szCs w:val="32"/>
        </w:rPr>
        <w:t>9.消防、安全距离等按国家相关规范规定执行。康养住宅试点项目应做精装修，私家景观平台、共享活动平台等立体绿化内容、景观打造完成后，与主体工程同步验收。</w:t>
      </w:r>
    </w:p>
    <w:p>
      <w:pPr>
        <w:ind w:firstLine="640" w:firstLineChars="200"/>
        <w:rPr>
          <w:rFonts w:ascii="仿宋_GB2312" w:eastAsia="仿宋_GB2312"/>
          <w:sz w:val="32"/>
          <w:szCs w:val="32"/>
        </w:rPr>
      </w:pPr>
      <w:r>
        <w:rPr>
          <w:rFonts w:hint="eastAsia" w:ascii="仿宋_GB2312" w:eastAsia="仿宋_GB2312"/>
          <w:sz w:val="32"/>
          <w:szCs w:val="32"/>
        </w:rPr>
        <w:t>10.康养住宅试点项目应具有生态化、智能化、可持续化、人性化的特征。</w:t>
      </w:r>
    </w:p>
    <w:p>
      <w:pPr>
        <w:ind w:firstLine="640" w:firstLineChars="200"/>
        <w:rPr>
          <w:rFonts w:ascii="黑体" w:hAnsi="黑体" w:eastAsia="黑体"/>
          <w:sz w:val="32"/>
          <w:szCs w:val="32"/>
        </w:rPr>
      </w:pPr>
      <w:r>
        <w:rPr>
          <w:rFonts w:hint="eastAsia" w:ascii="黑体" w:hAnsi="黑体" w:eastAsia="黑体"/>
          <w:sz w:val="32"/>
          <w:szCs w:val="32"/>
        </w:rPr>
        <w:t>三、相关规定</w:t>
      </w:r>
    </w:p>
    <w:p>
      <w:pPr>
        <w:ind w:firstLine="640" w:firstLineChars="200"/>
        <w:rPr>
          <w:rFonts w:ascii="仿宋_GB2312" w:eastAsia="仿宋_GB2312"/>
          <w:sz w:val="32"/>
          <w:szCs w:val="32"/>
        </w:rPr>
      </w:pPr>
      <w:r>
        <w:rPr>
          <w:rFonts w:hint="eastAsia" w:ascii="仿宋_GB2312" w:eastAsia="仿宋_GB2312"/>
          <w:sz w:val="32"/>
          <w:szCs w:val="32"/>
        </w:rPr>
        <w:t>1.该康养住宅试点项目进入基本建设程序后，其建筑设计方案报规委会审议。</w:t>
      </w:r>
    </w:p>
    <w:p>
      <w:pPr>
        <w:ind w:firstLine="640" w:firstLineChars="200"/>
        <w:rPr>
          <w:rFonts w:ascii="仿宋_GB2312" w:eastAsia="仿宋_GB2312"/>
          <w:sz w:val="32"/>
          <w:szCs w:val="32"/>
        </w:rPr>
      </w:pPr>
      <w:r>
        <w:rPr>
          <w:rFonts w:hint="eastAsia" w:ascii="仿宋_GB2312" w:eastAsia="仿宋_GB2312"/>
          <w:sz w:val="32"/>
          <w:szCs w:val="32"/>
        </w:rPr>
        <w:t>2.不计算容积率，不计算建筑密度区域严禁违规改造、改建、封闭、改变使用功能；私家景观平台景观维护由其专属业主负责，纳入物业合同进行管理；共享活动平台管护由物业公司负责。</w:t>
      </w:r>
    </w:p>
    <w:p>
      <w:pPr>
        <w:ind w:firstLine="640" w:firstLineChars="200"/>
        <w:rPr>
          <w:rFonts w:ascii="仿宋_GB2312" w:eastAsia="仿宋_GB2312"/>
          <w:sz w:val="32"/>
          <w:szCs w:val="32"/>
        </w:rPr>
      </w:pPr>
      <w:r>
        <w:rPr>
          <w:rFonts w:hint="eastAsia" w:ascii="仿宋_GB2312" w:eastAsia="仿宋_GB2312"/>
          <w:sz w:val="32"/>
          <w:szCs w:val="32"/>
        </w:rPr>
        <w:t>3.私家景观平台、共享活动平台（包括如图所示同类型建筑区域）不纳入住户不动产登记范围。</w:t>
      </w:r>
    </w:p>
    <w:p>
      <w:pPr>
        <w:ind w:firstLine="640" w:firstLineChars="200"/>
        <w:rPr>
          <w:rFonts w:ascii="仿宋_GB2312" w:eastAsia="仿宋_GB2312"/>
          <w:sz w:val="32"/>
          <w:szCs w:val="32"/>
        </w:rPr>
      </w:pPr>
      <w:r>
        <w:rPr>
          <w:rFonts w:hint="eastAsia" w:ascii="仿宋_GB2312" w:eastAsia="仿宋_GB2312"/>
          <w:sz w:val="32"/>
          <w:szCs w:val="32"/>
        </w:rPr>
        <w:t>4.该康养住宅试点项目由市自然资源和规划局、市住房城乡建设局、市城管执法局联合审查、监督实施、共同验收。</w:t>
      </w:r>
    </w:p>
    <w:p>
      <w:pPr>
        <w:ind w:firstLine="480" w:firstLineChars="150"/>
        <w:rPr>
          <w:rFonts w:ascii="仿宋_GB2312" w:eastAsia="仿宋_GB2312"/>
          <w:sz w:val="32"/>
          <w:szCs w:val="32"/>
        </w:rPr>
      </w:pPr>
      <w:r>
        <w:rPr>
          <w:rFonts w:hint="eastAsia" w:ascii="仿宋_GB2312" w:eastAsia="仿宋_GB2312"/>
          <w:sz w:val="32"/>
          <w:szCs w:val="32"/>
        </w:rPr>
        <w:t xml:space="preserve"> 5.该康养住宅试点项目其它要求，结合项目规划条件执行。</w:t>
      </w:r>
    </w:p>
    <w:p>
      <w:pPr>
        <w:rPr>
          <w:rFonts w:ascii="仿宋_GB2312" w:eastAsia="仿宋_GB2312"/>
          <w:sz w:val="32"/>
          <w:szCs w:val="32"/>
        </w:rPr>
      </w:pPr>
    </w:p>
    <w:sectPr>
      <w:headerReference r:id="rId3" w:type="default"/>
      <w:pgSz w:w="11906" w:h="16838"/>
      <w:pgMar w:top="1134" w:right="1416" w:bottom="113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方正小标宋_GBK">
    <w:panose1 w:val="03000509000000000000"/>
    <w:charset w:val="86"/>
    <w:family w:val="script"/>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19"/>
    <w:rsid w:val="000B468A"/>
    <w:rsid w:val="001C1362"/>
    <w:rsid w:val="001D137A"/>
    <w:rsid w:val="00261F25"/>
    <w:rsid w:val="003A0659"/>
    <w:rsid w:val="00557D9F"/>
    <w:rsid w:val="00623BFD"/>
    <w:rsid w:val="00646C19"/>
    <w:rsid w:val="006A0AA2"/>
    <w:rsid w:val="007868AC"/>
    <w:rsid w:val="00A04DF6"/>
    <w:rsid w:val="00B25066"/>
    <w:rsid w:val="00B449C2"/>
    <w:rsid w:val="00C2144C"/>
    <w:rsid w:val="00D20585"/>
    <w:rsid w:val="00F45C48"/>
    <w:rsid w:val="6AD074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7"/>
    <w:unhideWhenUsed/>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7">
    <w:name w:val="页眉 Char"/>
    <w:basedOn w:val="6"/>
    <w:link w:val="4"/>
    <w:semiHidden/>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265</Words>
  <Characters>1514</Characters>
  <Lines>12</Lines>
  <Paragraphs>3</Paragraphs>
  <TotalTime>9</TotalTime>
  <ScaleCrop>false</ScaleCrop>
  <LinksUpToDate>false</LinksUpToDate>
  <CharactersWithSpaces>1776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2020-11-09T08:34:00Z</dcterms:created>
  <dc:creator>龙素芬</dc:creator>
  <cp:lastModifiedBy>微笑的樱桃</cp:lastModifiedBy>
  <dcterms:modified xsi:type="dcterms:W3CDTF">2020-11-10T01:15:45Z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