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攀枝花市</w:t>
      </w:r>
      <w:r>
        <w:rPr>
          <w:rFonts w:hint="eastAsia" w:ascii="方正小标宋简体" w:hAnsi="方正小标宋简体" w:eastAsia="方正小标宋简体" w:cs="方正小标宋简体"/>
          <w:bCs/>
          <w:sz w:val="44"/>
          <w:szCs w:val="44"/>
        </w:rPr>
        <w:t>钢铁企业煤气安全专项治理验收表</w:t>
      </w:r>
    </w:p>
    <w:p>
      <w:pPr>
        <w:keepNext w:val="0"/>
        <w:keepLines w:val="0"/>
        <w:pageBreakBefore w:val="0"/>
        <w:widowControl/>
        <w:shd w:val="clear" w:color="auto" w:fill="FFFFFF"/>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Cs/>
          <w:sz w:val="44"/>
          <w:szCs w:val="44"/>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bCs/>
          <w:sz w:val="32"/>
          <w:szCs w:val="32"/>
          <w:u w:val="single"/>
          <w:lang w:val="en-US" w:eastAsia="zh-CN"/>
        </w:rPr>
      </w:pPr>
      <w:r>
        <w:rPr>
          <w:rFonts w:hint="eastAsia" w:asciiTheme="majorEastAsia" w:hAnsiTheme="majorEastAsia" w:eastAsiaTheme="majorEastAsia" w:cstheme="majorEastAsia"/>
          <w:b/>
          <w:bCs w:val="0"/>
          <w:sz w:val="24"/>
          <w:szCs w:val="24"/>
          <w:lang w:eastAsia="zh-CN"/>
        </w:rPr>
        <w:t>验收单位：</w:t>
      </w:r>
      <w:r>
        <w:rPr>
          <w:rFonts w:hint="eastAsia" w:asciiTheme="majorEastAsia" w:hAnsiTheme="majorEastAsia" w:eastAsiaTheme="majorEastAsia" w:cstheme="majorEastAsia"/>
          <w:b/>
          <w:bCs w:val="0"/>
          <w:sz w:val="24"/>
          <w:szCs w:val="24"/>
          <w:u w:val="single"/>
          <w:lang w:val="en-US" w:eastAsia="zh-CN"/>
        </w:rPr>
        <w:t xml:space="preserve">                                   </w:t>
      </w:r>
      <w:r>
        <w:rPr>
          <w:rFonts w:hint="eastAsia" w:asciiTheme="majorEastAsia" w:hAnsiTheme="majorEastAsia" w:eastAsiaTheme="majorEastAsia" w:cstheme="majorEastAsia"/>
          <w:b/>
          <w:bCs w:val="0"/>
          <w:sz w:val="24"/>
          <w:szCs w:val="24"/>
          <w:u w:val="none"/>
          <w:lang w:val="en-US" w:eastAsia="zh-CN"/>
        </w:rPr>
        <w:t xml:space="preserve">                             负责人：</w:t>
      </w:r>
      <w:r>
        <w:rPr>
          <w:rFonts w:hint="eastAsia" w:asciiTheme="majorEastAsia" w:hAnsiTheme="majorEastAsia" w:eastAsiaTheme="majorEastAsia" w:cstheme="majorEastAsia"/>
          <w:b/>
          <w:bCs w:val="0"/>
          <w:sz w:val="24"/>
          <w:szCs w:val="24"/>
          <w:u w:val="single"/>
          <w:lang w:val="en-US" w:eastAsia="zh-CN"/>
        </w:rPr>
        <w:t xml:space="preserve">                                   </w:t>
      </w:r>
    </w:p>
    <w:tbl>
      <w:tblPr>
        <w:tblStyle w:val="5"/>
        <w:tblW w:w="144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54"/>
        <w:gridCol w:w="1381"/>
        <w:gridCol w:w="6840"/>
        <w:gridCol w:w="1817"/>
        <w:gridCol w:w="1222"/>
        <w:gridCol w:w="1346"/>
        <w:gridCol w:w="12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64" w:hRule="atLeast"/>
          <w:jc w:val="center"/>
        </w:trPr>
        <w:tc>
          <w:tcPr>
            <w:tcW w:w="654" w:type="dxa"/>
            <w:tcBorders>
              <w:top w:val="single" w:color="auto" w:sz="12" w:space="0"/>
            </w:tcBorders>
            <w:vAlign w:val="center"/>
          </w:tcPr>
          <w:p>
            <w:pPr>
              <w:tabs>
                <w:tab w:val="left" w:pos="675"/>
              </w:tabs>
              <w:spacing w:line="240" w:lineRule="exact"/>
              <w:jc w:val="center"/>
              <w:rPr>
                <w:rFonts w:ascii="黑体" w:hAnsi="黑体" w:eastAsia="黑体" w:cs="黑体"/>
                <w:b/>
                <w:szCs w:val="21"/>
              </w:rPr>
            </w:pPr>
            <w:r>
              <w:rPr>
                <w:rFonts w:hint="eastAsia" w:ascii="黑体" w:hAnsi="黑体" w:eastAsia="黑体" w:cs="黑体"/>
                <w:b/>
                <w:szCs w:val="21"/>
              </w:rPr>
              <w:t>序号</w:t>
            </w:r>
          </w:p>
        </w:tc>
        <w:tc>
          <w:tcPr>
            <w:tcW w:w="1381" w:type="dxa"/>
            <w:tcBorders>
              <w:top w:val="single" w:color="auto" w:sz="12" w:space="0"/>
            </w:tcBorders>
            <w:vAlign w:val="center"/>
          </w:tcPr>
          <w:p>
            <w:pPr>
              <w:tabs>
                <w:tab w:val="left" w:pos="675"/>
              </w:tabs>
              <w:spacing w:line="240" w:lineRule="exact"/>
              <w:jc w:val="center"/>
              <w:rPr>
                <w:rFonts w:ascii="黑体" w:hAnsi="黑体" w:eastAsia="黑体" w:cs="黑体"/>
                <w:bCs/>
                <w:szCs w:val="21"/>
              </w:rPr>
            </w:pPr>
            <w:r>
              <w:rPr>
                <w:rFonts w:hint="eastAsia" w:ascii="黑体" w:hAnsi="黑体" w:eastAsia="黑体" w:cs="黑体"/>
                <w:b/>
                <w:szCs w:val="21"/>
              </w:rPr>
              <w:t>检查内容</w:t>
            </w:r>
          </w:p>
        </w:tc>
        <w:tc>
          <w:tcPr>
            <w:tcW w:w="6840" w:type="dxa"/>
            <w:tcBorders>
              <w:top w:val="single" w:color="auto" w:sz="12" w:space="0"/>
            </w:tcBorders>
            <w:vAlign w:val="center"/>
          </w:tcPr>
          <w:p>
            <w:pPr>
              <w:tabs>
                <w:tab w:val="left" w:pos="675"/>
              </w:tabs>
              <w:spacing w:line="240" w:lineRule="exact"/>
              <w:jc w:val="center"/>
              <w:rPr>
                <w:rFonts w:ascii="黑体" w:hAnsi="黑体" w:eastAsia="黑体" w:cs="黑体"/>
                <w:bCs/>
                <w:szCs w:val="21"/>
              </w:rPr>
            </w:pPr>
            <w:r>
              <w:rPr>
                <w:rFonts w:hint="eastAsia" w:ascii="黑体" w:hAnsi="黑体" w:eastAsia="黑体" w:cs="黑体"/>
                <w:b/>
                <w:szCs w:val="21"/>
              </w:rPr>
              <w:t>治理参考建议</w:t>
            </w:r>
          </w:p>
        </w:tc>
        <w:tc>
          <w:tcPr>
            <w:tcW w:w="1817" w:type="dxa"/>
            <w:tcBorders>
              <w:top w:val="single" w:color="auto" w:sz="12" w:space="0"/>
            </w:tcBorders>
            <w:vAlign w:val="center"/>
          </w:tcPr>
          <w:p>
            <w:pPr>
              <w:tabs>
                <w:tab w:val="left" w:pos="675"/>
              </w:tabs>
              <w:spacing w:line="240" w:lineRule="exact"/>
              <w:jc w:val="center"/>
              <w:rPr>
                <w:rFonts w:ascii="黑体" w:hAnsi="黑体" w:eastAsia="黑体" w:cs="黑体"/>
                <w:b/>
                <w:szCs w:val="21"/>
              </w:rPr>
            </w:pPr>
            <w:r>
              <w:rPr>
                <w:rFonts w:hint="eastAsia" w:ascii="黑体" w:hAnsi="黑体" w:eastAsia="黑体" w:cs="黑体"/>
                <w:b/>
                <w:szCs w:val="21"/>
              </w:rPr>
              <w:t>资料查阅</w:t>
            </w:r>
          </w:p>
        </w:tc>
        <w:tc>
          <w:tcPr>
            <w:tcW w:w="1222" w:type="dxa"/>
            <w:tcBorders>
              <w:top w:val="single" w:color="auto" w:sz="12" w:space="0"/>
            </w:tcBorders>
            <w:vAlign w:val="center"/>
          </w:tcPr>
          <w:p>
            <w:pPr>
              <w:tabs>
                <w:tab w:val="left" w:pos="675"/>
              </w:tabs>
              <w:spacing w:line="240" w:lineRule="exact"/>
              <w:jc w:val="center"/>
              <w:rPr>
                <w:rFonts w:ascii="黑体" w:hAnsi="黑体" w:eastAsia="黑体" w:cs="黑体"/>
                <w:b/>
                <w:szCs w:val="21"/>
              </w:rPr>
            </w:pPr>
            <w:r>
              <w:rPr>
                <w:rFonts w:hint="eastAsia" w:ascii="黑体" w:hAnsi="黑体" w:eastAsia="黑体" w:cs="黑体"/>
                <w:b/>
                <w:szCs w:val="21"/>
              </w:rPr>
              <w:t>检查情况</w:t>
            </w:r>
          </w:p>
        </w:tc>
        <w:tc>
          <w:tcPr>
            <w:tcW w:w="1346" w:type="dxa"/>
            <w:tcBorders>
              <w:top w:val="single" w:color="auto" w:sz="12" w:space="0"/>
            </w:tcBorders>
            <w:vAlign w:val="center"/>
          </w:tcPr>
          <w:p>
            <w:pPr>
              <w:tabs>
                <w:tab w:val="left" w:pos="675"/>
              </w:tabs>
              <w:spacing w:line="240" w:lineRule="exact"/>
              <w:jc w:val="center"/>
              <w:rPr>
                <w:rFonts w:ascii="黑体" w:hAnsi="黑体" w:eastAsia="黑体" w:cs="黑体"/>
                <w:b/>
                <w:szCs w:val="21"/>
              </w:rPr>
            </w:pPr>
            <w:r>
              <w:rPr>
                <w:rFonts w:hint="eastAsia" w:ascii="黑体" w:hAnsi="黑体" w:eastAsia="黑体" w:cs="黑体"/>
                <w:b/>
                <w:szCs w:val="21"/>
              </w:rPr>
              <w:t>现场检查</w:t>
            </w:r>
          </w:p>
        </w:tc>
        <w:tc>
          <w:tcPr>
            <w:tcW w:w="1222" w:type="dxa"/>
            <w:tcBorders>
              <w:top w:val="single" w:color="auto" w:sz="12" w:space="0"/>
            </w:tcBorders>
            <w:vAlign w:val="center"/>
          </w:tcPr>
          <w:p>
            <w:pPr>
              <w:tabs>
                <w:tab w:val="left" w:pos="675"/>
              </w:tabs>
              <w:spacing w:line="240" w:lineRule="exact"/>
              <w:jc w:val="center"/>
              <w:rPr>
                <w:rFonts w:ascii="黑体" w:hAnsi="黑体" w:eastAsia="黑体" w:cs="黑体"/>
                <w:b/>
                <w:szCs w:val="21"/>
              </w:rPr>
            </w:pPr>
            <w:r>
              <w:rPr>
                <w:rFonts w:hint="eastAsia" w:ascii="黑体" w:hAnsi="黑体" w:eastAsia="黑体" w:cs="黑体"/>
                <w:b/>
                <w:szCs w:val="21"/>
              </w:rPr>
              <w:t>检查情况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04" w:hRule="atLeast"/>
          <w:jc w:val="center"/>
        </w:trPr>
        <w:tc>
          <w:tcPr>
            <w:tcW w:w="654" w:type="dxa"/>
            <w:vAlign w:val="center"/>
          </w:tcPr>
          <w:p>
            <w:pPr>
              <w:tabs>
                <w:tab w:val="left" w:pos="675"/>
              </w:tabs>
              <w:spacing w:line="240" w:lineRule="exact"/>
              <w:jc w:val="center"/>
              <w:rPr>
                <w:rFonts w:ascii="宋体" w:cs="宋体"/>
                <w:b/>
                <w:sz w:val="20"/>
                <w:szCs w:val="20"/>
              </w:rPr>
            </w:pPr>
            <w:r>
              <w:rPr>
                <w:rFonts w:ascii="宋体" w:hAnsi="宋体" w:cs="宋体"/>
                <w:b/>
                <w:sz w:val="20"/>
                <w:szCs w:val="20"/>
              </w:rPr>
              <w:t>1</w:t>
            </w:r>
          </w:p>
        </w:tc>
        <w:tc>
          <w:tcPr>
            <w:tcW w:w="1381" w:type="dxa"/>
            <w:vAlign w:val="center"/>
          </w:tcPr>
          <w:p>
            <w:pPr>
              <w:tabs>
                <w:tab w:val="left" w:pos="675"/>
              </w:tabs>
              <w:spacing w:line="240" w:lineRule="exact"/>
              <w:jc w:val="left"/>
              <w:rPr>
                <w:rFonts w:ascii="宋体" w:cs="宋体"/>
                <w:b/>
                <w:szCs w:val="21"/>
              </w:rPr>
            </w:pPr>
            <w:r>
              <w:rPr>
                <w:rFonts w:hint="eastAsia" w:ascii="宋体" w:hAnsi="宋体" w:cs="宋体"/>
                <w:bCs/>
                <w:szCs w:val="21"/>
              </w:rPr>
              <w:t>新建、改建和大修后的煤气设施未经检查验收合格，擅自投入运行。</w:t>
            </w:r>
          </w:p>
        </w:tc>
        <w:tc>
          <w:tcPr>
            <w:tcW w:w="6840" w:type="dxa"/>
            <w:vAlign w:val="center"/>
          </w:tcPr>
          <w:p>
            <w:pPr>
              <w:tabs>
                <w:tab w:val="left" w:pos="675"/>
              </w:tabs>
              <w:spacing w:line="240" w:lineRule="exact"/>
              <w:jc w:val="left"/>
              <w:rPr>
                <w:rFonts w:ascii="宋体" w:cs="宋体"/>
                <w:bCs/>
                <w:szCs w:val="21"/>
              </w:rPr>
            </w:pPr>
            <w:r>
              <w:rPr>
                <w:rFonts w:ascii="宋体" w:hAnsi="宋体" w:cs="宋体"/>
                <w:bCs/>
                <w:szCs w:val="21"/>
              </w:rPr>
              <w:t>1.</w:t>
            </w:r>
            <w:r>
              <w:rPr>
                <w:rFonts w:hint="eastAsia" w:ascii="宋体" w:hAnsi="宋体" w:cs="宋体"/>
                <w:bCs/>
                <w:szCs w:val="21"/>
              </w:rPr>
              <w:t>新建、改建项目必须有具有相应资质单位出具的安全验收评价报告，并由生产经营单位组织的验收合格证明。</w:t>
            </w:r>
          </w:p>
          <w:p>
            <w:pPr>
              <w:tabs>
                <w:tab w:val="left" w:pos="675"/>
              </w:tabs>
              <w:spacing w:line="240" w:lineRule="exact"/>
              <w:jc w:val="left"/>
              <w:rPr>
                <w:rFonts w:ascii="宋体" w:cs="宋体"/>
                <w:bCs/>
                <w:szCs w:val="21"/>
              </w:rPr>
            </w:pPr>
            <w:r>
              <w:rPr>
                <w:rFonts w:ascii="宋体" w:hAnsi="宋体" w:cs="宋体"/>
                <w:bCs/>
                <w:szCs w:val="21"/>
              </w:rPr>
              <w:t>2.</w:t>
            </w:r>
            <w:r>
              <w:rPr>
                <w:rFonts w:hint="eastAsia" w:ascii="宋体" w:hAnsi="宋体" w:cs="宋体"/>
                <w:bCs/>
                <w:szCs w:val="21"/>
              </w:rPr>
              <w:t>新建、改建项目必须有具有相应资质单位出具的安全设施设计并经应急管理部门审查合格。</w:t>
            </w:r>
          </w:p>
          <w:p>
            <w:pPr>
              <w:tabs>
                <w:tab w:val="left" w:pos="675"/>
              </w:tabs>
              <w:spacing w:line="240" w:lineRule="exact"/>
              <w:jc w:val="left"/>
              <w:rPr>
                <w:rFonts w:ascii="宋体" w:cs="宋体"/>
                <w:bCs/>
                <w:szCs w:val="21"/>
              </w:rPr>
            </w:pPr>
            <w:r>
              <w:rPr>
                <w:rFonts w:ascii="宋体" w:hAnsi="宋体" w:cs="宋体"/>
                <w:bCs/>
                <w:szCs w:val="21"/>
              </w:rPr>
              <w:t>3.</w:t>
            </w:r>
            <w:r>
              <w:rPr>
                <w:rFonts w:hint="eastAsia" w:ascii="宋体" w:hAnsi="宋体" w:cs="宋体"/>
                <w:bCs/>
                <w:szCs w:val="21"/>
              </w:rPr>
              <w:t>大修必须经生产、技术、设备等部门参与讨论，经生产经营单位批准的安全施工方案和验收合格证明。</w:t>
            </w:r>
          </w:p>
        </w:tc>
        <w:tc>
          <w:tcPr>
            <w:tcW w:w="1817" w:type="dxa"/>
            <w:vAlign w:val="center"/>
          </w:tcPr>
          <w:p>
            <w:pPr>
              <w:tabs>
                <w:tab w:val="left" w:pos="675"/>
              </w:tabs>
              <w:spacing w:line="240" w:lineRule="exact"/>
              <w:jc w:val="left"/>
              <w:rPr>
                <w:rFonts w:ascii="宋体" w:cs="宋体"/>
                <w:szCs w:val="21"/>
              </w:rPr>
            </w:pPr>
            <w:r>
              <w:rPr>
                <w:rFonts w:ascii="宋体" w:hAnsi="宋体" w:cs="宋体"/>
                <w:szCs w:val="21"/>
              </w:rPr>
              <w:t>1.</w:t>
            </w:r>
            <w:r>
              <w:rPr>
                <w:rFonts w:hint="eastAsia" w:ascii="宋体" w:hAnsi="宋体" w:cs="宋体"/>
                <w:szCs w:val="21"/>
              </w:rPr>
              <w:t>验收合格资料；</w:t>
            </w:r>
          </w:p>
          <w:p>
            <w:pPr>
              <w:tabs>
                <w:tab w:val="left" w:pos="675"/>
              </w:tabs>
              <w:spacing w:line="240" w:lineRule="exact"/>
              <w:jc w:val="left"/>
              <w:rPr>
                <w:rFonts w:ascii="宋体" w:cs="宋体"/>
                <w:szCs w:val="21"/>
              </w:rPr>
            </w:pPr>
            <w:r>
              <w:rPr>
                <w:rFonts w:ascii="宋体" w:hAnsi="宋体" w:cs="宋体"/>
                <w:szCs w:val="21"/>
              </w:rPr>
              <w:t>2.</w:t>
            </w:r>
            <w:r>
              <w:rPr>
                <w:rFonts w:hint="eastAsia" w:ascii="宋体" w:hAnsi="宋体" w:cs="宋体"/>
                <w:szCs w:val="21"/>
              </w:rPr>
              <w:t>设施设计审查文件；</w:t>
            </w:r>
          </w:p>
          <w:p>
            <w:pPr>
              <w:tabs>
                <w:tab w:val="left" w:pos="675"/>
              </w:tabs>
              <w:spacing w:line="240" w:lineRule="exact"/>
              <w:jc w:val="left"/>
              <w:rPr>
                <w:rFonts w:ascii="宋体" w:cs="宋体"/>
                <w:szCs w:val="21"/>
              </w:rPr>
            </w:pPr>
            <w:r>
              <w:rPr>
                <w:rFonts w:ascii="宋体" w:hAnsi="宋体" w:cs="宋体"/>
                <w:szCs w:val="21"/>
              </w:rPr>
              <w:t>3.</w:t>
            </w:r>
            <w:r>
              <w:rPr>
                <w:rFonts w:hint="eastAsia" w:ascii="宋体" w:hAnsi="宋体" w:cs="宋体"/>
                <w:szCs w:val="21"/>
              </w:rPr>
              <w:t>施工方案（需有生产、技术、设备等部门参与讨论以及批准的痕迹资料）和验收合格证明。</w:t>
            </w:r>
          </w:p>
        </w:tc>
        <w:tc>
          <w:tcPr>
            <w:tcW w:w="1222" w:type="dxa"/>
            <w:vAlign w:val="center"/>
          </w:tcPr>
          <w:p>
            <w:pPr>
              <w:tabs>
                <w:tab w:val="left" w:pos="675"/>
              </w:tabs>
              <w:spacing w:line="240" w:lineRule="exact"/>
              <w:jc w:val="left"/>
              <w:rPr>
                <w:rFonts w:ascii="宋体" w:cs="宋体"/>
                <w:szCs w:val="21"/>
              </w:rPr>
            </w:pPr>
          </w:p>
        </w:tc>
        <w:tc>
          <w:tcPr>
            <w:tcW w:w="1346" w:type="dxa"/>
            <w:vAlign w:val="center"/>
          </w:tcPr>
          <w:p>
            <w:pPr>
              <w:tabs>
                <w:tab w:val="left" w:pos="675"/>
              </w:tabs>
              <w:spacing w:line="240" w:lineRule="exact"/>
              <w:jc w:val="left"/>
              <w:rPr>
                <w:rFonts w:ascii="宋体" w:cs="宋体"/>
                <w:szCs w:val="21"/>
              </w:rPr>
            </w:pPr>
            <w:r>
              <w:rPr>
                <w:rFonts w:hint="eastAsia" w:ascii="宋体" w:hAnsi="宋体" w:cs="宋体"/>
                <w:szCs w:val="21"/>
              </w:rPr>
              <w:t>煤气设施安全状况与标准要求的符合性。</w:t>
            </w:r>
          </w:p>
        </w:tc>
        <w:tc>
          <w:tcPr>
            <w:tcW w:w="1222" w:type="dxa"/>
            <w:vAlign w:val="center"/>
          </w:tcPr>
          <w:p>
            <w:pPr>
              <w:tabs>
                <w:tab w:val="left" w:pos="675"/>
              </w:tabs>
              <w:spacing w:line="240" w:lineRule="exact"/>
              <w:jc w:val="left"/>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97" w:hRule="atLeast"/>
          <w:jc w:val="center"/>
        </w:trPr>
        <w:tc>
          <w:tcPr>
            <w:tcW w:w="654" w:type="dxa"/>
            <w:vAlign w:val="center"/>
          </w:tcPr>
          <w:p>
            <w:pPr>
              <w:tabs>
                <w:tab w:val="left" w:pos="675"/>
              </w:tabs>
              <w:spacing w:line="240" w:lineRule="exact"/>
              <w:jc w:val="center"/>
            </w:pPr>
            <w:r>
              <w:rPr>
                <w:rFonts w:ascii="宋体" w:hAnsi="宋体" w:cs="宋体"/>
                <w:b/>
                <w:sz w:val="20"/>
                <w:szCs w:val="20"/>
              </w:rPr>
              <w:t>2</w:t>
            </w:r>
          </w:p>
        </w:tc>
        <w:tc>
          <w:tcPr>
            <w:tcW w:w="1381" w:type="dxa"/>
            <w:vAlign w:val="center"/>
          </w:tcPr>
          <w:p>
            <w:pPr>
              <w:tabs>
                <w:tab w:val="left" w:pos="675"/>
              </w:tabs>
              <w:spacing w:line="240" w:lineRule="exact"/>
              <w:jc w:val="left"/>
              <w:rPr>
                <w:rFonts w:ascii="宋体" w:cs="宋体"/>
                <w:bCs/>
                <w:szCs w:val="21"/>
              </w:rPr>
            </w:pPr>
            <w:r>
              <w:rPr>
                <w:rFonts w:hint="eastAsia" w:ascii="宋体" w:hAnsi="宋体" w:cs="宋体"/>
                <w:bCs/>
                <w:szCs w:val="21"/>
              </w:rPr>
              <w:t>煤气设备设施的改造和施工，由不具备相应资质的设计单位和施工单位进行；新型煤气设备或附属装置未经安全条件论证。</w:t>
            </w:r>
          </w:p>
        </w:tc>
        <w:tc>
          <w:tcPr>
            <w:tcW w:w="6840" w:type="dxa"/>
            <w:vAlign w:val="center"/>
          </w:tcPr>
          <w:p>
            <w:pPr>
              <w:tabs>
                <w:tab w:val="left" w:pos="675"/>
              </w:tabs>
              <w:spacing w:line="240" w:lineRule="exact"/>
              <w:jc w:val="left"/>
              <w:rPr>
                <w:rFonts w:ascii="宋体" w:cs="宋体"/>
                <w:bCs/>
                <w:szCs w:val="21"/>
              </w:rPr>
            </w:pPr>
            <w:r>
              <w:rPr>
                <w:rFonts w:ascii="宋体" w:hAnsi="宋体" w:cs="宋体"/>
                <w:bCs/>
                <w:szCs w:val="21"/>
              </w:rPr>
              <w:t>1.</w:t>
            </w:r>
            <w:r>
              <w:rPr>
                <w:rFonts w:hint="eastAsia" w:ascii="宋体" w:hAnsi="宋体" w:cs="宋体"/>
                <w:bCs/>
                <w:szCs w:val="21"/>
              </w:rPr>
              <w:t>提供设计单位、施工单位资质（冶金工程总承包资质特级、一级）。</w:t>
            </w:r>
          </w:p>
          <w:p>
            <w:pPr>
              <w:tabs>
                <w:tab w:val="left" w:pos="675"/>
              </w:tabs>
              <w:spacing w:line="240" w:lineRule="exact"/>
              <w:jc w:val="left"/>
              <w:rPr>
                <w:rFonts w:ascii="宋体" w:cs="宋体"/>
                <w:bCs/>
                <w:szCs w:val="21"/>
              </w:rPr>
            </w:pPr>
            <w:r>
              <w:rPr>
                <w:rFonts w:ascii="宋体" w:hAnsi="宋体" w:cs="宋体"/>
                <w:bCs/>
                <w:szCs w:val="21"/>
              </w:rPr>
              <w:t>2.</w:t>
            </w:r>
            <w:r>
              <w:rPr>
                <w:rFonts w:hint="eastAsia" w:ascii="宋体" w:hAnsi="宋体" w:cs="宋体"/>
                <w:bCs/>
                <w:szCs w:val="21"/>
              </w:rPr>
              <w:t>新型煤气设备或附属装置提供安全条件论证报告或会议纪要。</w:t>
            </w:r>
          </w:p>
        </w:tc>
        <w:tc>
          <w:tcPr>
            <w:tcW w:w="1817" w:type="dxa"/>
            <w:vAlign w:val="center"/>
          </w:tcPr>
          <w:p>
            <w:pPr>
              <w:tabs>
                <w:tab w:val="left" w:pos="675"/>
              </w:tabs>
              <w:spacing w:line="240" w:lineRule="exact"/>
              <w:jc w:val="left"/>
              <w:rPr>
                <w:rFonts w:ascii="宋体" w:cs="宋体"/>
                <w:szCs w:val="21"/>
              </w:rPr>
            </w:pPr>
            <w:r>
              <w:rPr>
                <w:rFonts w:ascii="宋体" w:hAnsi="宋体" w:cs="宋体"/>
                <w:szCs w:val="21"/>
              </w:rPr>
              <w:t>1.</w:t>
            </w:r>
            <w:r>
              <w:rPr>
                <w:rFonts w:hint="eastAsia" w:ascii="宋体" w:hAnsi="宋体" w:cs="宋体"/>
                <w:szCs w:val="21"/>
              </w:rPr>
              <w:t>设计单位、施工单位资质；</w:t>
            </w:r>
          </w:p>
          <w:p>
            <w:pPr>
              <w:tabs>
                <w:tab w:val="left" w:pos="675"/>
              </w:tabs>
              <w:spacing w:line="240" w:lineRule="exact"/>
              <w:jc w:val="left"/>
              <w:rPr>
                <w:rFonts w:ascii="宋体" w:cs="宋体"/>
                <w:szCs w:val="21"/>
              </w:rPr>
            </w:pPr>
            <w:r>
              <w:rPr>
                <w:rFonts w:ascii="宋体" w:hAnsi="宋体" w:cs="宋体"/>
                <w:szCs w:val="21"/>
              </w:rPr>
              <w:t>2.</w:t>
            </w:r>
            <w:r>
              <w:rPr>
                <w:rFonts w:hint="eastAsia" w:ascii="宋体" w:hAnsi="宋体" w:cs="宋体"/>
                <w:szCs w:val="21"/>
              </w:rPr>
              <w:t>新型煤气设备或附属装置提供安全条件论证报告或会议纪要。</w:t>
            </w:r>
          </w:p>
        </w:tc>
        <w:tc>
          <w:tcPr>
            <w:tcW w:w="1222" w:type="dxa"/>
            <w:vAlign w:val="center"/>
          </w:tcPr>
          <w:p>
            <w:pPr>
              <w:tabs>
                <w:tab w:val="left" w:pos="675"/>
              </w:tabs>
              <w:spacing w:line="240" w:lineRule="exact"/>
              <w:jc w:val="left"/>
              <w:rPr>
                <w:rFonts w:ascii="宋体" w:cs="宋体"/>
                <w:szCs w:val="21"/>
              </w:rPr>
            </w:pPr>
          </w:p>
        </w:tc>
        <w:tc>
          <w:tcPr>
            <w:tcW w:w="1346" w:type="dxa"/>
            <w:vAlign w:val="center"/>
          </w:tcPr>
          <w:p>
            <w:pPr>
              <w:tabs>
                <w:tab w:val="left" w:pos="675"/>
              </w:tabs>
              <w:spacing w:line="240" w:lineRule="exact"/>
              <w:jc w:val="left"/>
              <w:rPr>
                <w:rFonts w:ascii="宋体" w:cs="宋体"/>
                <w:szCs w:val="21"/>
              </w:rPr>
            </w:pPr>
            <w:r>
              <w:rPr>
                <w:rFonts w:hint="eastAsia" w:ascii="宋体" w:hAnsi="宋体" w:cs="宋体"/>
                <w:szCs w:val="21"/>
              </w:rPr>
              <w:t>煤气设施安全状况与标准要求的符合性。</w:t>
            </w:r>
          </w:p>
        </w:tc>
        <w:tc>
          <w:tcPr>
            <w:tcW w:w="1222" w:type="dxa"/>
            <w:vAlign w:val="center"/>
          </w:tcPr>
          <w:p>
            <w:pPr>
              <w:tabs>
                <w:tab w:val="left" w:pos="675"/>
              </w:tabs>
              <w:spacing w:line="240" w:lineRule="exact"/>
              <w:jc w:val="left"/>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82" w:hRule="atLeast"/>
          <w:jc w:val="center"/>
        </w:trPr>
        <w:tc>
          <w:tcPr>
            <w:tcW w:w="654" w:type="dxa"/>
            <w:vAlign w:val="center"/>
          </w:tcPr>
          <w:p>
            <w:pPr>
              <w:tabs>
                <w:tab w:val="left" w:pos="675"/>
              </w:tabs>
              <w:spacing w:line="240" w:lineRule="exact"/>
              <w:jc w:val="center"/>
              <w:rPr>
                <w:rFonts w:ascii="宋体" w:cs="宋体"/>
                <w:b/>
                <w:sz w:val="20"/>
                <w:szCs w:val="20"/>
              </w:rPr>
            </w:pPr>
            <w:r>
              <w:rPr>
                <w:rFonts w:ascii="宋体" w:hAnsi="宋体" w:cs="宋体"/>
                <w:b/>
                <w:sz w:val="20"/>
                <w:szCs w:val="20"/>
              </w:rPr>
              <w:t>3</w:t>
            </w:r>
          </w:p>
        </w:tc>
        <w:tc>
          <w:tcPr>
            <w:tcW w:w="1381" w:type="dxa"/>
            <w:vAlign w:val="center"/>
          </w:tcPr>
          <w:p>
            <w:pPr>
              <w:tabs>
                <w:tab w:val="left" w:pos="675"/>
              </w:tabs>
              <w:spacing w:line="240" w:lineRule="exact"/>
              <w:jc w:val="left"/>
              <w:rPr>
                <w:rFonts w:ascii="宋体" w:cs="宋体"/>
                <w:bCs/>
                <w:szCs w:val="21"/>
              </w:rPr>
            </w:pPr>
            <w:r>
              <w:rPr>
                <w:rFonts w:hint="eastAsia" w:ascii="宋体" w:hAnsi="宋体" w:cs="宋体"/>
                <w:bCs/>
                <w:szCs w:val="21"/>
              </w:rPr>
              <w:t>生产、储存、使用煤气的企业未建立煤气防护站（组），没有配备必要的煤气防护人员、煤气检测报警装置及防护设施，未按要求每年组织开展至少一次煤气事故应急演练。</w:t>
            </w:r>
          </w:p>
        </w:tc>
        <w:tc>
          <w:tcPr>
            <w:tcW w:w="6840" w:type="dxa"/>
            <w:vAlign w:val="center"/>
          </w:tcPr>
          <w:p>
            <w:pPr>
              <w:tabs>
                <w:tab w:val="left" w:pos="675"/>
              </w:tabs>
              <w:spacing w:line="240" w:lineRule="exact"/>
              <w:jc w:val="left"/>
              <w:rPr>
                <w:rFonts w:ascii="宋体" w:cs="宋体"/>
                <w:szCs w:val="21"/>
              </w:rPr>
            </w:pPr>
            <w:r>
              <w:rPr>
                <w:rFonts w:ascii="宋体" w:hAnsi="宋体" w:cs="宋体"/>
                <w:szCs w:val="21"/>
              </w:rPr>
              <w:t>1.</w:t>
            </w:r>
            <w:r>
              <w:rPr>
                <w:rFonts w:hint="eastAsia" w:ascii="宋体" w:hAnsi="宋体" w:cs="宋体"/>
                <w:szCs w:val="21"/>
              </w:rPr>
              <w:t>煤气防护站（组）在企业安全部门领导下，需有成立文件；</w:t>
            </w:r>
          </w:p>
          <w:p>
            <w:pPr>
              <w:tabs>
                <w:tab w:val="left" w:pos="675"/>
              </w:tabs>
              <w:spacing w:line="240" w:lineRule="exact"/>
              <w:jc w:val="left"/>
              <w:rPr>
                <w:rFonts w:ascii="宋体" w:cs="宋体"/>
                <w:szCs w:val="21"/>
              </w:rPr>
            </w:pPr>
            <w:r>
              <w:rPr>
                <w:rFonts w:ascii="宋体" w:hAnsi="宋体" w:cs="宋体"/>
                <w:szCs w:val="21"/>
              </w:rPr>
              <w:t>2.</w:t>
            </w:r>
            <w:r>
              <w:rPr>
                <w:rFonts w:hint="eastAsia" w:ascii="宋体" w:hAnsi="宋体" w:cs="宋体"/>
                <w:szCs w:val="21"/>
              </w:rPr>
              <w:t>煤气防护站（组）的职能职责应包括：（</w:t>
            </w:r>
            <w:r>
              <w:rPr>
                <w:rFonts w:ascii="宋体" w:hAnsi="宋体" w:cs="宋体"/>
                <w:szCs w:val="21"/>
              </w:rPr>
              <w:t>1</w:t>
            </w:r>
            <w:r>
              <w:rPr>
                <w:rFonts w:hint="eastAsia" w:ascii="宋体" w:hAnsi="宋体" w:cs="宋体"/>
                <w:szCs w:val="21"/>
              </w:rPr>
              <w:t>）掌握企业内煤气动态，做好安全宣传工作；组织并训练不脱产的防护人员，有计划地培训煤气专业人员；组织防护人员的技术教育和业务学习，平时按计划定期进行各种事故抢救演习；（</w:t>
            </w:r>
            <w:r>
              <w:rPr>
                <w:rFonts w:ascii="宋体" w:hAnsi="宋体" w:cs="宋体"/>
                <w:szCs w:val="21"/>
              </w:rPr>
              <w:t>2</w:t>
            </w:r>
            <w:r>
              <w:rPr>
                <w:rFonts w:hint="eastAsia" w:ascii="宋体" w:hAnsi="宋体" w:cs="宋体"/>
                <w:szCs w:val="21"/>
              </w:rPr>
              <w:t>）经常组织检查煤气设备及其使用情况，对煤气危险区域定期作一氧化碳含量分析，发现隐患时，及时向有关单位提出改进措施，并督促按时解决；（</w:t>
            </w:r>
            <w:r>
              <w:rPr>
                <w:rFonts w:ascii="宋体" w:hAnsi="宋体" w:cs="宋体"/>
                <w:szCs w:val="21"/>
              </w:rPr>
              <w:t>3</w:t>
            </w:r>
            <w:r>
              <w:rPr>
                <w:rFonts w:hint="eastAsia" w:ascii="宋体" w:hAnsi="宋体" w:cs="宋体"/>
                <w:szCs w:val="21"/>
              </w:rPr>
              <w:t>）协助企业领导组织并进行煤气事故的救护工作；（</w:t>
            </w:r>
            <w:r>
              <w:rPr>
                <w:rFonts w:ascii="宋体" w:hAnsi="宋体" w:cs="宋体"/>
                <w:szCs w:val="21"/>
              </w:rPr>
              <w:t>4</w:t>
            </w:r>
            <w:r>
              <w:rPr>
                <w:rFonts w:hint="eastAsia" w:ascii="宋体" w:hAnsi="宋体" w:cs="宋体"/>
                <w:szCs w:val="21"/>
              </w:rPr>
              <w:t>）参加煤气设施的设计审查和新建、改建工程的竣工验收及投产工作；（</w:t>
            </w:r>
            <w:r>
              <w:rPr>
                <w:rFonts w:ascii="宋体" w:hAnsi="宋体" w:cs="宋体"/>
                <w:szCs w:val="21"/>
              </w:rPr>
              <w:t>5</w:t>
            </w:r>
            <w:r>
              <w:rPr>
                <w:rFonts w:hint="eastAsia" w:ascii="宋体" w:hAnsi="宋体" w:cs="宋体"/>
                <w:szCs w:val="21"/>
              </w:rPr>
              <w:t>）审查各单位提出的带煤气作业</w:t>
            </w:r>
            <w:r>
              <w:rPr>
                <w:rFonts w:ascii="宋体" w:hAnsi="宋体" w:cs="宋体"/>
                <w:szCs w:val="21"/>
              </w:rPr>
              <w:t>(</w:t>
            </w:r>
            <w:r>
              <w:rPr>
                <w:rFonts w:hint="eastAsia" w:ascii="宋体" w:hAnsi="宋体" w:cs="宋体"/>
                <w:szCs w:val="21"/>
              </w:rPr>
              <w:t>包括煤气设备的检修，运行时动火焊接等</w:t>
            </w:r>
            <w:r>
              <w:rPr>
                <w:rFonts w:ascii="宋体" w:hAnsi="宋体" w:cs="宋体"/>
                <w:szCs w:val="21"/>
              </w:rPr>
              <w:t>)</w:t>
            </w:r>
            <w:r>
              <w:rPr>
                <w:rFonts w:hint="eastAsia" w:ascii="宋体" w:hAnsi="宋体" w:cs="宋体"/>
                <w:szCs w:val="21"/>
              </w:rPr>
              <w:t>的工作计划，并在实施过程中严格监护检查，及时提出安全措施及参与安排带煤气抽堵盲板、接管等特殊煤气作业；（</w:t>
            </w:r>
            <w:r>
              <w:rPr>
                <w:rFonts w:ascii="宋体" w:hAnsi="宋体" w:cs="宋体"/>
                <w:szCs w:val="21"/>
              </w:rPr>
              <w:t>6</w:t>
            </w:r>
            <w:r>
              <w:rPr>
                <w:rFonts w:hint="eastAsia" w:ascii="宋体" w:hAnsi="宋体" w:cs="宋体"/>
                <w:szCs w:val="21"/>
              </w:rPr>
              <w:t>）有权提出煤气安全使用和有毒气体防护的安全指令；（</w:t>
            </w:r>
            <w:r>
              <w:rPr>
                <w:rFonts w:ascii="宋体" w:hAnsi="宋体" w:cs="宋体"/>
                <w:szCs w:val="21"/>
              </w:rPr>
              <w:t>7</w:t>
            </w:r>
            <w:r>
              <w:rPr>
                <w:rFonts w:hint="eastAsia" w:ascii="宋体" w:hAnsi="宋体" w:cs="宋体"/>
                <w:szCs w:val="21"/>
              </w:rPr>
              <w:t>）有权制止违反煤气安全规程的危险工作，但应及时向单位负责人报告；（</w:t>
            </w:r>
            <w:r>
              <w:rPr>
                <w:rFonts w:ascii="宋体" w:hAnsi="宋体" w:cs="宋体"/>
                <w:szCs w:val="21"/>
              </w:rPr>
              <w:t>8</w:t>
            </w:r>
            <w:r>
              <w:rPr>
                <w:rFonts w:hint="eastAsia" w:ascii="宋体" w:hAnsi="宋体" w:cs="宋体"/>
                <w:szCs w:val="21"/>
              </w:rPr>
              <w:t>）煤气设备的检修和动火工作，应经煤气防护站签发许可证后方可进行；</w:t>
            </w:r>
          </w:p>
          <w:p>
            <w:pPr>
              <w:tabs>
                <w:tab w:val="left" w:pos="675"/>
              </w:tabs>
              <w:spacing w:line="240" w:lineRule="exact"/>
              <w:jc w:val="left"/>
              <w:rPr>
                <w:rFonts w:ascii="宋体" w:cs="宋体"/>
                <w:szCs w:val="21"/>
              </w:rPr>
            </w:pPr>
            <w:r>
              <w:rPr>
                <w:rFonts w:ascii="宋体" w:hAnsi="宋体" w:cs="宋体"/>
                <w:szCs w:val="21"/>
              </w:rPr>
              <w:t>3.</w:t>
            </w:r>
            <w:r>
              <w:rPr>
                <w:rFonts w:hint="eastAsia" w:ascii="宋体" w:hAnsi="宋体" w:cs="宋体"/>
                <w:szCs w:val="21"/>
              </w:rPr>
              <w:t>生产、供应、使用煤气的冶金企业应保证每班至少有两名煤气防护人员值班，钢铁联合企业每班应不少于四名煤气防护人员值班；</w:t>
            </w:r>
          </w:p>
          <w:p>
            <w:pPr>
              <w:tabs>
                <w:tab w:val="left" w:pos="675"/>
              </w:tabs>
              <w:spacing w:line="240" w:lineRule="exact"/>
              <w:jc w:val="left"/>
              <w:rPr>
                <w:rFonts w:ascii="宋体" w:cs="宋体"/>
                <w:szCs w:val="21"/>
              </w:rPr>
            </w:pPr>
            <w:r>
              <w:rPr>
                <w:rFonts w:ascii="宋体" w:hAnsi="宋体" w:cs="宋体"/>
                <w:szCs w:val="21"/>
              </w:rPr>
              <w:t>4.</w:t>
            </w:r>
            <w:r>
              <w:rPr>
                <w:rFonts w:hint="eastAsia" w:ascii="宋体" w:hAnsi="宋体" w:cs="宋体"/>
                <w:szCs w:val="21"/>
              </w:rPr>
              <w:t>配备呼吸器、通风式防毒面具、充填装置、万能检查器、自动苏生器、隔离式自救器、担架、各种有毒气体分析仪、防爆测定仪、爆发试验装置及供危险作业和抢救用的其他设施（如对讲电话），并应配备救护车和作业用车等；</w:t>
            </w:r>
          </w:p>
          <w:p>
            <w:pPr>
              <w:tabs>
                <w:tab w:val="left" w:pos="675"/>
              </w:tabs>
              <w:spacing w:line="240" w:lineRule="exact"/>
              <w:jc w:val="left"/>
              <w:rPr>
                <w:rFonts w:ascii="宋体" w:cs="宋体"/>
                <w:bCs/>
                <w:szCs w:val="21"/>
              </w:rPr>
            </w:pPr>
            <w:r>
              <w:rPr>
                <w:rFonts w:ascii="宋体" w:hAnsi="宋体" w:cs="宋体"/>
                <w:szCs w:val="21"/>
              </w:rPr>
              <w:t>5.</w:t>
            </w:r>
            <w:r>
              <w:rPr>
                <w:rFonts w:hint="eastAsia" w:ascii="宋体" w:hAnsi="宋体" w:cs="宋体"/>
                <w:szCs w:val="21"/>
              </w:rPr>
              <w:t>每年至少一次的</w:t>
            </w:r>
            <w:r>
              <w:rPr>
                <w:rFonts w:hint="eastAsia" w:ascii="宋体" w:hAnsi="宋体" w:cs="宋体"/>
                <w:bCs/>
                <w:szCs w:val="21"/>
              </w:rPr>
              <w:t>煤气事故应急演练记录。</w:t>
            </w:r>
          </w:p>
        </w:tc>
        <w:tc>
          <w:tcPr>
            <w:tcW w:w="1817" w:type="dxa"/>
            <w:vAlign w:val="center"/>
          </w:tcPr>
          <w:p>
            <w:pPr>
              <w:tabs>
                <w:tab w:val="left" w:pos="675"/>
              </w:tabs>
              <w:spacing w:line="240" w:lineRule="exact"/>
              <w:jc w:val="left"/>
              <w:rPr>
                <w:rFonts w:ascii="宋体" w:cs="宋体"/>
                <w:szCs w:val="21"/>
              </w:rPr>
            </w:pPr>
            <w:r>
              <w:rPr>
                <w:rFonts w:ascii="宋体" w:hAnsi="宋体" w:cs="宋体"/>
                <w:szCs w:val="21"/>
              </w:rPr>
              <w:t>1.</w:t>
            </w:r>
            <w:r>
              <w:rPr>
                <w:rFonts w:hint="eastAsia" w:ascii="宋体" w:hAnsi="宋体" w:cs="宋体"/>
                <w:szCs w:val="21"/>
              </w:rPr>
              <w:t>查阅企业关于煤气防护站组织管理、人员及其资质证书；</w:t>
            </w:r>
          </w:p>
          <w:p>
            <w:pPr>
              <w:tabs>
                <w:tab w:val="left" w:pos="675"/>
              </w:tabs>
              <w:spacing w:line="240" w:lineRule="exact"/>
              <w:jc w:val="left"/>
              <w:rPr>
                <w:rFonts w:ascii="宋体" w:cs="宋体"/>
                <w:szCs w:val="21"/>
              </w:rPr>
            </w:pPr>
            <w:r>
              <w:rPr>
                <w:rFonts w:ascii="宋体" w:hAnsi="宋体" w:cs="宋体"/>
                <w:szCs w:val="21"/>
              </w:rPr>
              <w:t>2.</w:t>
            </w:r>
            <w:r>
              <w:rPr>
                <w:rFonts w:hint="eastAsia" w:ascii="宋体" w:hAnsi="宋体" w:cs="宋体"/>
                <w:szCs w:val="21"/>
              </w:rPr>
              <w:t>查阅应急物资配备清单；</w:t>
            </w:r>
          </w:p>
          <w:p>
            <w:pPr>
              <w:tabs>
                <w:tab w:val="left" w:pos="675"/>
              </w:tabs>
              <w:spacing w:line="240" w:lineRule="exact"/>
              <w:jc w:val="left"/>
              <w:rPr>
                <w:rFonts w:ascii="宋体" w:cs="宋体"/>
                <w:szCs w:val="21"/>
              </w:rPr>
            </w:pPr>
            <w:r>
              <w:rPr>
                <w:rFonts w:ascii="宋体" w:hAnsi="宋体" w:cs="宋体"/>
                <w:szCs w:val="21"/>
              </w:rPr>
              <w:t>3.</w:t>
            </w:r>
            <w:r>
              <w:rPr>
                <w:rFonts w:hint="eastAsia" w:ascii="宋体" w:hAnsi="宋体" w:cs="宋体"/>
                <w:szCs w:val="21"/>
              </w:rPr>
              <w:t>查验相关设施维护保养情况；</w:t>
            </w:r>
          </w:p>
          <w:p>
            <w:pPr>
              <w:tabs>
                <w:tab w:val="left" w:pos="675"/>
              </w:tabs>
              <w:spacing w:line="240" w:lineRule="exact"/>
              <w:jc w:val="left"/>
              <w:rPr>
                <w:rFonts w:ascii="宋体" w:cs="宋体"/>
                <w:szCs w:val="21"/>
              </w:rPr>
            </w:pPr>
            <w:r>
              <w:rPr>
                <w:rFonts w:ascii="宋体" w:hAnsi="宋体" w:cs="宋体"/>
                <w:szCs w:val="21"/>
              </w:rPr>
              <w:t>4.</w:t>
            </w:r>
            <w:r>
              <w:rPr>
                <w:rFonts w:hint="eastAsia" w:ascii="宋体" w:hAnsi="宋体" w:cs="宋体"/>
                <w:szCs w:val="21"/>
              </w:rPr>
              <w:t>查阅教育培训情况；</w:t>
            </w:r>
          </w:p>
          <w:p>
            <w:pPr>
              <w:tabs>
                <w:tab w:val="left" w:pos="675"/>
              </w:tabs>
              <w:spacing w:line="240" w:lineRule="exact"/>
              <w:jc w:val="left"/>
              <w:rPr>
                <w:rFonts w:ascii="宋体" w:cs="宋体"/>
                <w:szCs w:val="21"/>
              </w:rPr>
            </w:pPr>
            <w:r>
              <w:rPr>
                <w:rFonts w:ascii="宋体" w:hAnsi="宋体" w:cs="宋体"/>
                <w:szCs w:val="21"/>
              </w:rPr>
              <w:t>5.</w:t>
            </w:r>
            <w:r>
              <w:rPr>
                <w:rFonts w:hint="eastAsia" w:ascii="宋体" w:hAnsi="宋体" w:cs="宋体"/>
                <w:szCs w:val="21"/>
              </w:rPr>
              <w:t>查阅企业年度煤气事故应急预案计划和演练记录。</w:t>
            </w:r>
          </w:p>
        </w:tc>
        <w:tc>
          <w:tcPr>
            <w:tcW w:w="1222" w:type="dxa"/>
            <w:vAlign w:val="center"/>
          </w:tcPr>
          <w:p>
            <w:pPr>
              <w:tabs>
                <w:tab w:val="left" w:pos="675"/>
              </w:tabs>
              <w:spacing w:line="240" w:lineRule="exact"/>
              <w:jc w:val="left"/>
              <w:rPr>
                <w:rFonts w:ascii="宋体" w:cs="宋体"/>
                <w:szCs w:val="21"/>
              </w:rPr>
            </w:pPr>
          </w:p>
        </w:tc>
        <w:tc>
          <w:tcPr>
            <w:tcW w:w="1346" w:type="dxa"/>
            <w:vAlign w:val="center"/>
          </w:tcPr>
          <w:p>
            <w:pPr>
              <w:tabs>
                <w:tab w:val="left" w:pos="675"/>
              </w:tabs>
              <w:spacing w:line="240" w:lineRule="exact"/>
              <w:jc w:val="left"/>
              <w:rPr>
                <w:rFonts w:ascii="宋体" w:cs="宋体"/>
                <w:szCs w:val="21"/>
              </w:rPr>
            </w:pPr>
            <w:r>
              <w:rPr>
                <w:rFonts w:ascii="宋体" w:hAnsi="宋体" w:cs="宋体"/>
                <w:szCs w:val="21"/>
              </w:rPr>
              <w:t>1.</w:t>
            </w:r>
            <w:r>
              <w:rPr>
                <w:rFonts w:hint="eastAsia" w:ascii="宋体" w:hAnsi="宋体" w:cs="宋体"/>
                <w:szCs w:val="21"/>
              </w:rPr>
              <w:t>按照清单及《工业企业煤气安全规程》结合企业规模核查企业煤气防护站安全防护设施；</w:t>
            </w:r>
          </w:p>
          <w:p>
            <w:pPr>
              <w:tabs>
                <w:tab w:val="left" w:pos="675"/>
              </w:tabs>
              <w:spacing w:line="240" w:lineRule="exact"/>
              <w:jc w:val="left"/>
              <w:rPr>
                <w:rFonts w:ascii="宋体" w:cs="宋体"/>
                <w:szCs w:val="21"/>
              </w:rPr>
            </w:pPr>
            <w:r>
              <w:rPr>
                <w:rFonts w:ascii="宋体" w:hAnsi="宋体" w:cs="宋体"/>
                <w:szCs w:val="21"/>
              </w:rPr>
              <w:t>2.</w:t>
            </w:r>
            <w:r>
              <w:rPr>
                <w:rFonts w:hint="eastAsia" w:ascii="宋体" w:hAnsi="宋体" w:cs="宋体"/>
                <w:szCs w:val="21"/>
              </w:rPr>
              <w:t>检查相关设施的有效性；</w:t>
            </w:r>
          </w:p>
          <w:p>
            <w:pPr>
              <w:tabs>
                <w:tab w:val="left" w:pos="675"/>
              </w:tabs>
              <w:spacing w:line="240" w:lineRule="exact"/>
              <w:jc w:val="left"/>
              <w:rPr>
                <w:rFonts w:ascii="宋体" w:cs="宋体"/>
                <w:szCs w:val="21"/>
              </w:rPr>
            </w:pPr>
            <w:r>
              <w:rPr>
                <w:rFonts w:ascii="宋体" w:hAnsi="宋体" w:cs="宋体"/>
                <w:szCs w:val="21"/>
              </w:rPr>
              <w:t>3.</w:t>
            </w:r>
            <w:r>
              <w:rPr>
                <w:rFonts w:hint="eastAsia" w:ascii="宋体" w:hAnsi="宋体" w:cs="宋体"/>
                <w:szCs w:val="21"/>
              </w:rPr>
              <w:t>抽验相关人员进行能力模拟测试。</w:t>
            </w:r>
          </w:p>
        </w:tc>
        <w:tc>
          <w:tcPr>
            <w:tcW w:w="1222" w:type="dxa"/>
            <w:vAlign w:val="center"/>
          </w:tcPr>
          <w:p>
            <w:pPr>
              <w:tabs>
                <w:tab w:val="left" w:pos="675"/>
              </w:tabs>
              <w:spacing w:line="240" w:lineRule="exact"/>
              <w:jc w:val="left"/>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11914" w:type="dxa"/>
            <w:gridSpan w:val="5"/>
            <w:vAlign w:val="center"/>
          </w:tcPr>
          <w:p>
            <w:pPr>
              <w:tabs>
                <w:tab w:val="left" w:pos="675"/>
              </w:tabs>
              <w:spacing w:line="240" w:lineRule="exact"/>
              <w:jc w:val="left"/>
              <w:rPr>
                <w:rFonts w:ascii="宋体" w:cs="宋体"/>
                <w:szCs w:val="21"/>
              </w:rPr>
            </w:pPr>
            <w:r>
              <w:rPr>
                <w:rFonts w:hint="eastAsia" w:ascii="宋体" w:hAnsi="宋体" w:cs="宋体"/>
                <w:szCs w:val="21"/>
              </w:rPr>
              <w:t>（二）煤气设备设施</w:t>
            </w:r>
          </w:p>
        </w:tc>
        <w:tc>
          <w:tcPr>
            <w:tcW w:w="1346" w:type="dxa"/>
            <w:vAlign w:val="center"/>
          </w:tcPr>
          <w:p>
            <w:pPr>
              <w:tabs>
                <w:tab w:val="left" w:pos="675"/>
              </w:tabs>
              <w:spacing w:line="240" w:lineRule="exact"/>
              <w:jc w:val="left"/>
              <w:rPr>
                <w:rFonts w:ascii="宋体" w:cs="宋体"/>
                <w:szCs w:val="21"/>
              </w:rPr>
            </w:pPr>
          </w:p>
        </w:tc>
        <w:tc>
          <w:tcPr>
            <w:tcW w:w="1222" w:type="dxa"/>
            <w:vAlign w:val="center"/>
          </w:tcPr>
          <w:p>
            <w:pPr>
              <w:tabs>
                <w:tab w:val="left" w:pos="675"/>
              </w:tabs>
              <w:spacing w:line="240" w:lineRule="exact"/>
              <w:jc w:val="left"/>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50" w:hRule="atLeast"/>
          <w:jc w:val="center"/>
        </w:trPr>
        <w:tc>
          <w:tcPr>
            <w:tcW w:w="654" w:type="dxa"/>
            <w:vAlign w:val="center"/>
          </w:tcPr>
          <w:p>
            <w:pPr>
              <w:tabs>
                <w:tab w:val="left" w:pos="675"/>
              </w:tabs>
              <w:spacing w:line="240" w:lineRule="exact"/>
              <w:jc w:val="center"/>
              <w:rPr>
                <w:rFonts w:ascii="宋体" w:cs="宋体"/>
                <w:b/>
                <w:sz w:val="20"/>
                <w:szCs w:val="20"/>
              </w:rPr>
            </w:pPr>
            <w:r>
              <w:rPr>
                <w:rFonts w:ascii="宋体" w:hAnsi="宋体" w:cs="宋体"/>
                <w:b/>
                <w:sz w:val="20"/>
                <w:szCs w:val="20"/>
              </w:rPr>
              <w:t>1</w:t>
            </w:r>
          </w:p>
        </w:tc>
        <w:tc>
          <w:tcPr>
            <w:tcW w:w="1381" w:type="dxa"/>
            <w:vAlign w:val="center"/>
          </w:tcPr>
          <w:p>
            <w:pPr>
              <w:tabs>
                <w:tab w:val="left" w:pos="675"/>
              </w:tabs>
              <w:spacing w:line="240" w:lineRule="exact"/>
              <w:jc w:val="left"/>
              <w:rPr>
                <w:rFonts w:ascii="宋体" w:cs="宋体"/>
                <w:bCs/>
                <w:szCs w:val="21"/>
              </w:rPr>
            </w:pPr>
            <w:r>
              <w:rPr>
                <w:rFonts w:hint="eastAsia" w:ascii="宋体" w:hAnsi="宋体" w:cs="宋体"/>
                <w:bCs/>
                <w:szCs w:val="21"/>
              </w:rPr>
              <w:t>煤气柜建设在居民稠密区，未远离大型建筑、仓库、通信和交通枢纽等重要设施；柜顶未设置防雷装置。</w:t>
            </w:r>
          </w:p>
        </w:tc>
        <w:tc>
          <w:tcPr>
            <w:tcW w:w="6840" w:type="dxa"/>
            <w:vAlign w:val="center"/>
          </w:tcPr>
          <w:p>
            <w:pPr>
              <w:tabs>
                <w:tab w:val="left" w:pos="675"/>
              </w:tabs>
              <w:jc w:val="left"/>
              <w:rPr>
                <w:rFonts w:ascii="宋体" w:cs="宋体"/>
                <w:bCs/>
                <w:szCs w:val="21"/>
              </w:rPr>
            </w:pPr>
            <w:r>
              <w:rPr>
                <w:rFonts w:ascii="宋体" w:hAnsi="宋体" w:cs="宋体"/>
                <w:bCs/>
                <w:szCs w:val="21"/>
              </w:rPr>
              <w:t>1.</w:t>
            </w:r>
            <w:r>
              <w:rPr>
                <w:rFonts w:hint="eastAsia" w:ascii="宋体" w:hAnsi="宋体" w:cs="宋体"/>
                <w:bCs/>
                <w:szCs w:val="21"/>
              </w:rPr>
              <w:t>建筑设计防火规范》（</w:t>
            </w:r>
            <w:r>
              <w:rPr>
                <w:rFonts w:ascii="宋体" w:hAnsi="宋体" w:cs="宋体"/>
                <w:bCs/>
                <w:szCs w:val="21"/>
              </w:rPr>
              <w:t>GB50016-2014</w:t>
            </w:r>
            <w:r>
              <w:rPr>
                <w:rFonts w:hint="eastAsia" w:ascii="宋体" w:hAnsi="宋体" w:cs="宋体"/>
                <w:bCs/>
                <w:szCs w:val="21"/>
              </w:rPr>
              <w:t>）规定：</w:t>
            </w:r>
            <w:r>
              <w:rPr>
                <w:rFonts w:ascii="宋体" w:cs="宋体"/>
                <w:szCs w:val="21"/>
              </w:rPr>
              <w:pict>
                <v:shape id="_x0000_i1025" o:spt="75" alt="" type="#_x0000_t75" style="height:195.5pt;width:305.5pt;" filled="f" o:preferrelative="t" stroked="f" coordsize="21600,21600">
                  <v:path/>
                  <v:fill on="f" focussize="0,0"/>
                  <v:stroke on="f"/>
                  <v:imagedata r:id="rId6" o:title=""/>
                  <o:lock v:ext="edit" aspectratio="t"/>
                  <w10:wrap type="none"/>
                  <w10:anchorlock/>
                </v:shape>
              </w:pict>
            </w:r>
          </w:p>
          <w:p>
            <w:pPr>
              <w:tabs>
                <w:tab w:val="left" w:pos="675"/>
              </w:tabs>
              <w:jc w:val="left"/>
              <w:rPr>
                <w:rFonts w:ascii="宋体" w:cs="宋体"/>
                <w:bCs/>
                <w:szCs w:val="21"/>
              </w:rPr>
            </w:pPr>
            <w:r>
              <w:rPr>
                <w:rFonts w:hint="eastAsia" w:ascii="宋体" w:hAnsi="宋体" w:cs="宋体"/>
                <w:bCs/>
                <w:szCs w:val="21"/>
              </w:rPr>
              <w:t>《工业企业干式煤气柜安全规范》（</w:t>
            </w:r>
            <w:r>
              <w:rPr>
                <w:rFonts w:ascii="宋体" w:hAnsi="宋体" w:cs="宋体"/>
                <w:bCs/>
                <w:szCs w:val="21"/>
              </w:rPr>
              <w:t>GB50166-2014</w:t>
            </w:r>
            <w:r>
              <w:rPr>
                <w:rFonts w:hint="eastAsia" w:ascii="宋体" w:hAnsi="宋体" w:cs="宋体"/>
                <w:bCs/>
                <w:szCs w:val="21"/>
              </w:rPr>
              <w:t>）</w:t>
            </w:r>
          </w:p>
          <w:p>
            <w:pPr>
              <w:tabs>
                <w:tab w:val="left" w:pos="675"/>
              </w:tabs>
              <w:jc w:val="left"/>
              <w:rPr>
                <w:rFonts w:ascii="宋体" w:cs="宋体"/>
                <w:bCs/>
                <w:szCs w:val="21"/>
              </w:rPr>
            </w:pPr>
            <w:r>
              <w:rPr>
                <w:rFonts w:ascii="宋体" w:cs="宋体"/>
                <w:szCs w:val="21"/>
              </w:rPr>
              <w:pict>
                <v:shape id="_x0000_i1029" o:spt="75" alt="" type="#_x0000_t75" style="height:128.05pt;width:298.05pt;" filled="f" o:preferrelative="t" stroked="f" coordsize="21600,21600">
                  <v:path/>
                  <v:fill on="f" focussize="0,0"/>
                  <v:stroke on="f"/>
                  <v:imagedata r:id="rId7" o:title=""/>
                  <o:lock v:ext="edit" aspectratio="t"/>
                  <w10:wrap type="none"/>
                  <w10:anchorlock/>
                </v:shape>
              </w:pict>
            </w:r>
          </w:p>
          <w:p>
            <w:pPr>
              <w:tabs>
                <w:tab w:val="left" w:pos="675"/>
              </w:tabs>
              <w:jc w:val="left"/>
              <w:rPr>
                <w:rFonts w:ascii="宋体" w:cs="宋体"/>
                <w:bCs/>
                <w:szCs w:val="21"/>
              </w:rPr>
            </w:pPr>
            <w:r>
              <w:rPr>
                <w:rFonts w:ascii="宋体" w:cs="宋体"/>
                <w:szCs w:val="21"/>
              </w:rPr>
              <w:pict>
                <v:shape id="_x0000_i1027" o:spt="75" alt="" type="#_x0000_t75" style="height:232.55pt;width:327.8pt;" filled="f" o:preferrelative="t" stroked="f" coordsize="21600,21600">
                  <v:path/>
                  <v:fill on="f" focussize="0,0"/>
                  <v:stroke on="f"/>
                  <v:imagedata r:id="rId8" o:title=""/>
                  <o:lock v:ext="edit" aspectratio="t"/>
                  <w10:wrap type="none"/>
                  <w10:anchorlock/>
                </v:shape>
              </w:pict>
            </w:r>
          </w:p>
          <w:p>
            <w:pPr>
              <w:tabs>
                <w:tab w:val="left" w:pos="675"/>
              </w:tabs>
              <w:jc w:val="left"/>
              <w:rPr>
                <w:rFonts w:ascii="宋体" w:cs="宋体"/>
                <w:bCs/>
                <w:szCs w:val="21"/>
              </w:rPr>
            </w:pPr>
            <w:r>
              <w:rPr>
                <w:rFonts w:ascii="宋体" w:hAnsi="宋体" w:cs="宋体"/>
                <w:bCs/>
                <w:szCs w:val="21"/>
              </w:rPr>
              <w:t>2.</w:t>
            </w:r>
            <w:r>
              <w:rPr>
                <w:rFonts w:hint="eastAsia" w:ascii="宋体" w:hAnsi="宋体" w:cs="宋体"/>
                <w:bCs/>
                <w:szCs w:val="21"/>
              </w:rPr>
              <w:t>查重大危险源或风险评估报告；</w:t>
            </w:r>
          </w:p>
          <w:p>
            <w:pPr>
              <w:tabs>
                <w:tab w:val="left" w:pos="675"/>
              </w:tabs>
              <w:jc w:val="left"/>
              <w:rPr>
                <w:rFonts w:ascii="宋体" w:cs="宋体"/>
                <w:bCs/>
                <w:szCs w:val="21"/>
              </w:rPr>
            </w:pPr>
            <w:r>
              <w:rPr>
                <w:rFonts w:ascii="宋体" w:hAnsi="宋体" w:cs="宋体"/>
                <w:bCs/>
                <w:szCs w:val="21"/>
              </w:rPr>
              <w:t>3.</w:t>
            </w:r>
            <w:r>
              <w:rPr>
                <w:rFonts w:hint="eastAsia" w:ascii="宋体" w:hAnsi="宋体" w:cs="宋体"/>
                <w:bCs/>
                <w:szCs w:val="21"/>
              </w:rPr>
              <w:t>检查防雷检测记录（每半年一次）。</w:t>
            </w:r>
          </w:p>
        </w:tc>
        <w:tc>
          <w:tcPr>
            <w:tcW w:w="1817" w:type="dxa"/>
            <w:vAlign w:val="center"/>
          </w:tcPr>
          <w:p>
            <w:pPr>
              <w:tabs>
                <w:tab w:val="left" w:pos="675"/>
              </w:tabs>
              <w:spacing w:line="240" w:lineRule="exact"/>
              <w:jc w:val="left"/>
              <w:rPr>
                <w:rFonts w:ascii="宋体" w:cs="宋体"/>
                <w:szCs w:val="21"/>
              </w:rPr>
            </w:pPr>
            <w:r>
              <w:rPr>
                <w:rFonts w:hint="eastAsia" w:ascii="宋体" w:hAnsi="宋体" w:cs="宋体"/>
                <w:szCs w:val="21"/>
              </w:rPr>
              <w:t>查阅企业煤气柜设计资料、重大危险源评估报告、防雷装置设计审核和竣工验收资料。</w:t>
            </w:r>
          </w:p>
        </w:tc>
        <w:tc>
          <w:tcPr>
            <w:tcW w:w="1222" w:type="dxa"/>
            <w:vAlign w:val="center"/>
          </w:tcPr>
          <w:p>
            <w:pPr>
              <w:tabs>
                <w:tab w:val="left" w:pos="675"/>
              </w:tabs>
              <w:spacing w:line="240" w:lineRule="exact"/>
              <w:jc w:val="left"/>
              <w:rPr>
                <w:rFonts w:ascii="宋体" w:cs="宋体"/>
                <w:szCs w:val="21"/>
              </w:rPr>
            </w:pPr>
          </w:p>
        </w:tc>
        <w:tc>
          <w:tcPr>
            <w:tcW w:w="1346" w:type="dxa"/>
            <w:vAlign w:val="center"/>
          </w:tcPr>
          <w:p>
            <w:pPr>
              <w:numPr>
                <w:ilvl w:val="0"/>
                <w:numId w:val="1"/>
              </w:numPr>
              <w:tabs>
                <w:tab w:val="left" w:pos="675"/>
              </w:tabs>
              <w:spacing w:line="240" w:lineRule="exact"/>
              <w:jc w:val="left"/>
              <w:rPr>
                <w:rFonts w:ascii="宋体" w:cs="宋体"/>
                <w:szCs w:val="21"/>
              </w:rPr>
            </w:pPr>
            <w:r>
              <w:rPr>
                <w:rFonts w:hint="eastAsia" w:ascii="宋体" w:hAnsi="宋体" w:cs="宋体"/>
                <w:szCs w:val="21"/>
              </w:rPr>
              <w:t>核查企业煤气柜与建筑物实际间距。</w:t>
            </w:r>
          </w:p>
          <w:p>
            <w:pPr>
              <w:tabs>
                <w:tab w:val="left" w:pos="675"/>
              </w:tabs>
              <w:spacing w:line="240" w:lineRule="exact"/>
              <w:jc w:val="left"/>
              <w:rPr>
                <w:rFonts w:ascii="宋体" w:cs="宋体"/>
                <w:szCs w:val="21"/>
              </w:rPr>
            </w:pPr>
            <w:r>
              <w:rPr>
                <w:rFonts w:ascii="宋体" w:hAnsi="宋体" w:cs="宋体"/>
                <w:szCs w:val="21"/>
              </w:rPr>
              <w:t>2.</w:t>
            </w:r>
            <w:r>
              <w:rPr>
                <w:rFonts w:hint="eastAsia" w:ascii="宋体" w:hAnsi="宋体" w:cs="宋体"/>
                <w:szCs w:val="21"/>
              </w:rPr>
              <w:t>煤气柜应为第二类工业防雷建、构筑物，应设独立接地装置，接地电阻应小于或等于</w:t>
            </w:r>
            <w:r>
              <w:rPr>
                <w:rFonts w:ascii="宋体" w:hAnsi="宋体" w:cs="宋体"/>
                <w:szCs w:val="21"/>
              </w:rPr>
              <w:t>1</w:t>
            </w:r>
            <w:r>
              <w:rPr>
                <w:rFonts w:hint="eastAsia" w:ascii="宋体" w:hAnsi="宋体" w:cs="宋体"/>
                <w:szCs w:val="21"/>
              </w:rPr>
              <w:t>Ω。接闪网、接闪带或接闪杆的保护范围应包括整个煤气柜和外部电梯。煤气柜顶部应设防雷设施，避雷针应独立设置，不应设置在安全放散管和紧急放散管上。防雷接地可利用煤气柜柜体并加装专用接地引下线，接地点不应少于</w:t>
            </w:r>
            <w:r>
              <w:rPr>
                <w:rFonts w:ascii="宋体" w:hAnsi="宋体" w:cs="宋体"/>
                <w:szCs w:val="21"/>
              </w:rPr>
              <w:t>2</w:t>
            </w:r>
            <w:r>
              <w:rPr>
                <w:rFonts w:hint="eastAsia" w:ascii="宋体" w:hAnsi="宋体" w:cs="宋体"/>
                <w:szCs w:val="21"/>
              </w:rPr>
              <w:t>处，两接地点间距沿周长计算不应大于</w:t>
            </w:r>
            <w:r>
              <w:rPr>
                <w:rFonts w:ascii="宋体" w:hAnsi="宋体" w:cs="宋体"/>
                <w:szCs w:val="21"/>
              </w:rPr>
              <w:t>30m</w:t>
            </w:r>
            <w:r>
              <w:rPr>
                <w:rFonts w:hint="eastAsia" w:ascii="宋体" w:hAnsi="宋体" w:cs="宋体"/>
                <w:szCs w:val="21"/>
              </w:rPr>
              <w:t>，每处接地点的冲击接地电阻不应大于</w:t>
            </w:r>
            <w:r>
              <w:rPr>
                <w:rFonts w:ascii="宋体" w:hAnsi="宋体" w:cs="宋体"/>
                <w:szCs w:val="21"/>
              </w:rPr>
              <w:t>30</w:t>
            </w:r>
            <w:r>
              <w:rPr>
                <w:rFonts w:hint="eastAsia" w:ascii="宋体" w:hAnsi="宋体" w:cs="宋体"/>
                <w:szCs w:val="21"/>
              </w:rPr>
              <w:t>Ω。</w:t>
            </w:r>
          </w:p>
        </w:tc>
        <w:tc>
          <w:tcPr>
            <w:tcW w:w="1222" w:type="dxa"/>
            <w:vAlign w:val="center"/>
          </w:tcPr>
          <w:p>
            <w:pPr>
              <w:tabs>
                <w:tab w:val="left" w:pos="675"/>
              </w:tabs>
              <w:spacing w:line="240" w:lineRule="exact"/>
              <w:jc w:val="left"/>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844" w:hRule="atLeast"/>
          <w:jc w:val="center"/>
        </w:trPr>
        <w:tc>
          <w:tcPr>
            <w:tcW w:w="654" w:type="dxa"/>
            <w:vAlign w:val="center"/>
          </w:tcPr>
          <w:p>
            <w:pPr>
              <w:tabs>
                <w:tab w:val="left" w:pos="675"/>
              </w:tabs>
              <w:spacing w:line="240" w:lineRule="exact"/>
              <w:jc w:val="center"/>
              <w:rPr>
                <w:rFonts w:ascii="宋体" w:cs="宋体"/>
                <w:b/>
                <w:sz w:val="20"/>
                <w:szCs w:val="20"/>
              </w:rPr>
            </w:pPr>
            <w:r>
              <w:rPr>
                <w:rFonts w:ascii="宋体" w:hAnsi="宋体" w:cs="宋体"/>
                <w:b/>
                <w:sz w:val="20"/>
                <w:szCs w:val="20"/>
              </w:rPr>
              <w:t>2</w:t>
            </w:r>
          </w:p>
        </w:tc>
        <w:tc>
          <w:tcPr>
            <w:tcW w:w="1381" w:type="dxa"/>
            <w:vAlign w:val="center"/>
          </w:tcPr>
          <w:p>
            <w:pPr>
              <w:tabs>
                <w:tab w:val="left" w:pos="675"/>
              </w:tabs>
              <w:spacing w:line="240" w:lineRule="exact"/>
              <w:jc w:val="left"/>
              <w:rPr>
                <w:rFonts w:ascii="宋体" w:cs="宋体"/>
                <w:bCs/>
                <w:szCs w:val="21"/>
              </w:rPr>
            </w:pPr>
            <w:r>
              <w:rPr>
                <w:rFonts w:hint="eastAsia" w:ascii="宋体" w:hAnsi="宋体" w:cs="宋体"/>
                <w:bCs/>
                <w:szCs w:val="21"/>
              </w:rPr>
              <w:t>煤气区域未按照标准规定的爆炸性危险环境区域划分采用符合要求的防爆电气设施。</w:t>
            </w:r>
          </w:p>
        </w:tc>
        <w:tc>
          <w:tcPr>
            <w:tcW w:w="6840" w:type="dxa"/>
            <w:vAlign w:val="center"/>
          </w:tcPr>
          <w:p>
            <w:pPr>
              <w:tabs>
                <w:tab w:val="left" w:pos="675"/>
              </w:tabs>
              <w:jc w:val="left"/>
              <w:rPr>
                <w:rFonts w:ascii="宋体" w:cs="宋体"/>
                <w:bCs/>
                <w:szCs w:val="21"/>
              </w:rPr>
            </w:pPr>
            <w:r>
              <w:rPr>
                <w:rFonts w:ascii="宋体" w:hAnsi="宋体" w:cs="宋体"/>
                <w:bCs/>
                <w:szCs w:val="21"/>
              </w:rPr>
              <w:t>1.</w:t>
            </w:r>
            <w:r>
              <w:rPr>
                <w:rFonts w:hint="eastAsia" w:ascii="宋体" w:hAnsi="宋体" w:cs="宋体"/>
                <w:bCs/>
                <w:szCs w:val="21"/>
              </w:rPr>
              <w:t>爆炸危险区域划分：《钢铁企业煤气储存和输配系统设计规范》（</w:t>
            </w:r>
            <w:r>
              <w:rPr>
                <w:rFonts w:ascii="宋体" w:hAnsi="宋体" w:cs="宋体"/>
                <w:bCs/>
                <w:szCs w:val="21"/>
              </w:rPr>
              <w:t>GB51128-2015</w:t>
            </w:r>
            <w:r>
              <w:rPr>
                <w:rFonts w:hint="eastAsia" w:ascii="宋体" w:hAnsi="宋体" w:cs="宋体"/>
                <w:bCs/>
                <w:szCs w:val="21"/>
              </w:rPr>
              <w:t>）第</w:t>
            </w:r>
            <w:r>
              <w:rPr>
                <w:rFonts w:ascii="宋体" w:hAnsi="宋体" w:cs="宋体"/>
                <w:bCs/>
                <w:szCs w:val="21"/>
              </w:rPr>
              <w:t>10.2.1</w:t>
            </w:r>
            <w:r>
              <w:rPr>
                <w:rFonts w:hint="eastAsia" w:ascii="宋体" w:hAnsi="宋体" w:cs="宋体"/>
                <w:bCs/>
                <w:szCs w:val="21"/>
              </w:rPr>
              <w:t>条第</w:t>
            </w:r>
            <w:r>
              <w:rPr>
                <w:rFonts w:ascii="宋体" w:hAnsi="宋体" w:cs="宋体"/>
                <w:bCs/>
                <w:szCs w:val="21"/>
              </w:rPr>
              <w:t>7</w:t>
            </w:r>
            <w:r>
              <w:rPr>
                <w:rFonts w:hint="eastAsia" w:ascii="宋体" w:hAnsi="宋体" w:cs="宋体"/>
                <w:bCs/>
                <w:szCs w:val="21"/>
              </w:rPr>
              <w:t>款规定：“煤气柜区电气设备的选择、电缆选型与敷设，应符合国家标准《爆炸危险环境电力装置设计规范》</w:t>
            </w:r>
            <w:r>
              <w:rPr>
                <w:rFonts w:ascii="宋体" w:hAnsi="宋体" w:cs="宋体"/>
                <w:bCs/>
                <w:szCs w:val="21"/>
              </w:rPr>
              <w:t>GB50058</w:t>
            </w:r>
            <w:r>
              <w:rPr>
                <w:rFonts w:hint="eastAsia" w:ascii="宋体" w:hAnsi="宋体" w:cs="宋体"/>
                <w:bCs/>
                <w:szCs w:val="21"/>
              </w:rPr>
              <w:t>的有关规定”</w:t>
            </w:r>
          </w:p>
          <w:p>
            <w:pPr>
              <w:tabs>
                <w:tab w:val="left" w:pos="675"/>
              </w:tabs>
              <w:jc w:val="left"/>
              <w:rPr>
                <w:rFonts w:ascii="宋体" w:cs="宋体"/>
                <w:bCs/>
                <w:szCs w:val="21"/>
              </w:rPr>
            </w:pPr>
            <w:r>
              <w:rPr>
                <w:rFonts w:ascii="宋体" w:cs="宋体"/>
                <w:szCs w:val="21"/>
              </w:rPr>
              <w:pict>
                <v:shape id="_x0000_i1028" o:spt="75" alt="" type="#_x0000_t75" style="height:200.25pt;width:315.95pt;" filled="f" o:preferrelative="t" stroked="f" coordsize="21600,21600">
                  <v:path/>
                  <v:fill on="f" focussize="0,0"/>
                  <v:stroke on="f"/>
                  <v:imagedata r:id="rId9" o:title=""/>
                  <o:lock v:ext="edit" aspectratio="t"/>
                  <w10:wrap type="none"/>
                  <w10:anchorlock/>
                </v:shape>
              </w:pict>
            </w:r>
          </w:p>
          <w:p>
            <w:pPr>
              <w:tabs>
                <w:tab w:val="left" w:pos="675"/>
              </w:tabs>
              <w:spacing w:line="240" w:lineRule="exact"/>
              <w:rPr>
                <w:rFonts w:ascii="宋体" w:cs="宋体"/>
                <w:bCs/>
                <w:szCs w:val="21"/>
              </w:rPr>
            </w:pPr>
            <w:r>
              <w:rPr>
                <w:rFonts w:ascii="宋体" w:hAnsi="宋体" w:cs="宋体"/>
                <w:b/>
                <w:szCs w:val="21"/>
              </w:rPr>
              <w:t>2.</w:t>
            </w:r>
            <w:r>
              <w:rPr>
                <w:rFonts w:hint="eastAsia" w:ascii="宋体" w:hAnsi="宋体" w:cs="宋体"/>
                <w:b/>
                <w:szCs w:val="21"/>
              </w:rPr>
              <w:t>电气设备应为</w:t>
            </w:r>
            <w:r>
              <w:rPr>
                <w:rFonts w:ascii="宋体" w:hAnsi="宋体" w:cs="宋体"/>
                <w:b/>
                <w:szCs w:val="21"/>
              </w:rPr>
              <w:t>Exd</w:t>
            </w:r>
            <w:r>
              <w:rPr>
                <w:rFonts w:hint="eastAsia" w:ascii="宋体" w:hAnsi="宋体" w:cs="宋体"/>
                <w:b/>
                <w:szCs w:val="21"/>
              </w:rPr>
              <w:t>Ⅱ</w:t>
            </w:r>
            <w:r>
              <w:rPr>
                <w:rFonts w:ascii="宋体" w:hAnsi="宋体" w:cs="宋体"/>
                <w:b/>
                <w:szCs w:val="21"/>
              </w:rPr>
              <w:t>BT4</w:t>
            </w:r>
            <w:r>
              <w:rPr>
                <w:rFonts w:hint="eastAsia" w:ascii="宋体" w:hAnsi="宋体" w:cs="宋体"/>
                <w:b/>
                <w:szCs w:val="21"/>
              </w:rPr>
              <w:t>及以上。</w:t>
            </w:r>
          </w:p>
        </w:tc>
        <w:tc>
          <w:tcPr>
            <w:tcW w:w="1817" w:type="dxa"/>
            <w:vAlign w:val="center"/>
          </w:tcPr>
          <w:p>
            <w:pPr>
              <w:tabs>
                <w:tab w:val="left" w:pos="675"/>
              </w:tabs>
              <w:spacing w:line="240" w:lineRule="exact"/>
              <w:jc w:val="left"/>
              <w:rPr>
                <w:rFonts w:ascii="宋体" w:cs="宋体"/>
                <w:szCs w:val="21"/>
              </w:rPr>
            </w:pPr>
            <w:r>
              <w:rPr>
                <w:rFonts w:hint="eastAsia" w:ascii="宋体" w:hAnsi="宋体" w:cs="宋体"/>
                <w:szCs w:val="21"/>
              </w:rPr>
              <w:t>查阅企业煤气区域电气设施防爆类型资料</w:t>
            </w:r>
          </w:p>
        </w:tc>
        <w:tc>
          <w:tcPr>
            <w:tcW w:w="1222" w:type="dxa"/>
            <w:vAlign w:val="center"/>
          </w:tcPr>
          <w:p>
            <w:pPr>
              <w:tabs>
                <w:tab w:val="left" w:pos="675"/>
              </w:tabs>
              <w:spacing w:line="240" w:lineRule="exact"/>
              <w:jc w:val="left"/>
              <w:rPr>
                <w:rFonts w:ascii="宋体" w:cs="宋体"/>
                <w:szCs w:val="21"/>
              </w:rPr>
            </w:pPr>
          </w:p>
        </w:tc>
        <w:tc>
          <w:tcPr>
            <w:tcW w:w="1346" w:type="dxa"/>
            <w:vAlign w:val="center"/>
          </w:tcPr>
          <w:p>
            <w:pPr>
              <w:tabs>
                <w:tab w:val="left" w:pos="675"/>
              </w:tabs>
              <w:spacing w:line="240" w:lineRule="exact"/>
              <w:jc w:val="left"/>
              <w:rPr>
                <w:rFonts w:ascii="宋体" w:cs="宋体"/>
                <w:szCs w:val="21"/>
              </w:rPr>
            </w:pPr>
            <w:r>
              <w:rPr>
                <w:rFonts w:hint="eastAsia" w:ascii="宋体" w:hAnsi="宋体" w:cs="宋体"/>
                <w:szCs w:val="21"/>
              </w:rPr>
              <w:t>现场检查：核查企业煤气区域电气设施实际选型和维护状况</w:t>
            </w:r>
          </w:p>
        </w:tc>
        <w:tc>
          <w:tcPr>
            <w:tcW w:w="1222" w:type="dxa"/>
            <w:vAlign w:val="center"/>
          </w:tcPr>
          <w:p>
            <w:pPr>
              <w:tabs>
                <w:tab w:val="left" w:pos="675"/>
              </w:tabs>
              <w:spacing w:line="240" w:lineRule="exact"/>
              <w:jc w:val="left"/>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30" w:hRule="atLeast"/>
          <w:jc w:val="center"/>
        </w:trPr>
        <w:tc>
          <w:tcPr>
            <w:tcW w:w="654" w:type="dxa"/>
            <w:vAlign w:val="center"/>
          </w:tcPr>
          <w:p>
            <w:pPr>
              <w:tabs>
                <w:tab w:val="left" w:pos="675"/>
              </w:tabs>
              <w:spacing w:line="240" w:lineRule="exact"/>
              <w:jc w:val="center"/>
              <w:rPr>
                <w:rFonts w:ascii="宋体" w:cs="宋体"/>
                <w:b/>
                <w:sz w:val="20"/>
                <w:szCs w:val="20"/>
              </w:rPr>
            </w:pPr>
            <w:r>
              <w:rPr>
                <w:rFonts w:ascii="宋体" w:hAnsi="宋体" w:cs="宋体"/>
                <w:b/>
                <w:sz w:val="20"/>
                <w:szCs w:val="20"/>
              </w:rPr>
              <w:t>3</w:t>
            </w:r>
          </w:p>
        </w:tc>
        <w:tc>
          <w:tcPr>
            <w:tcW w:w="1381" w:type="dxa"/>
            <w:vAlign w:val="center"/>
          </w:tcPr>
          <w:p>
            <w:pPr>
              <w:tabs>
                <w:tab w:val="left" w:pos="675"/>
              </w:tabs>
              <w:spacing w:line="240" w:lineRule="exact"/>
              <w:jc w:val="left"/>
              <w:rPr>
                <w:rFonts w:ascii="宋体" w:cs="宋体"/>
                <w:bCs/>
                <w:szCs w:val="21"/>
              </w:rPr>
            </w:pPr>
            <w:r>
              <w:rPr>
                <w:rFonts w:hint="eastAsia" w:ascii="宋体" w:hAnsi="宋体" w:cs="宋体"/>
                <w:bCs/>
                <w:szCs w:val="21"/>
              </w:rPr>
              <w:t>生产、储存、使用煤气的企业在可能发生煤气泄漏、聚集的场所，以及煤气区域的值班室、操作室等人员较集中的地方，未设置固定式煤气检测报警仪和安全警示标志。</w:t>
            </w:r>
          </w:p>
        </w:tc>
        <w:tc>
          <w:tcPr>
            <w:tcW w:w="6840" w:type="dxa"/>
            <w:vAlign w:val="center"/>
          </w:tcPr>
          <w:p>
            <w:pPr>
              <w:tabs>
                <w:tab w:val="left" w:pos="675"/>
              </w:tabs>
              <w:spacing w:line="240" w:lineRule="exact"/>
              <w:jc w:val="left"/>
              <w:rPr>
                <w:rFonts w:ascii="宋体" w:cs="宋体"/>
                <w:bCs/>
                <w:szCs w:val="21"/>
              </w:rPr>
            </w:pPr>
            <w:r>
              <w:rPr>
                <w:rFonts w:ascii="宋体" w:hAnsi="宋体" w:cs="宋体"/>
                <w:bCs/>
                <w:szCs w:val="21"/>
              </w:rPr>
              <w:t>1.</w:t>
            </w:r>
            <w:r>
              <w:rPr>
                <w:rFonts w:hint="eastAsia" w:ascii="宋体" w:hAnsi="宋体" w:cs="宋体"/>
                <w:bCs/>
                <w:szCs w:val="21"/>
              </w:rPr>
              <w:t>“室内”检测报警点设在与有毒气体释放点距离</w:t>
            </w:r>
            <w:r>
              <w:rPr>
                <w:rFonts w:ascii="宋体" w:hAnsi="宋体" w:cs="宋体"/>
                <w:bCs/>
                <w:szCs w:val="21"/>
              </w:rPr>
              <w:t>1</w:t>
            </w:r>
            <w:r>
              <w:rPr>
                <w:rFonts w:hint="eastAsia" w:ascii="宋体" w:hAnsi="宋体" w:cs="宋体"/>
                <w:bCs/>
                <w:szCs w:val="21"/>
              </w:rPr>
              <w:t>米以内；若有毒气体的密度大于空气密度时，检测报警点的设置应低于释放点；反之，应高于释放点；煤气密度与空气密度相当，因此</w:t>
            </w:r>
            <w:r>
              <w:rPr>
                <w:rFonts w:hint="eastAsia" w:ascii="宋体" w:hAnsi="宋体" w:cs="宋体"/>
                <w:b/>
                <w:szCs w:val="21"/>
              </w:rPr>
              <w:t>可基本平行于释放点设置；</w:t>
            </w:r>
          </w:p>
          <w:p>
            <w:pPr>
              <w:tabs>
                <w:tab w:val="left" w:pos="675"/>
              </w:tabs>
              <w:spacing w:line="240" w:lineRule="exact"/>
              <w:jc w:val="left"/>
              <w:rPr>
                <w:rFonts w:ascii="宋体" w:cs="宋体"/>
                <w:bCs/>
                <w:szCs w:val="21"/>
              </w:rPr>
            </w:pPr>
            <w:r>
              <w:rPr>
                <w:rFonts w:ascii="宋体" w:hAnsi="宋体" w:cs="宋体"/>
                <w:bCs/>
                <w:szCs w:val="21"/>
              </w:rPr>
              <w:t>2.</w:t>
            </w:r>
            <w:r>
              <w:rPr>
                <w:rFonts w:hint="eastAsia" w:ascii="宋体" w:hAnsi="宋体" w:cs="宋体"/>
                <w:bCs/>
                <w:szCs w:val="21"/>
              </w:rPr>
              <w:t>“室外”检测报警点设在与有毒气体释放点距离</w:t>
            </w:r>
            <w:r>
              <w:rPr>
                <w:rFonts w:ascii="宋体" w:hAnsi="宋体" w:cs="宋体"/>
                <w:bCs/>
                <w:szCs w:val="21"/>
              </w:rPr>
              <w:t>2</w:t>
            </w:r>
            <w:r>
              <w:rPr>
                <w:rFonts w:hint="eastAsia" w:ascii="宋体" w:hAnsi="宋体" w:cs="宋体"/>
                <w:bCs/>
                <w:szCs w:val="21"/>
              </w:rPr>
              <w:t>米以内；检测报警点一般设在</w:t>
            </w:r>
            <w:r>
              <w:rPr>
                <w:rFonts w:hint="eastAsia" w:ascii="宋体" w:hAnsi="宋体" w:cs="宋体"/>
                <w:b/>
                <w:szCs w:val="21"/>
              </w:rPr>
              <w:t>常年主导风向下风向</w:t>
            </w:r>
            <w:r>
              <w:rPr>
                <w:rFonts w:hint="eastAsia" w:ascii="宋体" w:hAnsi="宋体" w:cs="宋体"/>
                <w:bCs/>
                <w:szCs w:val="21"/>
              </w:rPr>
              <w:t>的位置；若有毒气体的密度大于空气密度时，检测报警点的设置应低于释放点；反之，应高于释放点；</w:t>
            </w:r>
          </w:p>
          <w:p>
            <w:pPr>
              <w:tabs>
                <w:tab w:val="left" w:pos="675"/>
              </w:tabs>
              <w:spacing w:line="240" w:lineRule="exact"/>
              <w:jc w:val="left"/>
              <w:rPr>
                <w:rFonts w:ascii="宋体" w:cs="宋体"/>
                <w:bCs/>
                <w:szCs w:val="21"/>
              </w:rPr>
            </w:pPr>
            <w:r>
              <w:rPr>
                <w:rFonts w:ascii="宋体" w:hAnsi="宋体" w:cs="宋体"/>
                <w:bCs/>
                <w:szCs w:val="21"/>
              </w:rPr>
              <w:t>3.</w:t>
            </w:r>
            <w:r>
              <w:rPr>
                <w:rFonts w:hint="eastAsia" w:ascii="宋体" w:hAnsi="宋体" w:cs="宋体"/>
                <w:bCs/>
                <w:szCs w:val="21"/>
              </w:rPr>
              <w:t>释放点一般指（</w:t>
            </w:r>
            <w:r>
              <w:rPr>
                <w:rFonts w:ascii="宋体" w:hAnsi="宋体" w:cs="宋体"/>
                <w:bCs/>
                <w:szCs w:val="21"/>
              </w:rPr>
              <w:t>1</w:t>
            </w:r>
            <w:r>
              <w:rPr>
                <w:rFonts w:hint="eastAsia" w:ascii="宋体" w:hAnsi="宋体" w:cs="宋体"/>
                <w:bCs/>
                <w:szCs w:val="21"/>
              </w:rPr>
              <w:t>）气体压缩机和液体泵的密封处；（</w:t>
            </w:r>
            <w:r>
              <w:rPr>
                <w:rFonts w:ascii="宋体" w:hAnsi="宋体" w:cs="宋体"/>
                <w:bCs/>
                <w:szCs w:val="21"/>
              </w:rPr>
              <w:t>2</w:t>
            </w:r>
            <w:r>
              <w:rPr>
                <w:rFonts w:hint="eastAsia" w:ascii="宋体" w:hAnsi="宋体" w:cs="宋体"/>
                <w:bCs/>
                <w:szCs w:val="21"/>
              </w:rPr>
              <w:t>）液体采样口和气体采样口；（</w:t>
            </w:r>
            <w:r>
              <w:rPr>
                <w:rFonts w:ascii="宋体" w:hAnsi="宋体" w:cs="宋体"/>
                <w:bCs/>
                <w:szCs w:val="21"/>
              </w:rPr>
              <w:t>3</w:t>
            </w:r>
            <w:r>
              <w:rPr>
                <w:rFonts w:hint="eastAsia" w:ascii="宋体" w:hAnsi="宋体" w:cs="宋体"/>
                <w:bCs/>
                <w:szCs w:val="21"/>
              </w:rPr>
              <w:t>）液体排液（水）口和放空口；（</w:t>
            </w:r>
            <w:r>
              <w:rPr>
                <w:rFonts w:ascii="宋体" w:hAnsi="宋体" w:cs="宋体"/>
                <w:bCs/>
                <w:szCs w:val="21"/>
              </w:rPr>
              <w:t>4</w:t>
            </w:r>
            <w:r>
              <w:rPr>
                <w:rFonts w:hint="eastAsia" w:ascii="宋体" w:hAnsi="宋体" w:cs="宋体"/>
                <w:bCs/>
                <w:szCs w:val="21"/>
              </w:rPr>
              <w:t>）设备和管道的法兰和阀门组，具体可参照《石油化工企业可燃气体和有毒气体检测报警设计规范》（</w:t>
            </w:r>
            <w:r>
              <w:rPr>
                <w:rFonts w:ascii="宋体" w:hAnsi="宋体" w:cs="宋体"/>
                <w:bCs/>
                <w:szCs w:val="21"/>
              </w:rPr>
              <w:t>GB50493-2009</w:t>
            </w:r>
            <w:r>
              <w:rPr>
                <w:rFonts w:hint="eastAsia" w:ascii="宋体" w:hAnsi="宋体" w:cs="宋体"/>
                <w:bCs/>
                <w:szCs w:val="21"/>
              </w:rPr>
              <w:t>）设置；</w:t>
            </w:r>
          </w:p>
          <w:p>
            <w:pPr>
              <w:tabs>
                <w:tab w:val="left" w:pos="675"/>
              </w:tabs>
              <w:spacing w:line="240" w:lineRule="exact"/>
              <w:jc w:val="left"/>
              <w:rPr>
                <w:rFonts w:ascii="宋体" w:cs="宋体"/>
                <w:bCs/>
                <w:szCs w:val="21"/>
              </w:rPr>
            </w:pPr>
            <w:r>
              <w:rPr>
                <w:rFonts w:ascii="宋体" w:hAnsi="宋体" w:cs="宋体"/>
                <w:bCs/>
                <w:szCs w:val="21"/>
              </w:rPr>
              <w:t>4.</w:t>
            </w:r>
            <w:r>
              <w:rPr>
                <w:rFonts w:hint="eastAsia" w:ascii="宋体" w:hAnsi="宋体" w:cs="宋体"/>
                <w:bCs/>
                <w:szCs w:val="21"/>
              </w:rPr>
              <w:t>封闭或局部通风不良的半密闭厂房覆盖半径</w:t>
            </w:r>
            <w:r>
              <w:rPr>
                <w:rFonts w:ascii="宋体" w:hAnsi="宋体" w:cs="宋体"/>
                <w:bCs/>
                <w:szCs w:val="21"/>
              </w:rPr>
              <w:t>7.5</w:t>
            </w:r>
            <w:r>
              <w:rPr>
                <w:rFonts w:hint="eastAsia" w:ascii="宋体" w:hAnsi="宋体" w:cs="宋体"/>
                <w:bCs/>
                <w:szCs w:val="21"/>
              </w:rPr>
              <w:t>米；</w:t>
            </w:r>
          </w:p>
          <w:p>
            <w:pPr>
              <w:tabs>
                <w:tab w:val="left" w:pos="675"/>
              </w:tabs>
              <w:spacing w:line="240" w:lineRule="exact"/>
              <w:jc w:val="left"/>
              <w:rPr>
                <w:rFonts w:ascii="宋体" w:cs="宋体"/>
                <w:bCs/>
                <w:szCs w:val="21"/>
              </w:rPr>
            </w:pPr>
            <w:r>
              <w:rPr>
                <w:rFonts w:ascii="宋体" w:hAnsi="宋体" w:cs="宋体"/>
                <w:bCs/>
                <w:szCs w:val="21"/>
              </w:rPr>
              <w:t>5.</w:t>
            </w:r>
            <w:r>
              <w:rPr>
                <w:rFonts w:hint="eastAsia" w:ascii="宋体" w:hAnsi="宋体" w:cs="宋体"/>
                <w:bCs/>
                <w:szCs w:val="21"/>
              </w:rPr>
              <w:t>钢铁企业煤气生产、净化（回收）、加压混合、储存、使用等设施附近有人值守的岗位以及可能泄漏、聚集煤气区域的值班室、休息室等人员较集中的地方或者人员频繁巡检的位置都应设固定式煤气检测报警仪；</w:t>
            </w:r>
          </w:p>
          <w:p>
            <w:pPr>
              <w:tabs>
                <w:tab w:val="left" w:pos="675"/>
              </w:tabs>
              <w:spacing w:line="240" w:lineRule="exact"/>
              <w:jc w:val="left"/>
              <w:rPr>
                <w:rFonts w:ascii="宋体" w:cs="宋体"/>
                <w:bCs/>
                <w:szCs w:val="21"/>
              </w:rPr>
            </w:pPr>
            <w:r>
              <w:rPr>
                <w:rFonts w:ascii="宋体" w:hAnsi="宋体" w:cs="宋体"/>
                <w:bCs/>
                <w:szCs w:val="21"/>
              </w:rPr>
              <w:t>6.</w:t>
            </w:r>
            <w:r>
              <w:rPr>
                <w:rFonts w:hint="eastAsia" w:ascii="宋体" w:hAnsi="宋体" w:cs="宋体"/>
                <w:bCs/>
                <w:szCs w:val="21"/>
              </w:rPr>
              <w:t>便携式和固定式报警仪必须经国家指定机构或其授权检验单位定期检测合格，并粘贴检验标签，确保正常工作；</w:t>
            </w:r>
          </w:p>
          <w:p>
            <w:pPr>
              <w:tabs>
                <w:tab w:val="left" w:pos="675"/>
              </w:tabs>
              <w:spacing w:line="240" w:lineRule="exact"/>
              <w:jc w:val="left"/>
              <w:rPr>
                <w:rFonts w:ascii="宋体" w:cs="宋体"/>
                <w:bCs/>
                <w:szCs w:val="21"/>
              </w:rPr>
            </w:pPr>
            <w:r>
              <w:rPr>
                <w:rFonts w:ascii="宋体" w:hAnsi="宋体" w:cs="宋体"/>
                <w:bCs/>
                <w:szCs w:val="21"/>
              </w:rPr>
              <w:t>7.</w:t>
            </w:r>
            <w:r>
              <w:rPr>
                <w:rFonts w:hint="eastAsia" w:ascii="宋体" w:hAnsi="宋体" w:cs="宋体"/>
                <w:bCs/>
                <w:szCs w:val="21"/>
              </w:rPr>
              <w:t>固定式报警仪报警信号应发送至现场报警器和有人员值守的控制室或现场操作室的指示报警设备，并且进行声光报警，相关人员应密切关注煤气报警情况，及时针对性的进行处置，正确区分“生理性”和“病理性”报警；</w:t>
            </w:r>
          </w:p>
          <w:p>
            <w:pPr>
              <w:tabs>
                <w:tab w:val="left" w:pos="675"/>
              </w:tabs>
              <w:spacing w:line="240" w:lineRule="exact"/>
              <w:jc w:val="left"/>
              <w:rPr>
                <w:rFonts w:ascii="宋体" w:cs="宋体"/>
                <w:bCs/>
                <w:szCs w:val="21"/>
              </w:rPr>
            </w:pPr>
            <w:r>
              <w:rPr>
                <w:rFonts w:ascii="宋体" w:hAnsi="宋体" w:cs="宋体"/>
                <w:bCs/>
                <w:szCs w:val="21"/>
              </w:rPr>
              <w:t>8.</w:t>
            </w:r>
            <w:r>
              <w:rPr>
                <w:rFonts w:hint="eastAsia" w:ascii="宋体" w:hAnsi="宋体" w:cs="宋体"/>
                <w:bCs/>
                <w:szCs w:val="21"/>
              </w:rPr>
              <w:t>在明显位置设置“煤气危险区，禁止单独作业”、“当心煤气中毒”等安全警示标志。</w:t>
            </w:r>
          </w:p>
        </w:tc>
        <w:tc>
          <w:tcPr>
            <w:tcW w:w="1817" w:type="dxa"/>
            <w:vAlign w:val="center"/>
          </w:tcPr>
          <w:p>
            <w:pPr>
              <w:tabs>
                <w:tab w:val="left" w:pos="675"/>
              </w:tabs>
              <w:spacing w:line="240" w:lineRule="exact"/>
              <w:jc w:val="left"/>
              <w:rPr>
                <w:rFonts w:ascii="宋体" w:cs="宋体"/>
                <w:szCs w:val="21"/>
              </w:rPr>
            </w:pPr>
            <w:r>
              <w:rPr>
                <w:rFonts w:ascii="宋体" w:hAnsi="宋体" w:cs="宋体"/>
                <w:szCs w:val="21"/>
              </w:rPr>
              <w:t>1.</w:t>
            </w:r>
            <w:r>
              <w:rPr>
                <w:rFonts w:hint="eastAsia" w:ascii="宋体" w:hAnsi="宋体" w:cs="宋体"/>
                <w:szCs w:val="21"/>
              </w:rPr>
              <w:t>查阅报警仪配备目录及点位布置图；</w:t>
            </w:r>
          </w:p>
          <w:p>
            <w:pPr>
              <w:tabs>
                <w:tab w:val="left" w:pos="675"/>
              </w:tabs>
              <w:spacing w:line="240" w:lineRule="exact"/>
              <w:jc w:val="left"/>
              <w:rPr>
                <w:rFonts w:ascii="宋体" w:cs="宋体"/>
                <w:szCs w:val="21"/>
              </w:rPr>
            </w:pPr>
            <w:r>
              <w:rPr>
                <w:rFonts w:ascii="宋体" w:hAnsi="宋体" w:cs="宋体"/>
                <w:szCs w:val="21"/>
              </w:rPr>
              <w:t>2.</w:t>
            </w:r>
            <w:r>
              <w:rPr>
                <w:rFonts w:hint="eastAsia" w:ascii="宋体" w:hAnsi="宋体" w:cs="宋体"/>
                <w:szCs w:val="21"/>
              </w:rPr>
              <w:t>查阅报警仪经国家指定机构或其授权检验单位定期检测合格证明材料；</w:t>
            </w:r>
          </w:p>
          <w:p>
            <w:pPr>
              <w:tabs>
                <w:tab w:val="left" w:pos="675"/>
              </w:tabs>
              <w:spacing w:line="240" w:lineRule="exact"/>
              <w:jc w:val="left"/>
              <w:rPr>
                <w:rFonts w:ascii="宋体" w:cs="宋体"/>
                <w:szCs w:val="21"/>
              </w:rPr>
            </w:pPr>
            <w:r>
              <w:rPr>
                <w:rFonts w:ascii="宋体" w:hAnsi="宋体" w:cs="宋体"/>
                <w:szCs w:val="21"/>
              </w:rPr>
              <w:t>3.</w:t>
            </w:r>
            <w:r>
              <w:rPr>
                <w:rFonts w:hint="eastAsia" w:ascii="宋体" w:hAnsi="宋体" w:cs="宋体"/>
                <w:szCs w:val="21"/>
              </w:rPr>
              <w:t>查阅报警仪维护保养记录；</w:t>
            </w:r>
          </w:p>
          <w:p>
            <w:pPr>
              <w:tabs>
                <w:tab w:val="left" w:pos="675"/>
              </w:tabs>
              <w:spacing w:line="240" w:lineRule="exact"/>
              <w:jc w:val="left"/>
              <w:rPr>
                <w:rFonts w:ascii="宋体" w:cs="宋体"/>
                <w:szCs w:val="21"/>
              </w:rPr>
            </w:pPr>
            <w:r>
              <w:rPr>
                <w:rFonts w:ascii="宋体" w:hAnsi="宋体" w:cs="宋体"/>
                <w:szCs w:val="21"/>
              </w:rPr>
              <w:t>4.</w:t>
            </w:r>
            <w:r>
              <w:rPr>
                <w:rFonts w:hint="eastAsia" w:ascii="宋体" w:hAnsi="宋体" w:cs="宋体"/>
                <w:szCs w:val="21"/>
              </w:rPr>
              <w:t>查阅煤气报警处置记录；</w:t>
            </w:r>
          </w:p>
          <w:p>
            <w:pPr>
              <w:tabs>
                <w:tab w:val="left" w:pos="675"/>
              </w:tabs>
              <w:spacing w:line="240" w:lineRule="exact"/>
              <w:jc w:val="left"/>
              <w:rPr>
                <w:rFonts w:ascii="宋体" w:cs="宋体"/>
                <w:szCs w:val="21"/>
              </w:rPr>
            </w:pPr>
            <w:r>
              <w:rPr>
                <w:rFonts w:ascii="宋体" w:hAnsi="宋体" w:cs="宋体"/>
                <w:szCs w:val="21"/>
              </w:rPr>
              <w:t>5.</w:t>
            </w:r>
            <w:r>
              <w:rPr>
                <w:rFonts w:hint="eastAsia" w:ascii="宋体" w:hAnsi="宋体" w:cs="宋体"/>
                <w:szCs w:val="21"/>
              </w:rPr>
              <w:t>查阅企业煤气“生理性”报警防治措施，如高炉出铁时逸散煤气的治理情况，主要指出铁口（沟）除尘设施设置、设施完好、通风换气量及密闭等情况。</w:t>
            </w:r>
          </w:p>
          <w:p>
            <w:pPr>
              <w:tabs>
                <w:tab w:val="left" w:pos="675"/>
              </w:tabs>
              <w:spacing w:line="240" w:lineRule="exact"/>
              <w:jc w:val="left"/>
              <w:rPr>
                <w:rFonts w:ascii="宋体" w:cs="宋体"/>
                <w:szCs w:val="21"/>
              </w:rPr>
            </w:pPr>
            <w:r>
              <w:rPr>
                <w:rFonts w:ascii="宋体" w:hAnsi="宋体" w:cs="宋体"/>
                <w:szCs w:val="21"/>
              </w:rPr>
              <w:t>6.</w:t>
            </w:r>
            <w:r>
              <w:rPr>
                <w:rFonts w:hint="eastAsia" w:ascii="宋体" w:hAnsi="宋体" w:cs="宋体"/>
                <w:szCs w:val="21"/>
              </w:rPr>
              <w:t>查阅企业煤气“病理性”报警防治情况，如设备设施管道泄漏的预防及治理，其他区域煤气逸散影响本区域作业安全等的治理情况。</w:t>
            </w:r>
          </w:p>
        </w:tc>
        <w:tc>
          <w:tcPr>
            <w:tcW w:w="1222" w:type="dxa"/>
            <w:vAlign w:val="center"/>
          </w:tcPr>
          <w:p>
            <w:pPr>
              <w:tabs>
                <w:tab w:val="left" w:pos="675"/>
              </w:tabs>
              <w:spacing w:line="240" w:lineRule="exact"/>
              <w:jc w:val="left"/>
              <w:rPr>
                <w:rFonts w:ascii="宋体" w:cs="宋体"/>
                <w:szCs w:val="21"/>
              </w:rPr>
            </w:pPr>
          </w:p>
        </w:tc>
        <w:tc>
          <w:tcPr>
            <w:tcW w:w="1346" w:type="dxa"/>
            <w:vAlign w:val="center"/>
          </w:tcPr>
          <w:p>
            <w:pPr>
              <w:tabs>
                <w:tab w:val="left" w:pos="675"/>
              </w:tabs>
              <w:spacing w:line="240" w:lineRule="exact"/>
              <w:jc w:val="left"/>
              <w:rPr>
                <w:rFonts w:ascii="宋体" w:cs="宋体"/>
                <w:szCs w:val="21"/>
              </w:rPr>
            </w:pPr>
            <w:r>
              <w:rPr>
                <w:rFonts w:ascii="宋体" w:hAnsi="宋体" w:cs="宋体"/>
                <w:szCs w:val="21"/>
              </w:rPr>
              <w:t>1.</w:t>
            </w:r>
            <w:r>
              <w:rPr>
                <w:rFonts w:hint="eastAsia" w:ascii="宋体" w:hAnsi="宋体" w:cs="宋体"/>
                <w:szCs w:val="21"/>
              </w:rPr>
              <w:t>核查煤气区域人员集中地方和固定报警器应设尽设情况；</w:t>
            </w:r>
          </w:p>
          <w:p>
            <w:pPr>
              <w:tabs>
                <w:tab w:val="left" w:pos="675"/>
              </w:tabs>
              <w:spacing w:line="240" w:lineRule="exact"/>
              <w:jc w:val="left"/>
              <w:rPr>
                <w:rFonts w:ascii="宋体" w:cs="宋体"/>
                <w:szCs w:val="21"/>
              </w:rPr>
            </w:pPr>
            <w:r>
              <w:rPr>
                <w:rFonts w:ascii="宋体" w:hAnsi="宋体" w:cs="宋体"/>
                <w:szCs w:val="21"/>
              </w:rPr>
              <w:t>2.</w:t>
            </w:r>
            <w:r>
              <w:rPr>
                <w:rFonts w:hint="eastAsia" w:ascii="宋体" w:hAnsi="宋体" w:cs="宋体"/>
                <w:szCs w:val="21"/>
              </w:rPr>
              <w:t>现场检测比对；</w:t>
            </w:r>
          </w:p>
          <w:p>
            <w:pPr>
              <w:tabs>
                <w:tab w:val="left" w:pos="675"/>
              </w:tabs>
              <w:spacing w:line="240" w:lineRule="exact"/>
              <w:jc w:val="left"/>
              <w:rPr>
                <w:rFonts w:ascii="宋体" w:cs="宋体"/>
                <w:szCs w:val="21"/>
              </w:rPr>
            </w:pPr>
            <w:r>
              <w:rPr>
                <w:rFonts w:ascii="宋体" w:hAnsi="宋体" w:cs="宋体"/>
                <w:szCs w:val="21"/>
              </w:rPr>
              <w:t>3.</w:t>
            </w:r>
            <w:r>
              <w:rPr>
                <w:rFonts w:hint="eastAsia" w:ascii="宋体" w:hAnsi="宋体" w:cs="宋体"/>
                <w:szCs w:val="21"/>
              </w:rPr>
              <w:t>核查安全警示标志设置情况；</w:t>
            </w:r>
          </w:p>
          <w:p>
            <w:pPr>
              <w:tabs>
                <w:tab w:val="left" w:pos="675"/>
              </w:tabs>
              <w:spacing w:line="240" w:lineRule="exact"/>
              <w:jc w:val="left"/>
              <w:rPr>
                <w:rFonts w:ascii="宋体" w:cs="宋体"/>
                <w:szCs w:val="21"/>
              </w:rPr>
            </w:pPr>
            <w:r>
              <w:rPr>
                <w:rFonts w:ascii="宋体" w:hAnsi="宋体" w:cs="宋体"/>
                <w:szCs w:val="21"/>
              </w:rPr>
              <w:t>4.</w:t>
            </w:r>
            <w:r>
              <w:rPr>
                <w:rFonts w:hint="eastAsia" w:ascii="宋体" w:hAnsi="宋体" w:cs="宋体"/>
                <w:szCs w:val="21"/>
              </w:rPr>
              <w:t>抽验现场作业人员及管理人员煤气基本安全知识掌握、应急处置情况</w:t>
            </w:r>
          </w:p>
        </w:tc>
        <w:tc>
          <w:tcPr>
            <w:tcW w:w="1222" w:type="dxa"/>
            <w:vAlign w:val="center"/>
          </w:tcPr>
          <w:p>
            <w:pPr>
              <w:tabs>
                <w:tab w:val="left" w:pos="675"/>
              </w:tabs>
              <w:spacing w:line="240" w:lineRule="exact"/>
              <w:jc w:val="left"/>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152" w:hRule="atLeast"/>
          <w:jc w:val="center"/>
        </w:trPr>
        <w:tc>
          <w:tcPr>
            <w:tcW w:w="654" w:type="dxa"/>
            <w:vAlign w:val="center"/>
          </w:tcPr>
          <w:p>
            <w:pPr>
              <w:tabs>
                <w:tab w:val="left" w:pos="675"/>
              </w:tabs>
              <w:spacing w:line="240" w:lineRule="exact"/>
              <w:jc w:val="center"/>
              <w:rPr>
                <w:rFonts w:ascii="宋体" w:cs="宋体"/>
                <w:b/>
                <w:sz w:val="20"/>
                <w:szCs w:val="20"/>
              </w:rPr>
            </w:pPr>
            <w:r>
              <w:rPr>
                <w:rFonts w:ascii="宋体" w:hAnsi="宋体" w:cs="宋体"/>
                <w:b/>
                <w:sz w:val="20"/>
                <w:szCs w:val="20"/>
              </w:rPr>
              <w:t>4</w:t>
            </w:r>
          </w:p>
        </w:tc>
        <w:tc>
          <w:tcPr>
            <w:tcW w:w="1381" w:type="dxa"/>
            <w:vAlign w:val="center"/>
          </w:tcPr>
          <w:p>
            <w:pPr>
              <w:tabs>
                <w:tab w:val="left" w:pos="675"/>
              </w:tabs>
              <w:spacing w:line="240" w:lineRule="exact"/>
              <w:jc w:val="left"/>
              <w:rPr>
                <w:rFonts w:ascii="宋体" w:cs="宋体"/>
                <w:bCs/>
                <w:szCs w:val="21"/>
              </w:rPr>
            </w:pPr>
            <w:r>
              <w:rPr>
                <w:rFonts w:hint="eastAsia" w:ascii="宋体" w:hAnsi="宋体" w:cs="宋体"/>
                <w:bCs/>
                <w:szCs w:val="21"/>
              </w:rPr>
              <w:t>煤气分配主管上支管引接处，未设置可靠的隔断装置；</w:t>
            </w:r>
          </w:p>
          <w:p>
            <w:pPr>
              <w:tabs>
                <w:tab w:val="left" w:pos="675"/>
              </w:tabs>
              <w:spacing w:line="240" w:lineRule="exact"/>
              <w:jc w:val="left"/>
              <w:rPr>
                <w:rFonts w:ascii="宋体" w:cs="宋体"/>
                <w:bCs/>
                <w:szCs w:val="21"/>
              </w:rPr>
            </w:pPr>
            <w:r>
              <w:rPr>
                <w:rFonts w:hint="eastAsia" w:ascii="宋体" w:hAnsi="宋体" w:cs="宋体"/>
                <w:bCs/>
                <w:szCs w:val="21"/>
              </w:rPr>
              <w:t>煤气进入车间前的管道，未按标准要求设置总管切断阀或可靠的隔断装置。</w:t>
            </w:r>
          </w:p>
        </w:tc>
        <w:tc>
          <w:tcPr>
            <w:tcW w:w="6840" w:type="dxa"/>
            <w:vAlign w:val="center"/>
          </w:tcPr>
          <w:p>
            <w:pPr>
              <w:tabs>
                <w:tab w:val="left" w:pos="675"/>
              </w:tabs>
              <w:spacing w:line="240" w:lineRule="exact"/>
              <w:jc w:val="left"/>
              <w:rPr>
                <w:rFonts w:ascii="宋体" w:cs="宋体"/>
                <w:bCs/>
                <w:szCs w:val="21"/>
              </w:rPr>
            </w:pPr>
            <w:r>
              <w:rPr>
                <w:rFonts w:ascii="宋体" w:hAnsi="宋体" w:cs="宋体"/>
                <w:bCs/>
                <w:szCs w:val="21"/>
              </w:rPr>
              <w:t>1.</w:t>
            </w:r>
            <w:r>
              <w:rPr>
                <w:rFonts w:hint="eastAsia" w:ascii="宋体" w:hAnsi="宋体" w:cs="宋体"/>
                <w:bCs/>
                <w:szCs w:val="21"/>
              </w:rPr>
              <w:t>煤气分配主管上支管引接处设置“关闭阀</w:t>
            </w:r>
            <w:r>
              <w:rPr>
                <w:rFonts w:ascii="宋体" w:hAnsi="宋体" w:cs="宋体"/>
                <w:bCs/>
                <w:szCs w:val="21"/>
              </w:rPr>
              <w:t>+</w:t>
            </w:r>
            <w:r>
              <w:rPr>
                <w:rFonts w:hint="eastAsia" w:ascii="宋体" w:hAnsi="宋体" w:cs="宋体"/>
                <w:bCs/>
                <w:szCs w:val="21"/>
              </w:rPr>
              <w:t>眼镜阀”的隔断装置；</w:t>
            </w:r>
          </w:p>
          <w:p>
            <w:pPr>
              <w:tabs>
                <w:tab w:val="left" w:pos="675"/>
              </w:tabs>
              <w:spacing w:line="240" w:lineRule="exact"/>
              <w:jc w:val="left"/>
              <w:rPr>
                <w:rFonts w:ascii="宋体" w:cs="宋体"/>
                <w:bCs/>
                <w:szCs w:val="21"/>
              </w:rPr>
            </w:pPr>
            <w:r>
              <w:rPr>
                <w:rFonts w:ascii="宋体" w:hAnsi="宋体" w:cs="宋体"/>
                <w:bCs/>
                <w:szCs w:val="21"/>
              </w:rPr>
              <w:t>2.</w:t>
            </w:r>
            <w:r>
              <w:rPr>
                <w:rFonts w:hint="eastAsia" w:ascii="宋体" w:hAnsi="宋体" w:cs="宋体"/>
                <w:bCs/>
                <w:szCs w:val="21"/>
              </w:rPr>
              <w:t>进入车间前的煤气管道，应按标准要求设置总管切断阀或可靠的隔断装置；</w:t>
            </w:r>
          </w:p>
          <w:p>
            <w:pPr>
              <w:tabs>
                <w:tab w:val="left" w:pos="675"/>
              </w:tabs>
              <w:spacing w:line="240" w:lineRule="exact"/>
              <w:jc w:val="left"/>
              <w:rPr>
                <w:rFonts w:ascii="宋体" w:cs="宋体"/>
                <w:bCs/>
                <w:szCs w:val="21"/>
              </w:rPr>
            </w:pPr>
            <w:r>
              <w:rPr>
                <w:rFonts w:ascii="宋体" w:hAnsi="宋体" w:cs="宋体"/>
                <w:bCs/>
                <w:szCs w:val="21"/>
              </w:rPr>
              <w:t>3.</w:t>
            </w:r>
            <w:r>
              <w:rPr>
                <w:rFonts w:hint="eastAsia" w:ascii="宋体" w:hAnsi="宋体" w:cs="宋体"/>
                <w:bCs/>
                <w:szCs w:val="21"/>
              </w:rPr>
              <w:t>隔断装置具体设置及使用规范参照《煤气隔断装置安全技术规范》（</w:t>
            </w:r>
            <w:r>
              <w:rPr>
                <w:rFonts w:ascii="宋体" w:hAnsi="宋体" w:cs="宋体"/>
                <w:bCs/>
                <w:szCs w:val="21"/>
              </w:rPr>
              <w:t>AQ2048—2012</w:t>
            </w:r>
            <w:r>
              <w:rPr>
                <w:rFonts w:hint="eastAsia" w:ascii="宋体" w:hAnsi="宋体" w:cs="宋体"/>
                <w:bCs/>
                <w:szCs w:val="21"/>
              </w:rPr>
              <w:t>）；</w:t>
            </w:r>
          </w:p>
          <w:p>
            <w:pPr>
              <w:tabs>
                <w:tab w:val="left" w:pos="675"/>
              </w:tabs>
              <w:spacing w:line="240" w:lineRule="exact"/>
              <w:jc w:val="left"/>
              <w:rPr>
                <w:rFonts w:ascii="宋体" w:cs="宋体"/>
                <w:bCs/>
                <w:szCs w:val="21"/>
              </w:rPr>
            </w:pPr>
            <w:r>
              <w:rPr>
                <w:rFonts w:ascii="宋体" w:hAnsi="宋体" w:cs="宋体"/>
                <w:bCs/>
                <w:szCs w:val="21"/>
              </w:rPr>
              <w:t>4.</w:t>
            </w:r>
            <w:r>
              <w:rPr>
                <w:rFonts w:hint="eastAsia" w:ascii="宋体" w:hAnsi="宋体" w:cs="宋体"/>
                <w:bCs/>
                <w:szCs w:val="21"/>
              </w:rPr>
              <w:t>相关管道应设置低压检测报警及快速切断阀。</w:t>
            </w:r>
          </w:p>
        </w:tc>
        <w:tc>
          <w:tcPr>
            <w:tcW w:w="1817" w:type="dxa"/>
            <w:vAlign w:val="center"/>
          </w:tcPr>
          <w:p>
            <w:pPr>
              <w:tabs>
                <w:tab w:val="left" w:pos="675"/>
              </w:tabs>
              <w:spacing w:line="240" w:lineRule="exact"/>
              <w:jc w:val="left"/>
              <w:rPr>
                <w:rFonts w:ascii="宋体" w:cs="宋体"/>
                <w:szCs w:val="21"/>
              </w:rPr>
            </w:pPr>
            <w:r>
              <w:rPr>
                <w:rFonts w:hint="eastAsia" w:ascii="宋体" w:hAnsi="宋体" w:cs="宋体"/>
                <w:szCs w:val="21"/>
              </w:rPr>
              <w:t>查阅企业煤气工艺流程图</w:t>
            </w:r>
          </w:p>
        </w:tc>
        <w:tc>
          <w:tcPr>
            <w:tcW w:w="1222" w:type="dxa"/>
            <w:vAlign w:val="center"/>
          </w:tcPr>
          <w:p>
            <w:pPr>
              <w:tabs>
                <w:tab w:val="left" w:pos="675"/>
              </w:tabs>
              <w:spacing w:line="240" w:lineRule="exact"/>
              <w:jc w:val="left"/>
              <w:rPr>
                <w:rFonts w:ascii="宋体" w:cs="宋体"/>
                <w:szCs w:val="21"/>
              </w:rPr>
            </w:pPr>
          </w:p>
        </w:tc>
        <w:tc>
          <w:tcPr>
            <w:tcW w:w="1346" w:type="dxa"/>
            <w:vAlign w:val="center"/>
          </w:tcPr>
          <w:p>
            <w:pPr>
              <w:numPr>
                <w:ilvl w:val="0"/>
                <w:numId w:val="2"/>
              </w:numPr>
              <w:tabs>
                <w:tab w:val="left" w:pos="675"/>
              </w:tabs>
              <w:spacing w:line="240" w:lineRule="exact"/>
              <w:jc w:val="left"/>
              <w:rPr>
                <w:rFonts w:ascii="宋体" w:cs="宋体"/>
                <w:szCs w:val="21"/>
              </w:rPr>
            </w:pPr>
            <w:r>
              <w:rPr>
                <w:rFonts w:hint="eastAsia" w:ascii="宋体" w:hAnsi="宋体" w:cs="宋体"/>
                <w:szCs w:val="21"/>
              </w:rPr>
              <w:t>核查企业煤气加压机、抽气机、鼓风机、布袋除尘器、煤气余压发电机组（</w:t>
            </w:r>
            <w:r>
              <w:rPr>
                <w:rFonts w:ascii="宋体" w:hAnsi="宋体" w:cs="宋体"/>
                <w:szCs w:val="21"/>
              </w:rPr>
              <w:t>TRT</w:t>
            </w:r>
            <w:r>
              <w:rPr>
                <w:rFonts w:hint="eastAsia" w:ascii="宋体" w:hAnsi="宋体" w:cs="宋体"/>
                <w:szCs w:val="21"/>
              </w:rPr>
              <w:t>）、电捕焦油器、煤气柜、脱硫塔、洗苯塔、煤气加热器、煤气净化器等，煤气输入、输出管道等处可靠隔断装置设置情况；</w:t>
            </w:r>
          </w:p>
          <w:p>
            <w:pPr>
              <w:numPr>
                <w:ilvl w:val="0"/>
                <w:numId w:val="2"/>
              </w:numPr>
              <w:tabs>
                <w:tab w:val="left" w:pos="675"/>
              </w:tabs>
              <w:spacing w:line="240" w:lineRule="exact"/>
              <w:jc w:val="left"/>
              <w:rPr>
                <w:rFonts w:ascii="宋体" w:cs="宋体"/>
                <w:szCs w:val="21"/>
              </w:rPr>
            </w:pPr>
            <w:r>
              <w:rPr>
                <w:rFonts w:hint="eastAsia" w:ascii="宋体" w:hAnsi="宋体" w:cs="宋体"/>
                <w:szCs w:val="21"/>
              </w:rPr>
              <w:t>核查企业处于离线检维修状态的煤气设施（系统、单元）与生产运行状态的煤气设施（系统、单元）之间是否实现煤气可靠隔断</w:t>
            </w:r>
          </w:p>
        </w:tc>
        <w:tc>
          <w:tcPr>
            <w:tcW w:w="1222" w:type="dxa"/>
            <w:vAlign w:val="center"/>
          </w:tcPr>
          <w:p>
            <w:pPr>
              <w:tabs>
                <w:tab w:val="left" w:pos="675"/>
              </w:tabs>
              <w:spacing w:line="240" w:lineRule="exact"/>
              <w:jc w:val="left"/>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305" w:hRule="atLeast"/>
          <w:jc w:val="center"/>
        </w:trPr>
        <w:tc>
          <w:tcPr>
            <w:tcW w:w="654" w:type="dxa"/>
            <w:vAlign w:val="center"/>
          </w:tcPr>
          <w:p>
            <w:pPr>
              <w:tabs>
                <w:tab w:val="left" w:pos="675"/>
              </w:tabs>
              <w:spacing w:line="240" w:lineRule="exact"/>
              <w:jc w:val="center"/>
              <w:rPr>
                <w:rFonts w:ascii="宋体" w:cs="宋体"/>
                <w:b/>
                <w:sz w:val="20"/>
                <w:szCs w:val="20"/>
              </w:rPr>
            </w:pPr>
            <w:r>
              <w:rPr>
                <w:rFonts w:ascii="宋体" w:hAnsi="宋体" w:cs="宋体"/>
                <w:b/>
                <w:sz w:val="20"/>
                <w:szCs w:val="20"/>
              </w:rPr>
              <w:t>5</w:t>
            </w:r>
          </w:p>
        </w:tc>
        <w:tc>
          <w:tcPr>
            <w:tcW w:w="1381" w:type="dxa"/>
            <w:vAlign w:val="center"/>
          </w:tcPr>
          <w:p>
            <w:pPr>
              <w:tabs>
                <w:tab w:val="left" w:pos="675"/>
              </w:tabs>
              <w:spacing w:line="240" w:lineRule="exact"/>
              <w:jc w:val="left"/>
              <w:rPr>
                <w:rFonts w:ascii="宋体" w:cs="宋体"/>
                <w:bCs/>
                <w:szCs w:val="21"/>
              </w:rPr>
            </w:pPr>
            <w:r>
              <w:rPr>
                <w:rFonts w:hint="eastAsia" w:ascii="宋体" w:hAnsi="宋体" w:cs="宋体"/>
                <w:bCs/>
                <w:szCs w:val="21"/>
              </w:rPr>
              <w:t>煤气水封和排水器的设置、水封高度、给（加）水装置不符合标准要求。</w:t>
            </w:r>
          </w:p>
        </w:tc>
        <w:tc>
          <w:tcPr>
            <w:tcW w:w="6840" w:type="dxa"/>
            <w:vAlign w:val="center"/>
          </w:tcPr>
          <w:p>
            <w:pPr>
              <w:tabs>
                <w:tab w:val="left" w:pos="675"/>
              </w:tabs>
              <w:spacing w:line="240" w:lineRule="exact"/>
              <w:jc w:val="left"/>
              <w:rPr>
                <w:rFonts w:ascii="宋体" w:cs="宋体"/>
                <w:bCs/>
                <w:szCs w:val="21"/>
              </w:rPr>
            </w:pPr>
            <w:r>
              <w:rPr>
                <w:rFonts w:ascii="宋体" w:hAnsi="宋体" w:cs="宋体"/>
                <w:bCs/>
                <w:szCs w:val="21"/>
              </w:rPr>
              <w:t>1.</w:t>
            </w:r>
            <w:r>
              <w:rPr>
                <w:rFonts w:hint="eastAsia" w:ascii="宋体" w:hAnsi="宋体" w:cs="宋体"/>
                <w:bCs/>
                <w:szCs w:val="21"/>
              </w:rPr>
              <w:t>水封的给水管上设给水封和止回阀；</w:t>
            </w:r>
          </w:p>
          <w:p>
            <w:pPr>
              <w:tabs>
                <w:tab w:val="left" w:pos="675"/>
              </w:tabs>
              <w:spacing w:line="240" w:lineRule="exact"/>
              <w:jc w:val="left"/>
              <w:rPr>
                <w:rFonts w:ascii="宋体" w:cs="宋体"/>
                <w:bCs/>
                <w:szCs w:val="21"/>
              </w:rPr>
            </w:pPr>
            <w:r>
              <w:rPr>
                <w:rFonts w:ascii="宋体" w:hAnsi="宋体" w:cs="宋体"/>
                <w:bCs/>
                <w:szCs w:val="21"/>
              </w:rPr>
              <w:t>2.</w:t>
            </w:r>
            <w:r>
              <w:rPr>
                <w:rFonts w:hint="eastAsia" w:ascii="宋体" w:hAnsi="宋体" w:cs="宋体"/>
                <w:bCs/>
                <w:szCs w:val="21"/>
              </w:rPr>
              <w:t>排水管、满流管不得直接插入下水道。水封下部侧壁上应安设清扫孔和放水头，</w:t>
            </w:r>
            <w:r>
              <w:rPr>
                <w:rFonts w:ascii="宋体" w:hAnsi="宋体" w:cs="宋体"/>
                <w:bCs/>
                <w:szCs w:val="21"/>
              </w:rPr>
              <w:t>U</w:t>
            </w:r>
            <w:r>
              <w:rPr>
                <w:rFonts w:hint="eastAsia" w:ascii="宋体" w:hAnsi="宋体" w:cs="宋体"/>
                <w:bCs/>
                <w:szCs w:val="21"/>
              </w:rPr>
              <w:t>型水封两侧应安设放散管、吹刷用的进气头和取样管；</w:t>
            </w:r>
          </w:p>
          <w:p>
            <w:pPr>
              <w:pStyle w:val="14"/>
              <w:spacing w:line="240" w:lineRule="exact"/>
              <w:rPr>
                <w:rFonts w:hAnsi="宋体"/>
                <w:sz w:val="21"/>
                <w:szCs w:val="21"/>
              </w:rPr>
            </w:pPr>
            <w:r>
              <w:rPr>
                <w:rFonts w:hAnsi="宋体"/>
                <w:sz w:val="21"/>
                <w:szCs w:val="21"/>
              </w:rPr>
              <w:t>3.</w:t>
            </w:r>
            <w:r>
              <w:rPr>
                <w:rFonts w:hint="eastAsia" w:hAnsi="宋体"/>
                <w:sz w:val="21"/>
                <w:szCs w:val="21"/>
              </w:rPr>
              <w:t>水封式排水器应满足：（</w:t>
            </w:r>
            <w:r>
              <w:rPr>
                <w:rFonts w:hAnsi="宋体"/>
                <w:sz w:val="21"/>
                <w:szCs w:val="21"/>
              </w:rPr>
              <w:t>1</w:t>
            </w:r>
            <w:r>
              <w:rPr>
                <w:rFonts w:hint="eastAsia" w:hAnsi="宋体"/>
                <w:sz w:val="21"/>
                <w:szCs w:val="21"/>
              </w:rPr>
              <w:t>）设有加水口；不采用连续加水的，宜设置便于检查水封高度的装置，（</w:t>
            </w:r>
            <w:r>
              <w:rPr>
                <w:rFonts w:hAnsi="宋体"/>
                <w:sz w:val="21"/>
                <w:szCs w:val="21"/>
              </w:rPr>
              <w:t>2</w:t>
            </w:r>
            <w:r>
              <w:rPr>
                <w:rFonts w:hint="eastAsia" w:hAnsi="宋体"/>
                <w:sz w:val="21"/>
                <w:szCs w:val="21"/>
              </w:rPr>
              <w:t>）多级水封式排水器的加水装置应设在高压室，加水管应设置止回阀防止煤气倒倒窜，（</w:t>
            </w:r>
            <w:r>
              <w:rPr>
                <w:rFonts w:hAnsi="宋体"/>
                <w:sz w:val="21"/>
                <w:szCs w:val="21"/>
              </w:rPr>
              <w:t>3</w:t>
            </w:r>
            <w:r>
              <w:rPr>
                <w:rFonts w:hint="eastAsia" w:hAnsi="宋体"/>
                <w:sz w:val="21"/>
                <w:szCs w:val="21"/>
              </w:rPr>
              <w:t>）水封的有效高度应取煤气计算压力加</w:t>
            </w:r>
            <w:r>
              <w:rPr>
                <w:rFonts w:hAnsi="宋体"/>
                <w:sz w:val="21"/>
                <w:szCs w:val="21"/>
              </w:rPr>
              <w:t>500mmH</w:t>
            </w:r>
            <w:r>
              <w:rPr>
                <w:rFonts w:hAnsi="宋体"/>
                <w:sz w:val="21"/>
                <w:szCs w:val="21"/>
                <w:vertAlign w:val="subscript"/>
              </w:rPr>
              <w:t>2</w:t>
            </w:r>
            <w:r>
              <w:rPr>
                <w:rFonts w:hAnsi="宋体"/>
                <w:sz w:val="21"/>
                <w:szCs w:val="21"/>
              </w:rPr>
              <w:t>O</w:t>
            </w:r>
            <w:r>
              <w:rPr>
                <w:rFonts w:hint="eastAsia" w:hAnsi="宋体"/>
                <w:sz w:val="21"/>
                <w:szCs w:val="21"/>
              </w:rPr>
              <w:t>与煤气计算压力</w:t>
            </w:r>
            <w:r>
              <w:rPr>
                <w:rFonts w:hAnsi="宋体"/>
                <w:sz w:val="21"/>
                <w:szCs w:val="21"/>
              </w:rPr>
              <w:t>1.2</w:t>
            </w:r>
            <w:r>
              <w:rPr>
                <w:rFonts w:hint="eastAsia" w:hAnsi="宋体"/>
                <w:sz w:val="21"/>
                <w:szCs w:val="21"/>
              </w:rPr>
              <w:t>倍的较大值，并不得小于</w:t>
            </w:r>
            <w:r>
              <w:rPr>
                <w:rFonts w:hAnsi="宋体"/>
                <w:sz w:val="21"/>
                <w:szCs w:val="21"/>
              </w:rPr>
              <w:t>3m</w:t>
            </w:r>
            <w:r>
              <w:rPr>
                <w:rFonts w:hint="eastAsia" w:hAnsi="宋体"/>
                <w:sz w:val="21"/>
                <w:szCs w:val="21"/>
              </w:rPr>
              <w:t>，（</w:t>
            </w:r>
            <w:r>
              <w:rPr>
                <w:rFonts w:hAnsi="宋体"/>
                <w:sz w:val="21"/>
                <w:szCs w:val="21"/>
              </w:rPr>
              <w:t>4</w:t>
            </w:r>
            <w:r>
              <w:rPr>
                <w:rFonts w:hint="eastAsia" w:hAnsi="宋体"/>
                <w:sz w:val="21"/>
                <w:szCs w:val="21"/>
              </w:rPr>
              <w:t>）多级水封排水器应具有防气阻功能，在各级密封室顶端设置排气装置，以便注满水，避免因室内空气压缩造成假水位，（</w:t>
            </w:r>
            <w:r>
              <w:rPr>
                <w:rFonts w:hAnsi="宋体"/>
                <w:sz w:val="21"/>
                <w:szCs w:val="21"/>
              </w:rPr>
              <w:t>5</w:t>
            </w:r>
            <w:r>
              <w:rPr>
                <w:rFonts w:hint="eastAsia" w:hAnsi="宋体"/>
                <w:sz w:val="21"/>
                <w:szCs w:val="21"/>
              </w:rPr>
              <w:t>）设有溢流口，溢流口下方设溢流漏斗连接排水管道，便于观察溢流，（</w:t>
            </w:r>
            <w:r>
              <w:rPr>
                <w:rFonts w:hAnsi="宋体"/>
                <w:sz w:val="21"/>
                <w:szCs w:val="21"/>
              </w:rPr>
              <w:t>6</w:t>
            </w:r>
            <w:r>
              <w:rPr>
                <w:rFonts w:hint="eastAsia" w:hAnsi="宋体"/>
                <w:sz w:val="21"/>
                <w:szCs w:val="21"/>
              </w:rPr>
              <w:t>）有清理灰渣、油泥手孔及吹扫头；</w:t>
            </w:r>
          </w:p>
          <w:p>
            <w:pPr>
              <w:tabs>
                <w:tab w:val="left" w:pos="675"/>
              </w:tabs>
              <w:spacing w:line="240" w:lineRule="exact"/>
              <w:jc w:val="left"/>
              <w:rPr>
                <w:rFonts w:ascii="宋体" w:cs="宋体"/>
                <w:bCs/>
                <w:szCs w:val="21"/>
              </w:rPr>
            </w:pPr>
            <w:r>
              <w:rPr>
                <w:rFonts w:ascii="宋体" w:hAnsi="宋体" w:cs="宋体"/>
                <w:szCs w:val="21"/>
              </w:rPr>
              <w:t>4.</w:t>
            </w:r>
            <w:r>
              <w:rPr>
                <w:rFonts w:hint="eastAsia" w:ascii="宋体" w:hAnsi="宋体" w:cs="宋体"/>
                <w:szCs w:val="21"/>
              </w:rPr>
              <w:t>排水器的溢流口下</w:t>
            </w:r>
            <w:r>
              <w:rPr>
                <w:rFonts w:hint="eastAsia" w:ascii="宋体" w:hAnsi="宋体" w:cs="宋体"/>
                <w:iCs/>
                <w:szCs w:val="21"/>
              </w:rPr>
              <w:t>应设溢流漏斗，禁止将排水管直接插入下水道；</w:t>
            </w:r>
          </w:p>
          <w:p>
            <w:pPr>
              <w:autoSpaceDE w:val="0"/>
              <w:autoSpaceDN w:val="0"/>
              <w:adjustRightInd w:val="0"/>
              <w:spacing w:line="240" w:lineRule="exact"/>
              <w:jc w:val="left"/>
              <w:rPr>
                <w:rFonts w:ascii="宋体" w:cs="宋体"/>
                <w:color w:val="000000"/>
                <w:kern w:val="0"/>
                <w:szCs w:val="21"/>
              </w:rPr>
            </w:pPr>
            <w:r>
              <w:rPr>
                <w:rFonts w:ascii="宋体" w:hAnsi="宋体" w:cs="宋体"/>
                <w:color w:val="000000"/>
                <w:kern w:val="0"/>
                <w:szCs w:val="21"/>
              </w:rPr>
              <w:t>5.</w:t>
            </w:r>
            <w:r>
              <w:rPr>
                <w:rFonts w:hint="eastAsia" w:ascii="宋体" w:hAnsi="宋体" w:cs="宋体"/>
                <w:color w:val="000000"/>
                <w:kern w:val="0"/>
                <w:szCs w:val="21"/>
              </w:rPr>
              <w:t>煤气排水器的设置应遵守</w:t>
            </w:r>
            <w:r>
              <w:rPr>
                <w:rFonts w:ascii="宋体" w:hAnsi="宋体" w:cs="宋体"/>
                <w:color w:val="000000"/>
                <w:kern w:val="0"/>
                <w:szCs w:val="21"/>
              </w:rPr>
              <w:t>GB6222</w:t>
            </w:r>
            <w:r>
              <w:rPr>
                <w:rFonts w:hint="eastAsia" w:ascii="宋体" w:hAnsi="宋体" w:cs="宋体"/>
                <w:color w:val="000000"/>
                <w:kern w:val="0"/>
                <w:szCs w:val="21"/>
              </w:rPr>
              <w:t>的规定。当煤气管道采用无坡度敷设时，应每隔</w:t>
            </w:r>
            <w:r>
              <w:rPr>
                <w:rFonts w:ascii="宋体" w:hAnsi="宋体" w:cs="宋体"/>
                <w:color w:val="000000"/>
                <w:kern w:val="0"/>
                <w:szCs w:val="21"/>
              </w:rPr>
              <w:t>100m</w:t>
            </w:r>
            <w:r>
              <w:rPr>
                <w:rFonts w:hint="eastAsia" w:ascii="宋体" w:hAnsi="宋体" w:cs="宋体"/>
                <w:color w:val="000000"/>
                <w:kern w:val="0"/>
                <w:szCs w:val="21"/>
              </w:rPr>
              <w:t>～</w:t>
            </w:r>
            <w:r>
              <w:rPr>
                <w:rFonts w:ascii="宋体" w:hAnsi="宋体" w:cs="宋体"/>
                <w:color w:val="000000"/>
                <w:kern w:val="0"/>
                <w:szCs w:val="21"/>
              </w:rPr>
              <w:t>150m</w:t>
            </w:r>
            <w:r>
              <w:rPr>
                <w:rFonts w:hint="eastAsia" w:ascii="宋体" w:hAnsi="宋体" w:cs="宋体"/>
                <w:color w:val="000000"/>
                <w:kern w:val="0"/>
                <w:szCs w:val="21"/>
              </w:rPr>
              <w:t>左右设一个排水器，一般设在补偿器上游一侧；当煤气管道采用有坡度敷设时，应每隔</w:t>
            </w:r>
            <w:r>
              <w:rPr>
                <w:rFonts w:ascii="宋体" w:hAnsi="宋体" w:cs="宋体"/>
                <w:color w:val="000000"/>
                <w:kern w:val="0"/>
                <w:szCs w:val="21"/>
              </w:rPr>
              <w:t>200m</w:t>
            </w:r>
            <w:r>
              <w:rPr>
                <w:rFonts w:hint="eastAsia" w:ascii="宋体" w:hAnsi="宋体" w:cs="宋体"/>
                <w:color w:val="000000"/>
                <w:kern w:val="0"/>
                <w:szCs w:val="21"/>
              </w:rPr>
              <w:t>～</w:t>
            </w:r>
            <w:r>
              <w:rPr>
                <w:rFonts w:ascii="宋体" w:hAnsi="宋体" w:cs="宋体"/>
                <w:color w:val="000000"/>
                <w:kern w:val="0"/>
                <w:szCs w:val="21"/>
              </w:rPr>
              <w:t>250m</w:t>
            </w:r>
            <w:r>
              <w:rPr>
                <w:rFonts w:hint="eastAsia" w:ascii="宋体" w:hAnsi="宋体" w:cs="宋体"/>
                <w:color w:val="000000"/>
                <w:kern w:val="0"/>
                <w:szCs w:val="21"/>
              </w:rPr>
              <w:t>左右设一个，应设在最低点。在煤气管道的低点、可能积存冷凝水处应补设排水器；</w:t>
            </w:r>
          </w:p>
          <w:p>
            <w:pPr>
              <w:autoSpaceDE w:val="0"/>
              <w:autoSpaceDN w:val="0"/>
              <w:adjustRightInd w:val="0"/>
              <w:spacing w:line="240" w:lineRule="exact"/>
              <w:jc w:val="left"/>
              <w:rPr>
                <w:rFonts w:ascii="宋体" w:cs="宋体"/>
                <w:color w:val="000000"/>
                <w:kern w:val="0"/>
                <w:szCs w:val="21"/>
              </w:rPr>
            </w:pPr>
            <w:r>
              <w:rPr>
                <w:rFonts w:ascii="宋体" w:hAnsi="宋体" w:cs="宋体"/>
                <w:color w:val="000000"/>
                <w:kern w:val="0"/>
                <w:szCs w:val="21"/>
              </w:rPr>
              <w:t>6.</w:t>
            </w:r>
            <w:r>
              <w:rPr>
                <w:rFonts w:hint="eastAsia" w:ascii="宋体" w:hAnsi="宋体" w:cs="宋体"/>
                <w:color w:val="000000"/>
                <w:kern w:val="0"/>
                <w:szCs w:val="21"/>
              </w:rPr>
              <w:t>煤气管道变径宜采用同底变径管，管路中的低点、阀门、孔板及用户之前宜设置排水器；</w:t>
            </w:r>
          </w:p>
          <w:p>
            <w:pPr>
              <w:autoSpaceDE w:val="0"/>
              <w:autoSpaceDN w:val="0"/>
              <w:adjustRightInd w:val="0"/>
              <w:spacing w:line="240" w:lineRule="exact"/>
              <w:jc w:val="left"/>
              <w:rPr>
                <w:rFonts w:ascii="宋体" w:cs="宋体"/>
                <w:color w:val="000000"/>
                <w:kern w:val="0"/>
                <w:szCs w:val="21"/>
              </w:rPr>
            </w:pPr>
            <w:r>
              <w:rPr>
                <w:rFonts w:ascii="宋体" w:hAnsi="宋体" w:cs="宋体"/>
                <w:color w:val="000000"/>
                <w:kern w:val="0"/>
                <w:szCs w:val="21"/>
              </w:rPr>
              <w:t>7.</w:t>
            </w:r>
            <w:r>
              <w:rPr>
                <w:rFonts w:hint="eastAsia" w:ascii="宋体" w:hAnsi="宋体" w:cs="宋体"/>
                <w:color w:val="000000"/>
                <w:kern w:val="0"/>
                <w:szCs w:val="21"/>
              </w:rPr>
              <w:t>排水器连接管与煤气主管应采用漏斗连接方式，禁止将连接管直接插入煤气主管道焊接；</w:t>
            </w:r>
          </w:p>
          <w:p>
            <w:pPr>
              <w:autoSpaceDE w:val="0"/>
              <w:autoSpaceDN w:val="0"/>
              <w:adjustRightInd w:val="0"/>
              <w:spacing w:line="240" w:lineRule="exact"/>
              <w:jc w:val="left"/>
              <w:rPr>
                <w:rFonts w:ascii="宋体" w:cs="宋体"/>
                <w:color w:val="000000"/>
                <w:kern w:val="0"/>
                <w:szCs w:val="21"/>
              </w:rPr>
            </w:pPr>
            <w:r>
              <w:rPr>
                <w:rFonts w:ascii="宋体" w:hAnsi="宋体" w:cs="宋体"/>
                <w:color w:val="000000"/>
                <w:kern w:val="0"/>
                <w:szCs w:val="21"/>
              </w:rPr>
              <w:t>8.</w:t>
            </w:r>
            <w:r>
              <w:rPr>
                <w:rFonts w:hint="eastAsia" w:ascii="宋体" w:hAnsi="宋体" w:cs="宋体"/>
                <w:color w:val="000000"/>
                <w:kern w:val="0"/>
                <w:szCs w:val="21"/>
              </w:rPr>
              <w:t>煤气主管与水封排水器之间的连接管上应安装上、下两道阀门，宜采用开度阀，上阀门作为检修、应急阀门，应尽量垂直设置在煤气管道的底部，与管底的距离应考虑阀门检修更换空间，下阀门作为切断煤气阀门，连接管上的煤气阀门尽量垂直安装避免水平安装。阀门宜设置操作平台和爬梯；</w:t>
            </w:r>
          </w:p>
          <w:p>
            <w:pPr>
              <w:tabs>
                <w:tab w:val="left" w:pos="675"/>
              </w:tabs>
              <w:spacing w:line="240" w:lineRule="exact"/>
              <w:jc w:val="left"/>
              <w:rPr>
                <w:rFonts w:ascii="宋体" w:cs="宋体"/>
                <w:color w:val="000000"/>
                <w:kern w:val="0"/>
                <w:szCs w:val="21"/>
              </w:rPr>
            </w:pPr>
            <w:r>
              <w:rPr>
                <w:rFonts w:ascii="宋体" w:hAnsi="宋体" w:cs="宋体"/>
                <w:color w:val="000000"/>
                <w:kern w:val="0"/>
                <w:szCs w:val="21"/>
              </w:rPr>
              <w:t>9.</w:t>
            </w:r>
            <w:r>
              <w:rPr>
                <w:rFonts w:hint="eastAsia" w:ascii="宋体" w:hAnsi="宋体" w:cs="宋体"/>
                <w:color w:val="000000"/>
                <w:kern w:val="0"/>
                <w:szCs w:val="21"/>
              </w:rPr>
              <w:t>在连接管上两道阀门之间靠近排水器阀门上方</w:t>
            </w:r>
            <w:r>
              <w:rPr>
                <w:rFonts w:ascii="宋体" w:hAnsi="宋体" w:cs="宋体"/>
                <w:color w:val="000000"/>
                <w:kern w:val="0"/>
                <w:szCs w:val="21"/>
              </w:rPr>
              <w:t>100m~200mm</w:t>
            </w:r>
            <w:r>
              <w:rPr>
                <w:rFonts w:hint="eastAsia" w:ascii="宋体" w:hAnsi="宋体" w:cs="宋体"/>
                <w:color w:val="000000"/>
                <w:kern w:val="0"/>
                <w:szCs w:val="21"/>
              </w:rPr>
              <w:t>设立一个检验口，以便检测排水器连接管是否堵塞；</w:t>
            </w:r>
          </w:p>
          <w:p>
            <w:pPr>
              <w:pStyle w:val="14"/>
              <w:spacing w:line="240" w:lineRule="exact"/>
              <w:rPr>
                <w:rFonts w:hAnsi="宋体"/>
                <w:sz w:val="21"/>
                <w:szCs w:val="21"/>
              </w:rPr>
            </w:pPr>
            <w:r>
              <w:rPr>
                <w:rFonts w:hAnsi="宋体"/>
                <w:sz w:val="21"/>
                <w:szCs w:val="21"/>
              </w:rPr>
              <w:t>10.</w:t>
            </w:r>
            <w:r>
              <w:rPr>
                <w:rFonts w:hint="eastAsia" w:hAnsi="宋体"/>
                <w:sz w:val="21"/>
                <w:szCs w:val="21"/>
              </w:rPr>
              <w:t>煤气排水器应单独设置，不应共用。不同的煤气管道或同一条煤气管道隔断装置的两侧，其排水器应分别设置，不应将两个或多个排水器上部的连接管连通；</w:t>
            </w:r>
          </w:p>
          <w:p>
            <w:pPr>
              <w:pStyle w:val="14"/>
              <w:spacing w:line="240" w:lineRule="exact"/>
              <w:rPr>
                <w:rFonts w:hAnsi="宋体"/>
                <w:sz w:val="21"/>
                <w:szCs w:val="21"/>
              </w:rPr>
            </w:pPr>
            <w:r>
              <w:rPr>
                <w:rFonts w:hAnsi="宋体"/>
                <w:sz w:val="21"/>
                <w:szCs w:val="21"/>
              </w:rPr>
              <w:t>11.</w:t>
            </w:r>
            <w:r>
              <w:rPr>
                <w:rFonts w:hint="eastAsia" w:hAnsi="宋体"/>
                <w:sz w:val="21"/>
                <w:szCs w:val="21"/>
              </w:rPr>
              <w:t>排水器设置在地下室时，室内应安装防爆型通风机，设置固定式煤气检测报警装置。人员进入时，应开启风机并保持通风良好，并携带便携式煤气检测报警装置；</w:t>
            </w:r>
          </w:p>
          <w:p>
            <w:pPr>
              <w:pStyle w:val="14"/>
              <w:spacing w:line="240" w:lineRule="exact"/>
              <w:rPr>
                <w:rFonts w:hAnsi="宋体"/>
                <w:sz w:val="21"/>
                <w:szCs w:val="21"/>
              </w:rPr>
            </w:pPr>
            <w:r>
              <w:rPr>
                <w:rFonts w:hAnsi="宋体"/>
                <w:sz w:val="21"/>
                <w:szCs w:val="21"/>
              </w:rPr>
              <w:t>12.</w:t>
            </w:r>
            <w:r>
              <w:rPr>
                <w:rFonts w:hint="eastAsia" w:hAnsi="宋体"/>
                <w:sz w:val="21"/>
                <w:szCs w:val="21"/>
              </w:rPr>
              <w:t>设置在地坑内的排水器的筒体和管道应采取防腐措施，并定期抽排坑内的积水；</w:t>
            </w:r>
          </w:p>
          <w:p>
            <w:pPr>
              <w:tabs>
                <w:tab w:val="left" w:pos="675"/>
              </w:tabs>
              <w:spacing w:line="240" w:lineRule="exact"/>
              <w:jc w:val="left"/>
              <w:rPr>
                <w:rFonts w:ascii="宋体" w:cs="宋体"/>
                <w:szCs w:val="21"/>
              </w:rPr>
            </w:pPr>
            <w:r>
              <w:rPr>
                <w:rFonts w:ascii="宋体" w:hAnsi="宋体" w:cs="宋体"/>
                <w:szCs w:val="21"/>
              </w:rPr>
              <w:t>13.</w:t>
            </w:r>
            <w:r>
              <w:rPr>
                <w:rFonts w:hint="eastAsia" w:ascii="宋体" w:hAnsi="宋体" w:cs="宋体"/>
                <w:szCs w:val="21"/>
              </w:rPr>
              <w:t>排水器应设置在不易遭受高温辐射的地方，煤气排水器上应有醒目的安全警示标志，编号进行管理。</w:t>
            </w:r>
          </w:p>
          <w:p>
            <w:pPr>
              <w:tabs>
                <w:tab w:val="left" w:pos="675"/>
              </w:tabs>
              <w:spacing w:line="240" w:lineRule="exact"/>
              <w:jc w:val="left"/>
              <w:rPr>
                <w:rFonts w:ascii="宋体" w:cs="宋体"/>
                <w:bCs/>
                <w:szCs w:val="21"/>
              </w:rPr>
            </w:pPr>
            <w:r>
              <w:rPr>
                <w:rFonts w:ascii="宋体" w:hAnsi="宋体" w:cs="宋体"/>
                <w:szCs w:val="21"/>
              </w:rPr>
              <w:t>14.</w:t>
            </w:r>
            <w:r>
              <w:rPr>
                <w:rFonts w:hint="eastAsia" w:ascii="宋体" w:hAnsi="宋体" w:cs="宋体"/>
                <w:szCs w:val="21"/>
              </w:rPr>
              <w:t>煤气排水器水封高度检验每年至少进行一次，并记录台帐。</w:t>
            </w:r>
          </w:p>
        </w:tc>
        <w:tc>
          <w:tcPr>
            <w:tcW w:w="1817" w:type="dxa"/>
            <w:vAlign w:val="center"/>
          </w:tcPr>
          <w:p>
            <w:pPr>
              <w:tabs>
                <w:tab w:val="left" w:pos="675"/>
              </w:tabs>
              <w:spacing w:line="240" w:lineRule="exact"/>
              <w:jc w:val="left"/>
              <w:rPr>
                <w:rFonts w:ascii="宋体" w:cs="宋体"/>
                <w:szCs w:val="21"/>
              </w:rPr>
            </w:pPr>
            <w:r>
              <w:rPr>
                <w:rFonts w:ascii="宋体" w:hAnsi="宋体" w:cs="宋体"/>
                <w:szCs w:val="21"/>
              </w:rPr>
              <w:t>1.</w:t>
            </w:r>
            <w:r>
              <w:rPr>
                <w:rFonts w:hint="eastAsia" w:ascii="宋体" w:hAnsi="宋体" w:cs="宋体"/>
                <w:szCs w:val="21"/>
              </w:rPr>
              <w:t>查阅企业煤气水封和排水器清单；</w:t>
            </w:r>
          </w:p>
          <w:p>
            <w:pPr>
              <w:tabs>
                <w:tab w:val="left" w:pos="675"/>
              </w:tabs>
              <w:spacing w:line="240" w:lineRule="exact"/>
              <w:jc w:val="left"/>
              <w:rPr>
                <w:rFonts w:ascii="宋体" w:cs="宋体"/>
                <w:szCs w:val="21"/>
              </w:rPr>
            </w:pPr>
            <w:r>
              <w:rPr>
                <w:rFonts w:ascii="宋体" w:hAnsi="宋体" w:cs="宋体"/>
                <w:szCs w:val="21"/>
              </w:rPr>
              <w:t>2.</w:t>
            </w:r>
            <w:r>
              <w:rPr>
                <w:rFonts w:hint="eastAsia" w:ascii="宋体" w:hAnsi="宋体" w:cs="宋体"/>
                <w:szCs w:val="21"/>
              </w:rPr>
              <w:t>查阅企业煤气水封和排水器安全管理、维护保养相关资料；</w:t>
            </w:r>
          </w:p>
          <w:p>
            <w:pPr>
              <w:tabs>
                <w:tab w:val="left" w:pos="675"/>
              </w:tabs>
              <w:spacing w:line="240" w:lineRule="exact"/>
              <w:jc w:val="left"/>
              <w:rPr>
                <w:rFonts w:ascii="宋体" w:cs="宋体"/>
                <w:szCs w:val="21"/>
              </w:rPr>
            </w:pPr>
            <w:r>
              <w:rPr>
                <w:rFonts w:ascii="宋体" w:hAnsi="宋体" w:cs="宋体"/>
                <w:szCs w:val="21"/>
              </w:rPr>
              <w:t>3.</w:t>
            </w:r>
            <w:r>
              <w:rPr>
                <w:rFonts w:hint="eastAsia" w:ascii="宋体" w:hAnsi="宋体" w:cs="宋体"/>
                <w:szCs w:val="21"/>
              </w:rPr>
              <w:t>查阅水封操作记录。</w:t>
            </w:r>
          </w:p>
        </w:tc>
        <w:tc>
          <w:tcPr>
            <w:tcW w:w="1222" w:type="dxa"/>
            <w:vAlign w:val="center"/>
          </w:tcPr>
          <w:p>
            <w:pPr>
              <w:tabs>
                <w:tab w:val="left" w:pos="675"/>
              </w:tabs>
              <w:spacing w:line="240" w:lineRule="exact"/>
              <w:jc w:val="left"/>
              <w:rPr>
                <w:rFonts w:ascii="宋体" w:cs="宋体"/>
                <w:szCs w:val="21"/>
              </w:rPr>
            </w:pPr>
          </w:p>
        </w:tc>
        <w:tc>
          <w:tcPr>
            <w:tcW w:w="1346" w:type="dxa"/>
            <w:vAlign w:val="center"/>
          </w:tcPr>
          <w:p>
            <w:pPr>
              <w:tabs>
                <w:tab w:val="left" w:pos="675"/>
              </w:tabs>
              <w:spacing w:line="240" w:lineRule="exact"/>
              <w:jc w:val="left"/>
              <w:rPr>
                <w:rFonts w:ascii="宋体" w:cs="宋体"/>
                <w:szCs w:val="21"/>
              </w:rPr>
            </w:pPr>
            <w:r>
              <w:rPr>
                <w:rFonts w:ascii="宋体" w:hAnsi="宋体" w:cs="宋体"/>
                <w:szCs w:val="21"/>
              </w:rPr>
              <w:t>1.</w:t>
            </w:r>
            <w:r>
              <w:rPr>
                <w:rFonts w:hint="eastAsia" w:ascii="宋体" w:hAnsi="宋体" w:cs="宋体"/>
                <w:szCs w:val="21"/>
              </w:rPr>
              <w:t>核查企业煤气水封的设置、水封高度、给（加）水装置。</w:t>
            </w:r>
          </w:p>
          <w:p>
            <w:pPr>
              <w:tabs>
                <w:tab w:val="left" w:pos="675"/>
              </w:tabs>
              <w:spacing w:line="240" w:lineRule="exact"/>
              <w:jc w:val="left"/>
              <w:rPr>
                <w:rFonts w:ascii="宋体" w:cs="宋体"/>
                <w:szCs w:val="21"/>
              </w:rPr>
            </w:pPr>
            <w:r>
              <w:rPr>
                <w:rFonts w:ascii="宋体" w:hAnsi="宋体" w:cs="宋体"/>
                <w:szCs w:val="21"/>
              </w:rPr>
              <w:t>2.</w:t>
            </w:r>
            <w:r>
              <w:rPr>
                <w:rFonts w:hint="eastAsia" w:ascii="宋体" w:hAnsi="宋体" w:cs="宋体"/>
                <w:szCs w:val="21"/>
              </w:rPr>
              <w:t>重点检查工作状态的“</w:t>
            </w:r>
            <w:r>
              <w:rPr>
                <w:rFonts w:ascii="宋体" w:hAnsi="宋体" w:cs="宋体"/>
                <w:szCs w:val="21"/>
              </w:rPr>
              <w:t>U</w:t>
            </w:r>
            <w:r>
              <w:rPr>
                <w:rFonts w:hint="eastAsia" w:ascii="宋体" w:hAnsi="宋体" w:cs="宋体"/>
                <w:szCs w:val="21"/>
              </w:rPr>
              <w:t>”型水封是否满足相关安全要求，尤其是其水位保持装置的可靠性、有效性。</w:t>
            </w:r>
          </w:p>
        </w:tc>
        <w:tc>
          <w:tcPr>
            <w:tcW w:w="1222" w:type="dxa"/>
            <w:vAlign w:val="center"/>
          </w:tcPr>
          <w:p>
            <w:pPr>
              <w:tabs>
                <w:tab w:val="left" w:pos="675"/>
              </w:tabs>
              <w:spacing w:line="240" w:lineRule="exact"/>
              <w:jc w:val="left"/>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1914" w:type="dxa"/>
            <w:gridSpan w:val="5"/>
            <w:vAlign w:val="center"/>
          </w:tcPr>
          <w:p>
            <w:pPr>
              <w:tabs>
                <w:tab w:val="left" w:pos="675"/>
              </w:tabs>
              <w:spacing w:line="240" w:lineRule="exact"/>
              <w:jc w:val="left"/>
              <w:rPr>
                <w:rFonts w:ascii="宋体" w:cs="宋体"/>
                <w:szCs w:val="21"/>
              </w:rPr>
            </w:pPr>
            <w:r>
              <w:rPr>
                <w:rFonts w:hint="eastAsia" w:ascii="宋体" w:hAnsi="宋体" w:cs="宋体"/>
                <w:szCs w:val="21"/>
              </w:rPr>
              <w:t>（三）煤气作业</w:t>
            </w:r>
          </w:p>
        </w:tc>
        <w:tc>
          <w:tcPr>
            <w:tcW w:w="1346" w:type="dxa"/>
            <w:vAlign w:val="center"/>
          </w:tcPr>
          <w:p>
            <w:pPr>
              <w:tabs>
                <w:tab w:val="left" w:pos="675"/>
              </w:tabs>
              <w:spacing w:line="240" w:lineRule="exact"/>
              <w:jc w:val="left"/>
              <w:rPr>
                <w:rFonts w:ascii="宋体" w:cs="宋体"/>
                <w:szCs w:val="21"/>
              </w:rPr>
            </w:pPr>
          </w:p>
        </w:tc>
        <w:tc>
          <w:tcPr>
            <w:tcW w:w="1222" w:type="dxa"/>
            <w:vAlign w:val="center"/>
          </w:tcPr>
          <w:p>
            <w:pPr>
              <w:tabs>
                <w:tab w:val="left" w:pos="675"/>
              </w:tabs>
              <w:spacing w:line="240" w:lineRule="exact"/>
              <w:jc w:val="left"/>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39" w:hRule="atLeast"/>
          <w:jc w:val="center"/>
        </w:trPr>
        <w:tc>
          <w:tcPr>
            <w:tcW w:w="654" w:type="dxa"/>
            <w:vAlign w:val="center"/>
          </w:tcPr>
          <w:p>
            <w:pPr>
              <w:tabs>
                <w:tab w:val="left" w:pos="675"/>
              </w:tabs>
              <w:spacing w:line="240" w:lineRule="exact"/>
              <w:jc w:val="center"/>
              <w:rPr>
                <w:rFonts w:ascii="宋体" w:cs="宋体"/>
                <w:b/>
                <w:sz w:val="20"/>
                <w:szCs w:val="20"/>
              </w:rPr>
            </w:pPr>
            <w:r>
              <w:rPr>
                <w:rFonts w:ascii="宋体" w:hAnsi="宋体" w:cs="宋体"/>
                <w:b/>
                <w:sz w:val="20"/>
                <w:szCs w:val="20"/>
              </w:rPr>
              <w:t>1</w:t>
            </w:r>
          </w:p>
        </w:tc>
        <w:tc>
          <w:tcPr>
            <w:tcW w:w="1381" w:type="dxa"/>
            <w:vAlign w:val="center"/>
          </w:tcPr>
          <w:p>
            <w:pPr>
              <w:tabs>
                <w:tab w:val="left" w:pos="675"/>
              </w:tabs>
              <w:spacing w:line="240" w:lineRule="exact"/>
              <w:jc w:val="left"/>
              <w:rPr>
                <w:rFonts w:ascii="宋体" w:cs="宋体"/>
                <w:bCs/>
                <w:szCs w:val="21"/>
              </w:rPr>
            </w:pPr>
            <w:r>
              <w:rPr>
                <w:rFonts w:hint="eastAsia" w:ascii="宋体" w:hAnsi="宋体" w:cs="宋体"/>
                <w:bCs/>
                <w:szCs w:val="21"/>
              </w:rPr>
              <w:t>煤气点火作业程序不符合标准要求。</w:t>
            </w:r>
          </w:p>
        </w:tc>
        <w:tc>
          <w:tcPr>
            <w:tcW w:w="6840" w:type="dxa"/>
            <w:vAlign w:val="center"/>
          </w:tcPr>
          <w:p>
            <w:pPr>
              <w:tabs>
                <w:tab w:val="left" w:pos="675"/>
              </w:tabs>
              <w:spacing w:line="240" w:lineRule="exact"/>
              <w:jc w:val="left"/>
              <w:rPr>
                <w:rFonts w:ascii="宋体" w:cs="宋体"/>
                <w:bCs/>
                <w:szCs w:val="21"/>
              </w:rPr>
            </w:pPr>
            <w:r>
              <w:rPr>
                <w:rFonts w:hint="eastAsia" w:ascii="宋体" w:hAnsi="宋体" w:cs="宋体"/>
                <w:bCs/>
                <w:szCs w:val="21"/>
              </w:rPr>
              <w:t>制定点火流程，且满足：</w:t>
            </w:r>
          </w:p>
          <w:p>
            <w:pPr>
              <w:tabs>
                <w:tab w:val="left" w:pos="675"/>
              </w:tabs>
              <w:spacing w:line="240" w:lineRule="exact"/>
              <w:jc w:val="left"/>
              <w:rPr>
                <w:rFonts w:ascii="宋体" w:cs="宋体"/>
                <w:b/>
                <w:bCs/>
                <w:szCs w:val="21"/>
              </w:rPr>
            </w:pPr>
            <w:r>
              <w:rPr>
                <w:rFonts w:ascii="宋体" w:hAnsi="宋体" w:cs="宋体"/>
                <w:b/>
                <w:bCs/>
                <w:szCs w:val="21"/>
              </w:rPr>
              <w:t>1.</w:t>
            </w:r>
            <w:r>
              <w:rPr>
                <w:rFonts w:hint="eastAsia" w:ascii="宋体" w:hAnsi="宋体" w:cs="宋体"/>
                <w:szCs w:val="21"/>
              </w:rPr>
              <w:t>炉子点火时，炉内燃烧系统应具有一定的负压，点火程序必须是</w:t>
            </w:r>
            <w:r>
              <w:rPr>
                <w:rFonts w:hint="eastAsia" w:ascii="宋体" w:hAnsi="宋体" w:cs="宋体"/>
                <w:b/>
                <w:bCs/>
                <w:szCs w:val="21"/>
              </w:rPr>
              <w:t>先点燃火种后给煤气，不应先给煤气后点火</w:t>
            </w:r>
            <w:r>
              <w:rPr>
                <w:rFonts w:hint="eastAsia" w:ascii="宋体" w:hAnsi="宋体" w:cs="宋体"/>
                <w:szCs w:val="21"/>
              </w:rPr>
              <w:t>。凡送煤气前已烘炉的炉子，其炉膛温度超过</w:t>
            </w:r>
            <w:r>
              <w:rPr>
                <w:rFonts w:ascii="宋体" w:hAnsi="宋体" w:cs="宋体"/>
                <w:szCs w:val="21"/>
              </w:rPr>
              <w:t>1073K</w:t>
            </w:r>
            <w:r>
              <w:rPr>
                <w:rFonts w:hint="eastAsia" w:ascii="宋体" w:hAnsi="宋体" w:cs="宋体"/>
                <w:szCs w:val="21"/>
              </w:rPr>
              <w:t>（</w:t>
            </w:r>
            <w:r>
              <w:rPr>
                <w:rFonts w:ascii="宋体" w:hAnsi="宋体" w:cs="宋体"/>
                <w:szCs w:val="21"/>
              </w:rPr>
              <w:t>800</w:t>
            </w:r>
            <w:r>
              <w:rPr>
                <w:rFonts w:hint="eastAsia" w:ascii="宋体" w:hAnsi="宋体" w:cs="宋体"/>
                <w:szCs w:val="21"/>
              </w:rPr>
              <w:t>℃）时，可不点火直接送煤气，但应严密监视其是否燃烧；</w:t>
            </w:r>
          </w:p>
          <w:p>
            <w:pPr>
              <w:tabs>
                <w:tab w:val="left" w:pos="675"/>
              </w:tabs>
              <w:spacing w:line="240" w:lineRule="exact"/>
              <w:jc w:val="left"/>
              <w:rPr>
                <w:rFonts w:ascii="宋体" w:cs="宋体"/>
                <w:b/>
                <w:bCs/>
                <w:szCs w:val="21"/>
              </w:rPr>
            </w:pPr>
            <w:r>
              <w:rPr>
                <w:rFonts w:ascii="宋体" w:hAnsi="宋体" w:cs="宋体"/>
                <w:b/>
                <w:bCs/>
                <w:szCs w:val="21"/>
              </w:rPr>
              <w:t>2.</w:t>
            </w:r>
            <w:r>
              <w:rPr>
                <w:rFonts w:hint="eastAsia" w:ascii="宋体" w:hAnsi="宋体" w:cs="宋体"/>
                <w:szCs w:val="21"/>
              </w:rPr>
              <w:t>送煤气时不着火或者着火后又熄灭，应立即关闭煤气阀门，查清原因，必须排净炉内混合气体并检测合格后，再按规定程序重新点火；</w:t>
            </w:r>
          </w:p>
          <w:p>
            <w:pPr>
              <w:tabs>
                <w:tab w:val="left" w:pos="675"/>
              </w:tabs>
              <w:spacing w:line="240" w:lineRule="exact"/>
              <w:jc w:val="left"/>
              <w:rPr>
                <w:rFonts w:ascii="宋体" w:cs="宋体"/>
                <w:bCs/>
                <w:szCs w:val="21"/>
              </w:rPr>
            </w:pPr>
            <w:r>
              <w:rPr>
                <w:rFonts w:ascii="宋体" w:hAnsi="宋体" w:cs="宋体"/>
                <w:b/>
                <w:bCs/>
                <w:szCs w:val="21"/>
              </w:rPr>
              <w:t>3.</w:t>
            </w:r>
            <w:r>
              <w:rPr>
                <w:rFonts w:hint="eastAsia" w:ascii="宋体" w:hAnsi="宋体" w:cs="宋体"/>
                <w:szCs w:val="21"/>
              </w:rPr>
              <w:t>凡强制送风的炉子，点火时应先开鼓风机但不送风，待点火送煤气燃着后，再逐步增大供风量和煤气量，停煤气时，应先关闭所有的烧嘴，然后停鼓风机。</w:t>
            </w:r>
          </w:p>
        </w:tc>
        <w:tc>
          <w:tcPr>
            <w:tcW w:w="1817" w:type="dxa"/>
            <w:vAlign w:val="center"/>
          </w:tcPr>
          <w:p>
            <w:pPr>
              <w:tabs>
                <w:tab w:val="left" w:pos="675"/>
              </w:tabs>
              <w:spacing w:line="240" w:lineRule="exact"/>
              <w:jc w:val="left"/>
              <w:rPr>
                <w:rFonts w:ascii="宋体" w:cs="宋体"/>
                <w:szCs w:val="21"/>
              </w:rPr>
            </w:pPr>
            <w:r>
              <w:rPr>
                <w:rFonts w:ascii="宋体" w:hAnsi="宋体" w:cs="宋体"/>
                <w:szCs w:val="21"/>
              </w:rPr>
              <w:t>1.</w:t>
            </w:r>
            <w:r>
              <w:rPr>
                <w:rFonts w:hint="eastAsia" w:ascii="宋体" w:hAnsi="宋体" w:cs="宋体"/>
                <w:szCs w:val="21"/>
              </w:rPr>
              <w:t>查阅企业煤气点火作业制度；</w:t>
            </w:r>
          </w:p>
          <w:p>
            <w:pPr>
              <w:tabs>
                <w:tab w:val="left" w:pos="675"/>
              </w:tabs>
              <w:spacing w:line="240" w:lineRule="exact"/>
              <w:jc w:val="left"/>
              <w:rPr>
                <w:rFonts w:ascii="宋体" w:cs="宋体"/>
                <w:szCs w:val="21"/>
              </w:rPr>
            </w:pPr>
            <w:r>
              <w:rPr>
                <w:rFonts w:ascii="宋体" w:hAnsi="宋体" w:cs="宋体"/>
                <w:szCs w:val="21"/>
              </w:rPr>
              <w:t>2.</w:t>
            </w:r>
            <w:r>
              <w:rPr>
                <w:rFonts w:hint="eastAsia" w:ascii="宋体" w:hAnsi="宋体" w:cs="宋体"/>
                <w:szCs w:val="21"/>
              </w:rPr>
              <w:t>查阅企业点火作业审批及作业台账资料；</w:t>
            </w:r>
          </w:p>
          <w:p>
            <w:pPr>
              <w:tabs>
                <w:tab w:val="left" w:pos="675"/>
              </w:tabs>
              <w:spacing w:line="240" w:lineRule="exact"/>
              <w:jc w:val="left"/>
              <w:rPr>
                <w:rFonts w:ascii="宋体" w:cs="宋体"/>
                <w:szCs w:val="21"/>
              </w:rPr>
            </w:pPr>
            <w:r>
              <w:rPr>
                <w:rFonts w:ascii="宋体" w:hAnsi="宋体" w:cs="宋体"/>
                <w:szCs w:val="21"/>
              </w:rPr>
              <w:t>3.</w:t>
            </w:r>
            <w:r>
              <w:rPr>
                <w:rFonts w:hint="eastAsia" w:ascii="宋体" w:hAnsi="宋体" w:cs="宋体"/>
                <w:szCs w:val="21"/>
              </w:rPr>
              <w:t>查阅相关作业人员特种作业资质证书。</w:t>
            </w:r>
          </w:p>
        </w:tc>
        <w:tc>
          <w:tcPr>
            <w:tcW w:w="1222" w:type="dxa"/>
            <w:vAlign w:val="center"/>
          </w:tcPr>
          <w:p>
            <w:pPr>
              <w:tabs>
                <w:tab w:val="left" w:pos="675"/>
              </w:tabs>
              <w:spacing w:line="240" w:lineRule="exact"/>
              <w:jc w:val="left"/>
              <w:rPr>
                <w:rFonts w:ascii="宋体" w:cs="宋体"/>
                <w:szCs w:val="21"/>
              </w:rPr>
            </w:pPr>
          </w:p>
        </w:tc>
        <w:tc>
          <w:tcPr>
            <w:tcW w:w="1346" w:type="dxa"/>
            <w:vAlign w:val="center"/>
          </w:tcPr>
          <w:p>
            <w:pPr>
              <w:tabs>
                <w:tab w:val="left" w:pos="675"/>
              </w:tabs>
              <w:spacing w:line="240" w:lineRule="exact"/>
              <w:jc w:val="left"/>
              <w:rPr>
                <w:rFonts w:ascii="宋体" w:cs="宋体"/>
                <w:szCs w:val="21"/>
              </w:rPr>
            </w:pPr>
            <w:r>
              <w:rPr>
                <w:rFonts w:ascii="宋体" w:hAnsi="宋体" w:cs="宋体"/>
                <w:szCs w:val="21"/>
              </w:rPr>
              <w:t>1.</w:t>
            </w:r>
            <w:r>
              <w:rPr>
                <w:rFonts w:hint="eastAsia" w:ascii="宋体" w:hAnsi="宋体" w:cs="宋体"/>
                <w:szCs w:val="21"/>
              </w:rPr>
              <w:t>核查企业煤气点火作业；</w:t>
            </w:r>
          </w:p>
          <w:p>
            <w:pPr>
              <w:tabs>
                <w:tab w:val="left" w:pos="675"/>
              </w:tabs>
              <w:spacing w:line="240" w:lineRule="exact"/>
              <w:jc w:val="left"/>
              <w:rPr>
                <w:rFonts w:ascii="宋体" w:cs="宋体"/>
                <w:szCs w:val="21"/>
              </w:rPr>
            </w:pPr>
            <w:r>
              <w:rPr>
                <w:rFonts w:ascii="宋体" w:hAnsi="宋体" w:cs="宋体"/>
                <w:szCs w:val="21"/>
              </w:rPr>
              <w:t>2.</w:t>
            </w:r>
            <w:r>
              <w:rPr>
                <w:rFonts w:hint="eastAsia" w:ascii="宋体" w:hAnsi="宋体" w:cs="宋体"/>
                <w:szCs w:val="21"/>
              </w:rPr>
              <w:t>核验相关作业人员特种作业证件情况；</w:t>
            </w:r>
          </w:p>
          <w:p>
            <w:pPr>
              <w:tabs>
                <w:tab w:val="left" w:pos="675"/>
              </w:tabs>
              <w:spacing w:line="240" w:lineRule="exact"/>
              <w:jc w:val="left"/>
              <w:rPr>
                <w:rFonts w:ascii="宋体" w:cs="宋体"/>
                <w:szCs w:val="21"/>
              </w:rPr>
            </w:pPr>
            <w:r>
              <w:rPr>
                <w:rFonts w:ascii="宋体" w:hAnsi="宋体" w:cs="宋体"/>
                <w:szCs w:val="21"/>
              </w:rPr>
              <w:t>3.</w:t>
            </w:r>
            <w:r>
              <w:rPr>
                <w:rFonts w:hint="eastAsia" w:ascii="宋体" w:hAnsi="宋体" w:cs="宋体"/>
                <w:szCs w:val="21"/>
              </w:rPr>
              <w:t>抽验现场管理人员、作业人员煤气点火作业程序、应急处置等情况。</w:t>
            </w:r>
          </w:p>
        </w:tc>
        <w:tc>
          <w:tcPr>
            <w:tcW w:w="1222" w:type="dxa"/>
            <w:vAlign w:val="center"/>
          </w:tcPr>
          <w:p>
            <w:pPr>
              <w:tabs>
                <w:tab w:val="left" w:pos="675"/>
              </w:tabs>
              <w:spacing w:line="240" w:lineRule="exact"/>
              <w:jc w:val="left"/>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851" w:hRule="atLeast"/>
          <w:jc w:val="center"/>
        </w:trPr>
        <w:tc>
          <w:tcPr>
            <w:tcW w:w="654" w:type="dxa"/>
            <w:vAlign w:val="center"/>
          </w:tcPr>
          <w:p>
            <w:pPr>
              <w:tabs>
                <w:tab w:val="left" w:pos="675"/>
              </w:tabs>
              <w:spacing w:line="240" w:lineRule="exact"/>
              <w:jc w:val="center"/>
              <w:rPr>
                <w:rFonts w:ascii="宋体" w:cs="宋体"/>
                <w:b/>
                <w:sz w:val="20"/>
                <w:szCs w:val="20"/>
              </w:rPr>
            </w:pPr>
            <w:r>
              <w:rPr>
                <w:rFonts w:ascii="宋体" w:hAnsi="宋体" w:cs="宋体"/>
                <w:b/>
                <w:sz w:val="20"/>
                <w:szCs w:val="20"/>
              </w:rPr>
              <w:t>2</w:t>
            </w:r>
          </w:p>
        </w:tc>
        <w:tc>
          <w:tcPr>
            <w:tcW w:w="1381" w:type="dxa"/>
            <w:vAlign w:val="center"/>
          </w:tcPr>
          <w:p>
            <w:pPr>
              <w:tabs>
                <w:tab w:val="left" w:pos="675"/>
              </w:tabs>
              <w:spacing w:line="240" w:lineRule="exact"/>
              <w:jc w:val="left"/>
              <w:rPr>
                <w:rFonts w:ascii="宋体" w:cs="宋体"/>
                <w:bCs/>
                <w:szCs w:val="21"/>
              </w:rPr>
            </w:pPr>
            <w:r>
              <w:rPr>
                <w:rFonts w:hint="eastAsia" w:ascii="宋体" w:hAnsi="宋体" w:cs="宋体"/>
                <w:bCs/>
                <w:szCs w:val="21"/>
              </w:rPr>
              <w:t>涉及煤气的有限空间作业，程序、氧含量、一氧化碳浓度等不符合标准要求。</w:t>
            </w:r>
          </w:p>
        </w:tc>
        <w:tc>
          <w:tcPr>
            <w:tcW w:w="6840" w:type="dxa"/>
            <w:vAlign w:val="center"/>
          </w:tcPr>
          <w:p>
            <w:pPr>
              <w:tabs>
                <w:tab w:val="left" w:pos="675"/>
              </w:tabs>
              <w:spacing w:line="240" w:lineRule="exact"/>
              <w:jc w:val="left"/>
              <w:rPr>
                <w:rFonts w:ascii="宋体" w:cs="宋体"/>
                <w:bCs/>
                <w:szCs w:val="21"/>
              </w:rPr>
            </w:pPr>
            <w:r>
              <w:rPr>
                <w:rFonts w:ascii="宋体" w:hAnsi="宋体" w:cs="宋体"/>
                <w:bCs/>
                <w:szCs w:val="21"/>
              </w:rPr>
              <w:t>1.</w:t>
            </w:r>
            <w:r>
              <w:rPr>
                <w:rFonts w:hint="eastAsia" w:ascii="宋体" w:hAnsi="宋体" w:cs="宋体"/>
                <w:bCs/>
                <w:szCs w:val="21"/>
              </w:rPr>
              <w:t>有限空间辨识、登记、更新；</w:t>
            </w:r>
          </w:p>
          <w:p>
            <w:pPr>
              <w:tabs>
                <w:tab w:val="left" w:pos="675"/>
              </w:tabs>
              <w:spacing w:line="240" w:lineRule="exact"/>
              <w:jc w:val="left"/>
              <w:rPr>
                <w:rFonts w:ascii="宋体" w:cs="宋体"/>
                <w:bCs/>
                <w:szCs w:val="21"/>
              </w:rPr>
            </w:pPr>
            <w:r>
              <w:rPr>
                <w:rFonts w:ascii="宋体" w:hAnsi="宋体" w:cs="宋体"/>
                <w:bCs/>
                <w:szCs w:val="21"/>
              </w:rPr>
              <w:t>2.</w:t>
            </w:r>
            <w:r>
              <w:rPr>
                <w:rFonts w:hint="eastAsia" w:ascii="宋体" w:hAnsi="宋体" w:cs="宋体"/>
                <w:bCs/>
                <w:szCs w:val="21"/>
              </w:rPr>
              <w:t>作业前告知；</w:t>
            </w:r>
          </w:p>
          <w:p>
            <w:pPr>
              <w:tabs>
                <w:tab w:val="left" w:pos="675"/>
              </w:tabs>
              <w:spacing w:line="240" w:lineRule="exact"/>
              <w:jc w:val="left"/>
              <w:rPr>
                <w:rFonts w:ascii="宋体" w:cs="宋体"/>
                <w:bCs/>
                <w:szCs w:val="21"/>
              </w:rPr>
            </w:pPr>
            <w:r>
              <w:rPr>
                <w:rFonts w:ascii="宋体" w:hAnsi="宋体" w:cs="宋体"/>
                <w:bCs/>
                <w:szCs w:val="21"/>
              </w:rPr>
              <w:t>3.</w:t>
            </w:r>
            <w:r>
              <w:rPr>
                <w:rFonts w:hint="eastAsia" w:ascii="宋体" w:hAnsi="宋体" w:cs="宋体"/>
                <w:bCs/>
                <w:szCs w:val="21"/>
              </w:rPr>
              <w:t>严格遵守“</w:t>
            </w:r>
            <w:r>
              <w:rPr>
                <w:rFonts w:hint="eastAsia" w:ascii="宋体" w:hAnsi="宋体" w:cs="宋体"/>
                <w:bCs/>
                <w:szCs w:val="21"/>
                <w:u w:val="single"/>
              </w:rPr>
              <w:t>先通风、再检测、后作业</w:t>
            </w:r>
            <w:r>
              <w:rPr>
                <w:rFonts w:hint="eastAsia" w:ascii="宋体" w:hAnsi="宋体" w:cs="宋体"/>
                <w:bCs/>
                <w:szCs w:val="21"/>
              </w:rPr>
              <w:t>”的原则，特别注意气体检测的位置的合理合规性，如空间较大，应分别在“上、中、下”等适合位置进行检测确认；</w:t>
            </w:r>
          </w:p>
          <w:p>
            <w:pPr>
              <w:tabs>
                <w:tab w:val="left" w:pos="675"/>
              </w:tabs>
              <w:spacing w:line="240" w:lineRule="exact"/>
              <w:rPr>
                <w:rFonts w:ascii="宋体" w:cs="宋体"/>
                <w:bCs/>
                <w:szCs w:val="21"/>
                <w:u w:val="single"/>
              </w:rPr>
            </w:pPr>
            <w:r>
              <w:rPr>
                <w:rFonts w:ascii="宋体" w:hAnsi="宋体" w:cs="宋体"/>
                <w:bCs/>
                <w:szCs w:val="21"/>
              </w:rPr>
              <w:t>4.</w:t>
            </w:r>
            <w:r>
              <w:rPr>
                <w:rFonts w:hint="eastAsia" w:ascii="宋体" w:hAnsi="宋体" w:cs="宋体"/>
                <w:bCs/>
                <w:szCs w:val="21"/>
              </w:rPr>
              <w:t>通风和检测合格，</w:t>
            </w:r>
            <w:r>
              <w:rPr>
                <w:rFonts w:hint="eastAsia" w:ascii="宋体" w:hAnsi="宋体" w:cs="宋体"/>
                <w:bCs/>
                <w:szCs w:val="21"/>
                <w:u w:val="single"/>
              </w:rPr>
              <w:t>检测的时间不得早于作业开始前</w:t>
            </w:r>
            <w:r>
              <w:rPr>
                <w:rFonts w:ascii="宋体" w:hAnsi="宋体" w:cs="宋体"/>
                <w:bCs/>
                <w:szCs w:val="21"/>
                <w:u w:val="single"/>
              </w:rPr>
              <w:t>30</w:t>
            </w:r>
            <w:r>
              <w:rPr>
                <w:rFonts w:hint="eastAsia" w:ascii="宋体" w:hAnsi="宋体" w:cs="宋体"/>
                <w:bCs/>
                <w:szCs w:val="21"/>
                <w:u w:val="single"/>
              </w:rPr>
              <w:t>分钟；</w:t>
            </w:r>
          </w:p>
          <w:p>
            <w:pPr>
              <w:tabs>
                <w:tab w:val="left" w:pos="675"/>
              </w:tabs>
              <w:spacing w:line="240" w:lineRule="exact"/>
              <w:rPr>
                <w:rFonts w:ascii="宋体" w:cs="宋体"/>
                <w:bCs/>
                <w:szCs w:val="21"/>
              </w:rPr>
            </w:pPr>
            <w:r>
              <w:rPr>
                <w:rFonts w:ascii="宋体" w:hAnsi="宋体" w:cs="宋体"/>
                <w:bCs/>
                <w:szCs w:val="21"/>
              </w:rPr>
              <w:t>5.</w:t>
            </w:r>
            <w:r>
              <w:rPr>
                <w:rFonts w:hint="eastAsia" w:ascii="宋体" w:hAnsi="宋体" w:cs="宋体"/>
                <w:bCs/>
                <w:szCs w:val="21"/>
              </w:rPr>
              <w:t>检测人员进行检测时，</w:t>
            </w:r>
            <w:r>
              <w:rPr>
                <w:rFonts w:hint="eastAsia" w:ascii="宋体" w:hAnsi="宋体" w:cs="宋体"/>
                <w:bCs/>
                <w:szCs w:val="21"/>
                <w:u w:val="single"/>
              </w:rPr>
              <w:t>应当记录</w:t>
            </w:r>
            <w:r>
              <w:rPr>
                <w:rFonts w:hint="eastAsia" w:ascii="宋体" w:hAnsi="宋体" w:cs="宋体"/>
                <w:bCs/>
                <w:szCs w:val="21"/>
              </w:rPr>
              <w:t>检测的时间、地点、气体种类、浓度等信息，检测记录经检测人员签字后存档；</w:t>
            </w:r>
          </w:p>
          <w:p>
            <w:pPr>
              <w:tabs>
                <w:tab w:val="left" w:pos="675"/>
              </w:tabs>
              <w:spacing w:line="240" w:lineRule="exact"/>
              <w:rPr>
                <w:rFonts w:ascii="宋体" w:cs="宋体"/>
                <w:bCs/>
                <w:szCs w:val="21"/>
              </w:rPr>
            </w:pPr>
            <w:r>
              <w:rPr>
                <w:rFonts w:ascii="宋体" w:hAnsi="宋体" w:cs="宋体"/>
                <w:bCs/>
                <w:szCs w:val="21"/>
              </w:rPr>
              <w:t>6.</w:t>
            </w:r>
            <w:r>
              <w:rPr>
                <w:rFonts w:hint="eastAsia" w:ascii="宋体" w:hAnsi="宋体" w:cs="宋体"/>
                <w:bCs/>
                <w:szCs w:val="21"/>
              </w:rPr>
              <w:t>在有限空间</w:t>
            </w:r>
            <w:r>
              <w:rPr>
                <w:rFonts w:hint="eastAsia" w:ascii="宋体" w:hAnsi="宋体" w:cs="宋体"/>
                <w:bCs/>
                <w:szCs w:val="21"/>
                <w:u w:val="single"/>
              </w:rPr>
              <w:t>作业过程中</w:t>
            </w:r>
            <w:r>
              <w:rPr>
                <w:rFonts w:hint="eastAsia" w:ascii="宋体" w:hAnsi="宋体" w:cs="宋体"/>
                <w:bCs/>
                <w:szCs w:val="21"/>
              </w:rPr>
              <w:t>，工贸企业应当</w:t>
            </w:r>
            <w:r>
              <w:rPr>
                <w:rFonts w:hint="eastAsia" w:ascii="宋体" w:hAnsi="宋体" w:cs="宋体"/>
                <w:bCs/>
                <w:szCs w:val="21"/>
                <w:u w:val="single"/>
              </w:rPr>
              <w:t>采取通风措施</w:t>
            </w:r>
            <w:r>
              <w:rPr>
                <w:rFonts w:hint="eastAsia" w:ascii="宋体" w:hAnsi="宋体" w:cs="宋体"/>
                <w:bCs/>
                <w:szCs w:val="21"/>
              </w:rPr>
              <w:t>，保持空气流通，禁止采用纯氧通风换气；</w:t>
            </w:r>
          </w:p>
          <w:p>
            <w:pPr>
              <w:tabs>
                <w:tab w:val="left" w:pos="675"/>
              </w:tabs>
              <w:spacing w:line="240" w:lineRule="exact"/>
              <w:rPr>
                <w:rFonts w:ascii="宋体" w:cs="宋体"/>
                <w:bCs/>
                <w:szCs w:val="21"/>
              </w:rPr>
            </w:pPr>
            <w:r>
              <w:rPr>
                <w:rFonts w:ascii="宋体" w:hAnsi="宋体" w:cs="宋体"/>
                <w:bCs/>
                <w:szCs w:val="21"/>
              </w:rPr>
              <w:t>7.</w:t>
            </w:r>
            <w:r>
              <w:rPr>
                <w:rFonts w:hint="eastAsia" w:ascii="宋体" w:hAnsi="宋体" w:cs="宋体"/>
                <w:bCs/>
                <w:szCs w:val="21"/>
              </w:rPr>
              <w:t>在有限空间</w:t>
            </w:r>
            <w:r>
              <w:rPr>
                <w:rFonts w:hint="eastAsia" w:ascii="宋体" w:hAnsi="宋体" w:cs="宋体"/>
                <w:bCs/>
                <w:szCs w:val="21"/>
                <w:u w:val="single"/>
              </w:rPr>
              <w:t>作业过程中</w:t>
            </w:r>
            <w:r>
              <w:rPr>
                <w:rFonts w:hint="eastAsia" w:ascii="宋体" w:hAnsi="宋体" w:cs="宋体"/>
                <w:bCs/>
                <w:szCs w:val="21"/>
              </w:rPr>
              <w:t>，工贸企业应当对作业场所中的危险有害因素进行定时检测或者连续监测，作业</w:t>
            </w:r>
            <w:r>
              <w:rPr>
                <w:rFonts w:hint="eastAsia" w:ascii="宋体" w:hAnsi="宋体" w:cs="宋体"/>
                <w:bCs/>
                <w:szCs w:val="21"/>
                <w:u w:val="single"/>
              </w:rPr>
              <w:t>中断超过</w:t>
            </w:r>
            <w:r>
              <w:rPr>
                <w:rFonts w:ascii="宋体" w:hAnsi="宋体" w:cs="宋体"/>
                <w:bCs/>
                <w:szCs w:val="21"/>
                <w:u w:val="single"/>
              </w:rPr>
              <w:t>30</w:t>
            </w:r>
            <w:r>
              <w:rPr>
                <w:rFonts w:hint="eastAsia" w:ascii="宋体" w:hAnsi="宋体" w:cs="宋体"/>
                <w:bCs/>
                <w:szCs w:val="21"/>
                <w:u w:val="single"/>
              </w:rPr>
              <w:t>分钟</w:t>
            </w:r>
            <w:r>
              <w:rPr>
                <w:rFonts w:hint="eastAsia" w:ascii="宋体" w:hAnsi="宋体" w:cs="宋体"/>
                <w:bCs/>
                <w:szCs w:val="21"/>
              </w:rPr>
              <w:t>，作业人员再次进入有限空间作业前，应当重新通风、检测合格后方可进入。</w:t>
            </w:r>
          </w:p>
        </w:tc>
        <w:tc>
          <w:tcPr>
            <w:tcW w:w="1817" w:type="dxa"/>
            <w:vAlign w:val="center"/>
          </w:tcPr>
          <w:p>
            <w:pPr>
              <w:tabs>
                <w:tab w:val="left" w:pos="675"/>
              </w:tabs>
              <w:spacing w:line="240" w:lineRule="exact"/>
              <w:jc w:val="left"/>
              <w:rPr>
                <w:rFonts w:ascii="宋体" w:cs="宋体"/>
                <w:szCs w:val="21"/>
              </w:rPr>
            </w:pPr>
            <w:r>
              <w:rPr>
                <w:rFonts w:ascii="宋体" w:hAnsi="宋体" w:cs="宋体"/>
                <w:szCs w:val="21"/>
              </w:rPr>
              <w:t>1.</w:t>
            </w:r>
            <w:r>
              <w:rPr>
                <w:rFonts w:hint="eastAsia" w:ascii="宋体" w:hAnsi="宋体" w:cs="宋体"/>
                <w:szCs w:val="21"/>
              </w:rPr>
              <w:t>查阅企业涉煤气有限空间作业管理制度；</w:t>
            </w:r>
          </w:p>
          <w:p>
            <w:pPr>
              <w:tabs>
                <w:tab w:val="left" w:pos="675"/>
              </w:tabs>
              <w:spacing w:line="240" w:lineRule="exact"/>
              <w:jc w:val="left"/>
              <w:rPr>
                <w:rFonts w:ascii="宋体" w:cs="宋体"/>
                <w:szCs w:val="21"/>
              </w:rPr>
            </w:pPr>
            <w:r>
              <w:rPr>
                <w:rFonts w:ascii="宋体" w:hAnsi="宋体" w:cs="宋体"/>
                <w:szCs w:val="21"/>
              </w:rPr>
              <w:t>2.</w:t>
            </w:r>
            <w:r>
              <w:rPr>
                <w:rFonts w:hint="eastAsia" w:ascii="宋体" w:hAnsi="宋体" w:cs="宋体"/>
                <w:szCs w:val="21"/>
              </w:rPr>
              <w:t>核查企业涉及煤气有限空间作业票的审批及作业情况台账资料；</w:t>
            </w:r>
          </w:p>
          <w:p>
            <w:pPr>
              <w:tabs>
                <w:tab w:val="left" w:pos="675"/>
              </w:tabs>
              <w:spacing w:line="240" w:lineRule="exact"/>
              <w:jc w:val="left"/>
              <w:rPr>
                <w:rFonts w:ascii="宋体" w:cs="宋体"/>
                <w:szCs w:val="21"/>
              </w:rPr>
            </w:pPr>
            <w:r>
              <w:rPr>
                <w:rFonts w:ascii="宋体" w:hAnsi="宋体" w:cs="宋体"/>
                <w:szCs w:val="21"/>
              </w:rPr>
              <w:t>3.</w:t>
            </w:r>
            <w:r>
              <w:rPr>
                <w:rFonts w:hint="eastAsia" w:ascii="宋体" w:hAnsi="宋体" w:cs="宋体"/>
                <w:szCs w:val="21"/>
              </w:rPr>
              <w:t>重点查阅作业前安全培训教育、安全交底、气体检测、作业前审批、作业开始前安全条件再确认、作业中气体持续监测、人员监护、作业后验收等；</w:t>
            </w:r>
          </w:p>
          <w:p>
            <w:pPr>
              <w:tabs>
                <w:tab w:val="left" w:pos="675"/>
              </w:tabs>
              <w:spacing w:line="240" w:lineRule="exact"/>
              <w:jc w:val="left"/>
              <w:rPr>
                <w:rFonts w:ascii="宋体" w:cs="宋体"/>
                <w:szCs w:val="21"/>
              </w:rPr>
            </w:pPr>
            <w:r>
              <w:rPr>
                <w:rFonts w:ascii="宋体" w:hAnsi="宋体" w:cs="宋体"/>
                <w:szCs w:val="21"/>
              </w:rPr>
              <w:t>4.</w:t>
            </w:r>
            <w:r>
              <w:rPr>
                <w:rFonts w:hint="eastAsia" w:ascii="宋体" w:hAnsi="宋体" w:cs="宋体"/>
                <w:szCs w:val="21"/>
              </w:rPr>
              <w:t>查阅应急处置方案及应急救援物资等；</w:t>
            </w:r>
          </w:p>
          <w:p>
            <w:pPr>
              <w:tabs>
                <w:tab w:val="left" w:pos="675"/>
              </w:tabs>
              <w:spacing w:line="240" w:lineRule="exact"/>
              <w:jc w:val="left"/>
              <w:rPr>
                <w:rFonts w:ascii="宋体" w:cs="宋体"/>
                <w:szCs w:val="21"/>
              </w:rPr>
            </w:pPr>
            <w:r>
              <w:rPr>
                <w:rFonts w:ascii="宋体" w:hAnsi="宋体" w:cs="宋体"/>
                <w:szCs w:val="21"/>
              </w:rPr>
              <w:t>5.</w:t>
            </w:r>
            <w:r>
              <w:rPr>
                <w:rFonts w:hint="eastAsia" w:ascii="宋体" w:hAnsi="宋体" w:cs="宋体"/>
                <w:szCs w:val="21"/>
              </w:rPr>
              <w:t>查阅特种作业台账资料。</w:t>
            </w:r>
          </w:p>
        </w:tc>
        <w:tc>
          <w:tcPr>
            <w:tcW w:w="1222" w:type="dxa"/>
            <w:vAlign w:val="center"/>
          </w:tcPr>
          <w:p>
            <w:pPr>
              <w:tabs>
                <w:tab w:val="left" w:pos="675"/>
              </w:tabs>
              <w:spacing w:line="240" w:lineRule="exact"/>
              <w:jc w:val="left"/>
              <w:rPr>
                <w:rFonts w:ascii="宋体" w:cs="宋体"/>
                <w:szCs w:val="21"/>
              </w:rPr>
            </w:pPr>
          </w:p>
        </w:tc>
        <w:tc>
          <w:tcPr>
            <w:tcW w:w="1346" w:type="dxa"/>
            <w:vAlign w:val="center"/>
          </w:tcPr>
          <w:p>
            <w:pPr>
              <w:tabs>
                <w:tab w:val="left" w:pos="675"/>
              </w:tabs>
              <w:spacing w:line="240" w:lineRule="exact"/>
              <w:jc w:val="left"/>
              <w:rPr>
                <w:rFonts w:ascii="宋体" w:cs="宋体"/>
                <w:szCs w:val="21"/>
              </w:rPr>
            </w:pPr>
            <w:r>
              <w:rPr>
                <w:rFonts w:hint="eastAsia" w:ascii="宋体" w:hAnsi="宋体" w:cs="宋体"/>
                <w:szCs w:val="21"/>
              </w:rPr>
              <w:t>本项检查以台账资料查阅为主，现场抽验管理人员和相关作业人员特种作业证、涉煤气有限空间作业的基本要点、应急处置等情况。</w:t>
            </w:r>
          </w:p>
        </w:tc>
        <w:tc>
          <w:tcPr>
            <w:tcW w:w="1222" w:type="dxa"/>
            <w:vAlign w:val="center"/>
          </w:tcPr>
          <w:p>
            <w:pPr>
              <w:tabs>
                <w:tab w:val="left" w:pos="675"/>
              </w:tabs>
              <w:spacing w:line="240" w:lineRule="exact"/>
              <w:jc w:val="left"/>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67" w:hRule="atLeast"/>
          <w:jc w:val="center"/>
        </w:trPr>
        <w:tc>
          <w:tcPr>
            <w:tcW w:w="654" w:type="dxa"/>
            <w:vAlign w:val="center"/>
          </w:tcPr>
          <w:p>
            <w:pPr>
              <w:tabs>
                <w:tab w:val="left" w:pos="675"/>
              </w:tabs>
              <w:spacing w:line="240" w:lineRule="exact"/>
              <w:jc w:val="center"/>
              <w:rPr>
                <w:rFonts w:ascii="宋体" w:cs="宋体"/>
                <w:b/>
                <w:sz w:val="20"/>
                <w:szCs w:val="20"/>
              </w:rPr>
            </w:pPr>
            <w:r>
              <w:rPr>
                <w:rFonts w:ascii="宋体" w:hAnsi="宋体" w:cs="宋体"/>
                <w:b/>
                <w:sz w:val="20"/>
                <w:szCs w:val="20"/>
              </w:rPr>
              <w:t>3</w:t>
            </w:r>
          </w:p>
        </w:tc>
        <w:tc>
          <w:tcPr>
            <w:tcW w:w="1381" w:type="dxa"/>
            <w:vAlign w:val="center"/>
          </w:tcPr>
          <w:p>
            <w:pPr>
              <w:tabs>
                <w:tab w:val="left" w:pos="675"/>
              </w:tabs>
              <w:spacing w:line="240" w:lineRule="exact"/>
              <w:jc w:val="left"/>
              <w:rPr>
                <w:rFonts w:ascii="宋体" w:cs="宋体"/>
                <w:bCs/>
                <w:szCs w:val="21"/>
              </w:rPr>
            </w:pPr>
            <w:r>
              <w:rPr>
                <w:rFonts w:hint="eastAsia" w:ascii="宋体" w:hAnsi="宋体" w:cs="宋体"/>
                <w:bCs/>
                <w:szCs w:val="21"/>
              </w:rPr>
              <w:t>带煤气作业或在煤气设备上动火没有作业方案和安全措施，未取得煤气防护站或安全主管部门的书面批准。</w:t>
            </w:r>
          </w:p>
        </w:tc>
        <w:tc>
          <w:tcPr>
            <w:tcW w:w="6840" w:type="dxa"/>
            <w:vAlign w:val="center"/>
          </w:tcPr>
          <w:p>
            <w:pPr>
              <w:pStyle w:val="14"/>
              <w:spacing w:line="240" w:lineRule="exact"/>
              <w:rPr>
                <w:rFonts w:hAnsi="宋体"/>
                <w:sz w:val="21"/>
                <w:szCs w:val="21"/>
              </w:rPr>
            </w:pPr>
            <w:r>
              <w:rPr>
                <w:rFonts w:hAnsi="宋体"/>
                <w:sz w:val="21"/>
                <w:szCs w:val="21"/>
              </w:rPr>
              <w:t>1.</w:t>
            </w:r>
            <w:r>
              <w:rPr>
                <w:rFonts w:hint="eastAsia" w:hAnsi="宋体"/>
                <w:sz w:val="21"/>
                <w:szCs w:val="21"/>
              </w:rPr>
              <w:t>煤气设施停煤气检修时，应可靠地隔断煤气来源并将内部煤气吹净，长期检修或停用的煤气设施，应打开上、下人孔、放散管等，保持设施内部自然通风。必要时，应采取强制通风；</w:t>
            </w:r>
          </w:p>
          <w:p>
            <w:pPr>
              <w:pStyle w:val="14"/>
              <w:spacing w:line="240" w:lineRule="exact"/>
              <w:rPr>
                <w:rFonts w:hAnsi="宋体"/>
                <w:sz w:val="21"/>
                <w:szCs w:val="21"/>
              </w:rPr>
            </w:pPr>
            <w:r>
              <w:rPr>
                <w:rFonts w:hAnsi="宋体"/>
                <w:b/>
                <w:bCs/>
                <w:sz w:val="21"/>
                <w:szCs w:val="21"/>
              </w:rPr>
              <w:t>2.</w:t>
            </w:r>
            <w:r>
              <w:rPr>
                <w:rFonts w:hint="eastAsia" w:hAnsi="宋体"/>
                <w:sz w:val="21"/>
                <w:szCs w:val="21"/>
              </w:rPr>
              <w:t>在煤气区域工作的作业人员，应携带一氧化碳检测报警仪。进入涉及煤气的设施内，必须保证该设施内氧气含量不低于</w:t>
            </w:r>
            <w:r>
              <w:rPr>
                <w:rFonts w:hAnsi="宋体"/>
                <w:sz w:val="21"/>
                <w:szCs w:val="21"/>
              </w:rPr>
              <w:t>19.5%</w:t>
            </w:r>
            <w:r>
              <w:rPr>
                <w:rFonts w:hint="eastAsia" w:hAnsi="宋体"/>
                <w:sz w:val="21"/>
                <w:szCs w:val="21"/>
              </w:rPr>
              <w:t>；（</w:t>
            </w:r>
            <w:r>
              <w:rPr>
                <w:rFonts w:hAnsi="宋体"/>
                <w:sz w:val="21"/>
                <w:szCs w:val="21"/>
              </w:rPr>
              <w:t>1</w:t>
            </w:r>
            <w:r>
              <w:rPr>
                <w:rFonts w:hint="eastAsia" w:hAnsi="宋体"/>
                <w:sz w:val="21"/>
                <w:szCs w:val="21"/>
              </w:rPr>
              <w:t>）</w:t>
            </w:r>
            <w:r>
              <w:rPr>
                <w:rFonts w:hAnsi="宋体"/>
                <w:sz w:val="21"/>
                <w:szCs w:val="21"/>
              </w:rPr>
              <w:t xml:space="preserve"> </w:t>
            </w:r>
            <w:r>
              <w:rPr>
                <w:rFonts w:hint="eastAsia" w:hAnsi="宋体"/>
                <w:sz w:val="21"/>
                <w:szCs w:val="21"/>
              </w:rPr>
              <w:t>作业时间要根据一氧化碳的含量确定，应携带一氧化碳及氧含量监测装置，并采取防护措施，设专人监护，（</w:t>
            </w:r>
            <w:r>
              <w:rPr>
                <w:rFonts w:hAnsi="宋体"/>
                <w:sz w:val="21"/>
                <w:szCs w:val="21"/>
              </w:rPr>
              <w:t>2</w:t>
            </w:r>
            <w:r>
              <w:rPr>
                <w:rFonts w:hint="eastAsia" w:hAnsi="宋体"/>
                <w:sz w:val="21"/>
                <w:szCs w:val="21"/>
              </w:rPr>
              <w:t>）一氧化碳含量不超过</w:t>
            </w:r>
            <w:r>
              <w:rPr>
                <w:rFonts w:hAnsi="宋体"/>
                <w:sz w:val="21"/>
                <w:szCs w:val="21"/>
              </w:rPr>
              <w:t>30mg/m</w:t>
            </w:r>
            <w:r>
              <w:rPr>
                <w:rFonts w:hAnsi="宋体"/>
                <w:sz w:val="21"/>
                <w:szCs w:val="21"/>
                <w:vertAlign w:val="superscript"/>
              </w:rPr>
              <w:t>3</w:t>
            </w:r>
            <w:r>
              <w:rPr>
                <w:rFonts w:hAnsi="宋体"/>
                <w:sz w:val="21"/>
                <w:szCs w:val="21"/>
              </w:rPr>
              <w:t>(24ppm)</w:t>
            </w:r>
            <w:r>
              <w:rPr>
                <w:rFonts w:hint="eastAsia" w:hAnsi="宋体"/>
                <w:sz w:val="21"/>
                <w:szCs w:val="21"/>
              </w:rPr>
              <w:t>时，可较长时间工作；一氧化碳含量不超过</w:t>
            </w:r>
            <w:r>
              <w:rPr>
                <w:rFonts w:hAnsi="宋体"/>
                <w:sz w:val="21"/>
                <w:szCs w:val="21"/>
              </w:rPr>
              <w:t>50mg/m</w:t>
            </w:r>
            <w:r>
              <w:rPr>
                <w:rFonts w:hAnsi="宋体"/>
                <w:sz w:val="21"/>
                <w:szCs w:val="21"/>
                <w:vertAlign w:val="superscript"/>
              </w:rPr>
              <w:t>3</w:t>
            </w:r>
            <w:r>
              <w:rPr>
                <w:rFonts w:hint="eastAsia" w:hAnsi="宋体"/>
                <w:sz w:val="21"/>
                <w:szCs w:val="21"/>
              </w:rPr>
              <w:t>（</w:t>
            </w:r>
            <w:r>
              <w:rPr>
                <w:rFonts w:hAnsi="宋体"/>
                <w:sz w:val="21"/>
                <w:szCs w:val="21"/>
              </w:rPr>
              <w:t>40ppm</w:t>
            </w:r>
            <w:r>
              <w:rPr>
                <w:rFonts w:hint="eastAsia" w:hAnsi="宋体"/>
                <w:sz w:val="21"/>
                <w:szCs w:val="21"/>
              </w:rPr>
              <w:t>）时，入内连续工作时间不应超过</w:t>
            </w:r>
            <w:r>
              <w:rPr>
                <w:rFonts w:hAnsi="宋体"/>
                <w:sz w:val="21"/>
                <w:szCs w:val="21"/>
              </w:rPr>
              <w:t>1h</w:t>
            </w:r>
            <w:r>
              <w:rPr>
                <w:rFonts w:hint="eastAsia" w:hAnsi="宋体"/>
                <w:sz w:val="21"/>
                <w:szCs w:val="21"/>
              </w:rPr>
              <w:t>；不超过</w:t>
            </w:r>
            <w:r>
              <w:rPr>
                <w:rFonts w:hAnsi="宋体"/>
                <w:sz w:val="21"/>
                <w:szCs w:val="21"/>
              </w:rPr>
              <w:t>100mg/m</w:t>
            </w:r>
            <w:r>
              <w:rPr>
                <w:rFonts w:hAnsi="宋体"/>
                <w:sz w:val="21"/>
                <w:szCs w:val="21"/>
                <w:vertAlign w:val="superscript"/>
              </w:rPr>
              <w:t>3</w:t>
            </w:r>
            <w:r>
              <w:rPr>
                <w:rFonts w:hint="eastAsia" w:hAnsi="宋体"/>
                <w:sz w:val="21"/>
                <w:szCs w:val="21"/>
              </w:rPr>
              <w:t>（</w:t>
            </w:r>
            <w:r>
              <w:rPr>
                <w:rFonts w:hAnsi="宋体"/>
                <w:sz w:val="21"/>
                <w:szCs w:val="21"/>
              </w:rPr>
              <w:t>80ppm</w:t>
            </w:r>
            <w:r>
              <w:rPr>
                <w:rFonts w:hint="eastAsia" w:hAnsi="宋体"/>
                <w:sz w:val="21"/>
                <w:szCs w:val="21"/>
              </w:rPr>
              <w:t>）时，入内连续工作时间不应超过</w:t>
            </w:r>
            <w:r>
              <w:rPr>
                <w:rFonts w:hAnsi="宋体"/>
                <w:sz w:val="21"/>
                <w:szCs w:val="21"/>
              </w:rPr>
              <w:t>0.5h</w:t>
            </w:r>
            <w:r>
              <w:rPr>
                <w:rFonts w:hint="eastAsia" w:hAnsi="宋体"/>
                <w:sz w:val="21"/>
                <w:szCs w:val="21"/>
              </w:rPr>
              <w:t>；不超过</w:t>
            </w:r>
            <w:r>
              <w:rPr>
                <w:rFonts w:hAnsi="宋体"/>
                <w:sz w:val="21"/>
                <w:szCs w:val="21"/>
              </w:rPr>
              <w:t>200mg/m</w:t>
            </w:r>
            <w:r>
              <w:rPr>
                <w:rFonts w:hAnsi="宋体"/>
                <w:sz w:val="21"/>
                <w:szCs w:val="21"/>
                <w:vertAlign w:val="superscript"/>
              </w:rPr>
              <w:t>3</w:t>
            </w:r>
            <w:r>
              <w:rPr>
                <w:rFonts w:hint="eastAsia" w:hAnsi="宋体"/>
                <w:sz w:val="21"/>
                <w:szCs w:val="21"/>
              </w:rPr>
              <w:t>（</w:t>
            </w:r>
            <w:r>
              <w:rPr>
                <w:rFonts w:hAnsi="宋体"/>
                <w:sz w:val="21"/>
                <w:szCs w:val="21"/>
              </w:rPr>
              <w:t>160ppm</w:t>
            </w:r>
            <w:r>
              <w:rPr>
                <w:rFonts w:hint="eastAsia" w:hAnsi="宋体"/>
                <w:sz w:val="21"/>
                <w:szCs w:val="21"/>
              </w:rPr>
              <w:t>）时，人内连续工作时间不应超过</w:t>
            </w:r>
            <w:r>
              <w:rPr>
                <w:rFonts w:hAnsi="宋体"/>
                <w:sz w:val="21"/>
                <w:szCs w:val="21"/>
              </w:rPr>
              <w:t>15min</w:t>
            </w:r>
            <w:r>
              <w:rPr>
                <w:rFonts w:hint="eastAsia" w:hAnsi="宋体"/>
                <w:sz w:val="21"/>
                <w:szCs w:val="21"/>
              </w:rPr>
              <w:t>～</w:t>
            </w:r>
            <w:r>
              <w:rPr>
                <w:rFonts w:hAnsi="宋体"/>
                <w:sz w:val="21"/>
                <w:szCs w:val="21"/>
              </w:rPr>
              <w:t>20min</w:t>
            </w:r>
            <w:r>
              <w:rPr>
                <w:rFonts w:hint="eastAsia" w:hAnsi="宋体"/>
                <w:sz w:val="21"/>
                <w:szCs w:val="21"/>
              </w:rPr>
              <w:t>，（</w:t>
            </w:r>
            <w:r>
              <w:rPr>
                <w:rFonts w:hAnsi="宋体"/>
                <w:sz w:val="21"/>
                <w:szCs w:val="21"/>
              </w:rPr>
              <w:t>3</w:t>
            </w:r>
            <w:r>
              <w:rPr>
                <w:rFonts w:hint="eastAsia" w:hAnsi="宋体"/>
                <w:sz w:val="21"/>
                <w:szCs w:val="21"/>
              </w:rPr>
              <w:t>）作业人员每次进入煤气设施内部工作的时间间隔至少在</w:t>
            </w:r>
            <w:r>
              <w:rPr>
                <w:rFonts w:hAnsi="宋体"/>
                <w:sz w:val="21"/>
                <w:szCs w:val="21"/>
              </w:rPr>
              <w:t>2h</w:t>
            </w:r>
            <w:r>
              <w:rPr>
                <w:rFonts w:hint="eastAsia" w:hAnsi="宋体"/>
                <w:sz w:val="21"/>
                <w:szCs w:val="21"/>
              </w:rPr>
              <w:t>以上，（</w:t>
            </w:r>
            <w:r>
              <w:rPr>
                <w:rFonts w:hAnsi="宋体"/>
                <w:sz w:val="21"/>
                <w:szCs w:val="21"/>
              </w:rPr>
              <w:t>4</w:t>
            </w:r>
            <w:r>
              <w:rPr>
                <w:rFonts w:hint="eastAsia" w:hAnsi="宋体"/>
                <w:sz w:val="21"/>
                <w:szCs w:val="21"/>
              </w:rPr>
              <w:t>）设施内一氧化碳含量高（大于</w:t>
            </w:r>
            <w:r>
              <w:rPr>
                <w:rFonts w:hAnsi="宋体"/>
                <w:sz w:val="21"/>
                <w:szCs w:val="21"/>
              </w:rPr>
              <w:t>50ppm</w:t>
            </w:r>
            <w:r>
              <w:rPr>
                <w:rFonts w:hint="eastAsia" w:hAnsi="宋体"/>
                <w:sz w:val="21"/>
                <w:szCs w:val="21"/>
              </w:rPr>
              <w:t>）或氧气含量低（小于</w:t>
            </w:r>
            <w:r>
              <w:rPr>
                <w:rFonts w:hAnsi="宋体"/>
                <w:sz w:val="21"/>
                <w:szCs w:val="21"/>
              </w:rPr>
              <w:t>19.5%</w:t>
            </w:r>
            <w:r>
              <w:rPr>
                <w:rFonts w:hint="eastAsia" w:hAnsi="宋体"/>
                <w:sz w:val="21"/>
                <w:szCs w:val="21"/>
              </w:rPr>
              <w:t>）时，应佩戴空气或氧气呼吸器等隔离式呼吸器具。氧气含量小于</w:t>
            </w:r>
            <w:r>
              <w:rPr>
                <w:rFonts w:hAnsi="宋体"/>
                <w:sz w:val="21"/>
                <w:szCs w:val="21"/>
              </w:rPr>
              <w:t>19.5%</w:t>
            </w:r>
            <w:r>
              <w:rPr>
                <w:rFonts w:hint="eastAsia" w:hAnsi="宋体"/>
                <w:sz w:val="21"/>
                <w:szCs w:val="21"/>
              </w:rPr>
              <w:t>条件下作业，应执行</w:t>
            </w:r>
            <w:r>
              <w:rPr>
                <w:rFonts w:hAnsi="宋体"/>
                <w:sz w:val="21"/>
                <w:szCs w:val="21"/>
              </w:rPr>
              <w:t>GB8959</w:t>
            </w:r>
            <w:r>
              <w:rPr>
                <w:rFonts w:hint="eastAsia" w:hAnsi="宋体"/>
                <w:sz w:val="21"/>
                <w:szCs w:val="21"/>
              </w:rPr>
              <w:t>的有关规定，（</w:t>
            </w:r>
            <w:r>
              <w:rPr>
                <w:rFonts w:hAnsi="宋体"/>
                <w:sz w:val="21"/>
                <w:szCs w:val="21"/>
              </w:rPr>
              <w:t>5</w:t>
            </w:r>
            <w:r>
              <w:rPr>
                <w:rFonts w:hint="eastAsia" w:hAnsi="宋体"/>
                <w:sz w:val="21"/>
                <w:szCs w:val="21"/>
              </w:rPr>
              <w:t>）煤气设施内温度不应高于</w:t>
            </w:r>
            <w:r>
              <w:rPr>
                <w:rFonts w:hAnsi="宋体"/>
                <w:sz w:val="21"/>
                <w:szCs w:val="21"/>
              </w:rPr>
              <w:t>40</w:t>
            </w:r>
            <w:r>
              <w:rPr>
                <w:rFonts w:hint="eastAsia" w:hAnsi="宋体"/>
                <w:sz w:val="21"/>
                <w:szCs w:val="21"/>
              </w:rPr>
              <w:t>℃；</w:t>
            </w:r>
          </w:p>
          <w:p>
            <w:pPr>
              <w:pStyle w:val="14"/>
              <w:spacing w:line="240" w:lineRule="exact"/>
              <w:rPr>
                <w:rFonts w:hAnsi="宋体"/>
                <w:sz w:val="21"/>
                <w:szCs w:val="21"/>
              </w:rPr>
            </w:pPr>
            <w:r>
              <w:rPr>
                <w:rFonts w:hAnsi="宋体"/>
                <w:sz w:val="21"/>
                <w:szCs w:val="21"/>
              </w:rPr>
              <w:t>3.</w:t>
            </w:r>
            <w:r>
              <w:rPr>
                <w:rFonts w:hint="eastAsia" w:hAnsi="宋体"/>
                <w:sz w:val="21"/>
                <w:szCs w:val="21"/>
              </w:rPr>
              <w:t>进入煤气设施内部工作时，安全分析取样时间不应早于动火或进塔（器）前</w:t>
            </w:r>
            <w:r>
              <w:rPr>
                <w:rFonts w:hAnsi="宋体"/>
                <w:sz w:val="21"/>
                <w:szCs w:val="21"/>
              </w:rPr>
              <w:t>0.5h</w:t>
            </w:r>
            <w:r>
              <w:rPr>
                <w:rFonts w:hint="eastAsia" w:hAnsi="宋体"/>
                <w:sz w:val="21"/>
                <w:szCs w:val="21"/>
              </w:rPr>
              <w:t>，检修动火工作中每两小时应重新分析。工作中断后恢复工作前</w:t>
            </w:r>
            <w:r>
              <w:rPr>
                <w:rFonts w:hAnsi="宋体"/>
                <w:sz w:val="21"/>
                <w:szCs w:val="21"/>
              </w:rPr>
              <w:t>0.5h</w:t>
            </w:r>
            <w:r>
              <w:rPr>
                <w:rFonts w:hint="eastAsia" w:hAnsi="宋体"/>
                <w:sz w:val="21"/>
                <w:szCs w:val="21"/>
              </w:rPr>
              <w:t>，也应重新分析，取样应有代表性，防止死角。当煤气密度大于空气时，取中、下部各一气样；煤气密度小于空气时，取中、上部各一气样。检测人员进行检测时，应当记录检测的时间、地点、检测气体名称、浓度等信息。检测记录经检测人员签字后，由负有管理职责的部门或单位进行存档。</w:t>
            </w:r>
          </w:p>
          <w:p>
            <w:pPr>
              <w:pStyle w:val="14"/>
              <w:spacing w:line="240" w:lineRule="exact"/>
              <w:rPr>
                <w:rFonts w:hAnsi="宋体"/>
                <w:sz w:val="21"/>
                <w:szCs w:val="21"/>
              </w:rPr>
            </w:pPr>
            <w:r>
              <w:rPr>
                <w:rFonts w:hAnsi="宋体"/>
                <w:sz w:val="21"/>
                <w:szCs w:val="21"/>
              </w:rPr>
              <w:t>4.</w:t>
            </w:r>
            <w:r>
              <w:rPr>
                <w:rFonts w:hint="eastAsia" w:hAnsi="宋体"/>
                <w:sz w:val="21"/>
                <w:szCs w:val="21"/>
              </w:rPr>
              <w:t>带煤气作业或在煤气设备上动火，应制定作业方案和安全措施，并应取得煤气防护站或安全管理部门的批准。</w:t>
            </w:r>
          </w:p>
          <w:p>
            <w:pPr>
              <w:pStyle w:val="14"/>
              <w:spacing w:line="240" w:lineRule="exact"/>
              <w:rPr>
                <w:rFonts w:hAnsi="宋体"/>
                <w:sz w:val="21"/>
                <w:szCs w:val="21"/>
              </w:rPr>
            </w:pPr>
            <w:r>
              <w:rPr>
                <w:rFonts w:hAnsi="宋体"/>
                <w:sz w:val="21"/>
                <w:szCs w:val="21"/>
              </w:rPr>
              <w:t>5.</w:t>
            </w:r>
            <w:r>
              <w:rPr>
                <w:rFonts w:hint="eastAsia" w:hAnsi="宋体"/>
                <w:sz w:val="21"/>
                <w:szCs w:val="21"/>
              </w:rPr>
              <w:t>在煤气设备上动火，还应遵守下列规定：</w:t>
            </w:r>
            <w:r>
              <w:rPr>
                <w:rFonts w:hAnsi="宋体"/>
                <w:sz w:val="21"/>
                <w:szCs w:val="21"/>
              </w:rPr>
              <w:t xml:space="preserve"> </w:t>
            </w:r>
          </w:p>
          <w:p>
            <w:pPr>
              <w:pStyle w:val="14"/>
              <w:spacing w:line="240" w:lineRule="exact"/>
              <w:rPr>
                <w:rFonts w:hAnsi="宋体"/>
                <w:sz w:val="21"/>
                <w:szCs w:val="21"/>
              </w:rPr>
            </w:pPr>
            <w:r>
              <w:rPr>
                <w:rFonts w:hAnsi="宋体"/>
                <w:sz w:val="21"/>
                <w:szCs w:val="21"/>
              </w:rPr>
              <w:t>——</w:t>
            </w:r>
            <w:r>
              <w:rPr>
                <w:rFonts w:hint="eastAsia" w:hAnsi="宋体"/>
                <w:sz w:val="21"/>
                <w:szCs w:val="21"/>
              </w:rPr>
              <w:t>在运行中的煤气设备上动火，设备内煤气应保持正压，动火部位应可靠接地，在动火部位附近应装压力表或与附近仪表室联系；</w:t>
            </w:r>
            <w:r>
              <w:rPr>
                <w:rFonts w:hAnsi="宋体"/>
                <w:sz w:val="21"/>
                <w:szCs w:val="21"/>
              </w:rPr>
              <w:t xml:space="preserve"> </w:t>
            </w:r>
          </w:p>
          <w:p>
            <w:pPr>
              <w:pStyle w:val="14"/>
              <w:spacing w:line="240" w:lineRule="exact"/>
              <w:rPr>
                <w:rFonts w:hAnsi="宋体"/>
                <w:sz w:val="21"/>
                <w:szCs w:val="21"/>
              </w:rPr>
            </w:pPr>
            <w:r>
              <w:rPr>
                <w:rFonts w:hAnsi="宋体"/>
                <w:sz w:val="21"/>
                <w:szCs w:val="21"/>
              </w:rPr>
              <w:t>——</w:t>
            </w:r>
            <w:r>
              <w:rPr>
                <w:rFonts w:hint="eastAsia" w:hAnsi="宋体"/>
                <w:sz w:val="21"/>
                <w:szCs w:val="21"/>
              </w:rPr>
              <w:t>在停产的煤气设备上动火，还应遵守：用可燃气体测定仪测定合格，并经取样分析，其含氧量接近作业环境空气中的含氧量；将煤气设备内易燃物清扫干净或通上蒸汽，确认在动火全过程中不形成爆炸性混合气体。</w:t>
            </w:r>
          </w:p>
          <w:p>
            <w:pPr>
              <w:pStyle w:val="14"/>
              <w:spacing w:line="240" w:lineRule="exact"/>
              <w:rPr>
                <w:rFonts w:hAnsi="宋体"/>
                <w:sz w:val="21"/>
                <w:szCs w:val="21"/>
              </w:rPr>
            </w:pPr>
            <w:r>
              <w:rPr>
                <w:rFonts w:hAnsi="宋体"/>
                <w:sz w:val="21"/>
                <w:szCs w:val="21"/>
              </w:rPr>
              <w:t>6.</w:t>
            </w:r>
            <w:r>
              <w:rPr>
                <w:rFonts w:hint="eastAsia" w:hAnsi="宋体"/>
                <w:sz w:val="21"/>
                <w:szCs w:val="21"/>
              </w:rPr>
              <w:t>吹扫和置换煤气设施内部的煤气，应用蒸汽、氮气或烟气为置换介质。</w:t>
            </w:r>
            <w:r>
              <w:rPr>
                <w:rFonts w:hAnsi="宋体"/>
                <w:sz w:val="21"/>
                <w:szCs w:val="21"/>
              </w:rPr>
              <w:t xml:space="preserve"> </w:t>
            </w:r>
          </w:p>
          <w:p>
            <w:pPr>
              <w:pStyle w:val="14"/>
              <w:spacing w:line="240" w:lineRule="exact"/>
              <w:rPr>
                <w:rFonts w:hAnsi="宋体"/>
                <w:bCs/>
                <w:sz w:val="21"/>
                <w:szCs w:val="21"/>
              </w:rPr>
            </w:pPr>
            <w:r>
              <w:rPr>
                <w:rFonts w:hAnsi="宋体"/>
                <w:sz w:val="21"/>
                <w:szCs w:val="21"/>
              </w:rPr>
              <w:t>7.</w:t>
            </w:r>
            <w:r>
              <w:rPr>
                <w:rFonts w:hint="eastAsia" w:hAnsi="宋体"/>
                <w:sz w:val="21"/>
                <w:szCs w:val="21"/>
              </w:rPr>
              <w:t>煤气设施内部气体置换是否达到预定要求，应按预</w:t>
            </w:r>
            <w:bookmarkStart w:id="0" w:name="_GoBack"/>
            <w:bookmarkEnd w:id="0"/>
            <w:r>
              <w:rPr>
                <w:rFonts w:hint="eastAsia" w:hAnsi="宋体"/>
                <w:sz w:val="21"/>
                <w:szCs w:val="21"/>
              </w:rPr>
              <w:t>定目的，根据含氧量和一氧化碳分析或爆发试验确定。</w:t>
            </w:r>
            <w:r>
              <w:rPr>
                <w:rFonts w:hAnsi="宋体"/>
                <w:sz w:val="21"/>
                <w:szCs w:val="21"/>
              </w:rPr>
              <w:t xml:space="preserve"> </w:t>
            </w:r>
          </w:p>
        </w:tc>
        <w:tc>
          <w:tcPr>
            <w:tcW w:w="1817" w:type="dxa"/>
            <w:vAlign w:val="center"/>
          </w:tcPr>
          <w:p>
            <w:pPr>
              <w:tabs>
                <w:tab w:val="left" w:pos="675"/>
              </w:tabs>
              <w:spacing w:line="240" w:lineRule="exact"/>
              <w:jc w:val="left"/>
              <w:rPr>
                <w:rFonts w:ascii="宋体" w:cs="宋体"/>
                <w:szCs w:val="21"/>
              </w:rPr>
            </w:pPr>
            <w:r>
              <w:rPr>
                <w:rFonts w:ascii="宋体" w:hAnsi="宋体" w:cs="宋体"/>
                <w:szCs w:val="21"/>
              </w:rPr>
              <w:t>1.</w:t>
            </w:r>
            <w:r>
              <w:rPr>
                <w:rFonts w:hint="eastAsia" w:ascii="宋体" w:hAnsi="宋体" w:cs="宋体"/>
                <w:szCs w:val="21"/>
              </w:rPr>
              <w:t>查阅企业带煤气和动火作业管理制度和记录；</w:t>
            </w:r>
          </w:p>
          <w:p>
            <w:pPr>
              <w:tabs>
                <w:tab w:val="left" w:pos="675"/>
              </w:tabs>
              <w:spacing w:line="240" w:lineRule="exact"/>
              <w:jc w:val="left"/>
              <w:rPr>
                <w:rFonts w:ascii="宋体" w:cs="宋体"/>
                <w:szCs w:val="21"/>
              </w:rPr>
            </w:pPr>
            <w:r>
              <w:rPr>
                <w:rFonts w:ascii="宋体" w:hAnsi="宋体" w:cs="宋体"/>
                <w:szCs w:val="21"/>
              </w:rPr>
              <w:t>2.</w:t>
            </w:r>
            <w:r>
              <w:rPr>
                <w:rFonts w:hint="eastAsia" w:ascii="宋体" w:hAnsi="宋体" w:cs="宋体"/>
                <w:szCs w:val="21"/>
              </w:rPr>
              <w:t>查阅煤气防护站或安全主管部门的书面批准和参与情况；</w:t>
            </w:r>
          </w:p>
          <w:p>
            <w:pPr>
              <w:tabs>
                <w:tab w:val="left" w:pos="675"/>
              </w:tabs>
              <w:spacing w:line="240" w:lineRule="exact"/>
              <w:jc w:val="left"/>
              <w:rPr>
                <w:rFonts w:ascii="宋体" w:cs="宋体"/>
                <w:szCs w:val="21"/>
              </w:rPr>
            </w:pPr>
            <w:r>
              <w:rPr>
                <w:rFonts w:ascii="宋体" w:hAnsi="宋体" w:cs="宋体"/>
                <w:szCs w:val="21"/>
              </w:rPr>
              <w:t>3.</w:t>
            </w:r>
            <w:r>
              <w:rPr>
                <w:rFonts w:hint="eastAsia" w:ascii="宋体" w:hAnsi="宋体" w:cs="宋体"/>
                <w:szCs w:val="21"/>
              </w:rPr>
              <w:t>重点查阅作业前安全培训教育、安全交底、气体（动火条件）检测、作业前审批、作业开始前安全条件再确认、作业中气体（动火条件）持续监测、人员监护、作业后验收等情况；</w:t>
            </w:r>
          </w:p>
          <w:p>
            <w:pPr>
              <w:tabs>
                <w:tab w:val="left" w:pos="675"/>
              </w:tabs>
              <w:spacing w:line="240" w:lineRule="exact"/>
              <w:jc w:val="left"/>
              <w:rPr>
                <w:rFonts w:ascii="宋体" w:cs="宋体"/>
                <w:szCs w:val="21"/>
              </w:rPr>
            </w:pPr>
            <w:r>
              <w:rPr>
                <w:rFonts w:ascii="宋体" w:hAnsi="宋体" w:cs="宋体"/>
                <w:szCs w:val="21"/>
              </w:rPr>
              <w:t>4.</w:t>
            </w:r>
            <w:r>
              <w:rPr>
                <w:rFonts w:hint="eastAsia" w:ascii="宋体" w:hAnsi="宋体" w:cs="宋体"/>
                <w:szCs w:val="21"/>
              </w:rPr>
              <w:t>查阅应急处置方案及应急救援物资等；</w:t>
            </w:r>
          </w:p>
          <w:p>
            <w:pPr>
              <w:tabs>
                <w:tab w:val="left" w:pos="675"/>
              </w:tabs>
              <w:spacing w:line="240" w:lineRule="exact"/>
              <w:jc w:val="left"/>
              <w:rPr>
                <w:rFonts w:ascii="宋体" w:cs="宋体"/>
                <w:szCs w:val="21"/>
              </w:rPr>
            </w:pPr>
            <w:r>
              <w:rPr>
                <w:rFonts w:ascii="宋体" w:hAnsi="宋体" w:cs="宋体"/>
                <w:szCs w:val="21"/>
              </w:rPr>
              <w:t>5.</w:t>
            </w:r>
            <w:r>
              <w:rPr>
                <w:rFonts w:hint="eastAsia" w:ascii="宋体" w:hAnsi="宋体" w:cs="宋体"/>
                <w:szCs w:val="21"/>
              </w:rPr>
              <w:t>查阅相关人员特种作业台账资料。</w:t>
            </w:r>
          </w:p>
        </w:tc>
        <w:tc>
          <w:tcPr>
            <w:tcW w:w="1222" w:type="dxa"/>
            <w:vAlign w:val="center"/>
          </w:tcPr>
          <w:p>
            <w:pPr>
              <w:tabs>
                <w:tab w:val="left" w:pos="675"/>
              </w:tabs>
              <w:spacing w:line="240" w:lineRule="exact"/>
              <w:jc w:val="left"/>
              <w:rPr>
                <w:rFonts w:ascii="宋体" w:cs="宋体"/>
                <w:szCs w:val="21"/>
              </w:rPr>
            </w:pPr>
          </w:p>
        </w:tc>
        <w:tc>
          <w:tcPr>
            <w:tcW w:w="1346" w:type="dxa"/>
            <w:vAlign w:val="center"/>
          </w:tcPr>
          <w:p>
            <w:pPr>
              <w:tabs>
                <w:tab w:val="left" w:pos="675"/>
              </w:tabs>
              <w:spacing w:line="240" w:lineRule="exact"/>
              <w:jc w:val="left"/>
              <w:rPr>
                <w:rFonts w:ascii="宋体" w:cs="宋体"/>
                <w:szCs w:val="21"/>
              </w:rPr>
            </w:pPr>
            <w:r>
              <w:rPr>
                <w:rFonts w:hint="eastAsia" w:ascii="宋体" w:hAnsi="宋体" w:cs="宋体"/>
                <w:szCs w:val="21"/>
              </w:rPr>
              <w:t>本项检查以台账资料查阅为主，现场抽验管理人员和相关作业人员特种作业证、带煤气作业或在煤气设备上动火的基本要点、应急处置等情况。</w:t>
            </w:r>
          </w:p>
        </w:tc>
        <w:tc>
          <w:tcPr>
            <w:tcW w:w="1222" w:type="dxa"/>
            <w:vAlign w:val="center"/>
          </w:tcPr>
          <w:p>
            <w:pPr>
              <w:tabs>
                <w:tab w:val="left" w:pos="675"/>
              </w:tabs>
              <w:spacing w:line="240" w:lineRule="exact"/>
              <w:jc w:val="left"/>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09" w:hRule="atLeast"/>
          <w:jc w:val="center"/>
        </w:trPr>
        <w:tc>
          <w:tcPr>
            <w:tcW w:w="654" w:type="dxa"/>
            <w:tcBorders>
              <w:bottom w:val="single" w:color="auto" w:sz="12" w:space="0"/>
            </w:tcBorders>
            <w:vAlign w:val="center"/>
          </w:tcPr>
          <w:p>
            <w:pPr>
              <w:tabs>
                <w:tab w:val="left" w:pos="675"/>
              </w:tabs>
              <w:spacing w:line="240" w:lineRule="exact"/>
              <w:jc w:val="center"/>
              <w:rPr>
                <w:rFonts w:ascii="宋体" w:cs="宋体"/>
                <w:b/>
                <w:sz w:val="20"/>
                <w:szCs w:val="20"/>
              </w:rPr>
            </w:pPr>
            <w:r>
              <w:rPr>
                <w:rFonts w:ascii="宋体" w:hAnsi="宋体" w:cs="宋体"/>
                <w:b/>
                <w:sz w:val="20"/>
                <w:szCs w:val="20"/>
              </w:rPr>
              <w:t>4</w:t>
            </w:r>
          </w:p>
        </w:tc>
        <w:tc>
          <w:tcPr>
            <w:tcW w:w="1381" w:type="dxa"/>
            <w:tcBorders>
              <w:bottom w:val="single" w:color="auto" w:sz="12" w:space="0"/>
            </w:tcBorders>
            <w:vAlign w:val="center"/>
          </w:tcPr>
          <w:p>
            <w:pPr>
              <w:tabs>
                <w:tab w:val="left" w:pos="675"/>
              </w:tabs>
              <w:spacing w:line="240" w:lineRule="exact"/>
              <w:jc w:val="left"/>
              <w:rPr>
                <w:rFonts w:ascii="宋体" w:cs="宋体"/>
                <w:bCs/>
                <w:szCs w:val="21"/>
              </w:rPr>
            </w:pPr>
            <w:r>
              <w:rPr>
                <w:rFonts w:hint="eastAsia" w:ascii="宋体" w:hAnsi="宋体" w:cs="宋体"/>
                <w:bCs/>
                <w:szCs w:val="21"/>
              </w:rPr>
              <w:t>带煤气作业如带煤气抽堵盲板、带煤气接管、高炉换探料尺、操作插板等危险作业，在雷雨天进行；作业时没有煤气防护站人员在场监护；操作人员未佩戴呼吸器或通风式防毒面具。</w:t>
            </w:r>
          </w:p>
        </w:tc>
        <w:tc>
          <w:tcPr>
            <w:tcW w:w="6840" w:type="dxa"/>
            <w:tcBorders>
              <w:bottom w:val="single" w:color="auto" w:sz="12" w:space="0"/>
            </w:tcBorders>
            <w:vAlign w:val="center"/>
          </w:tcPr>
          <w:p>
            <w:pPr>
              <w:autoSpaceDE w:val="0"/>
              <w:autoSpaceDN w:val="0"/>
              <w:adjustRightInd w:val="0"/>
              <w:spacing w:line="240" w:lineRule="exact"/>
              <w:jc w:val="left"/>
              <w:rPr>
                <w:rFonts w:asci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工作场所应备有必要的联系信号、煤气压力表及风向标志等；</w:t>
            </w:r>
            <w:r>
              <w:rPr>
                <w:rFonts w:ascii="宋体" w:hAnsi="宋体" w:cs="宋体"/>
                <w:color w:val="000000"/>
                <w:kern w:val="0"/>
                <w:szCs w:val="21"/>
              </w:rPr>
              <w:t xml:space="preserve"> </w:t>
            </w:r>
          </w:p>
          <w:p>
            <w:pPr>
              <w:autoSpaceDE w:val="0"/>
              <w:autoSpaceDN w:val="0"/>
              <w:adjustRightInd w:val="0"/>
              <w:spacing w:line="240" w:lineRule="exact"/>
              <w:jc w:val="left"/>
              <w:rPr>
                <w:rFonts w:asci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距工作场所</w:t>
            </w:r>
            <w:r>
              <w:rPr>
                <w:rFonts w:ascii="宋体" w:hAnsi="宋体" w:cs="宋体"/>
                <w:color w:val="000000"/>
                <w:kern w:val="0"/>
                <w:szCs w:val="21"/>
              </w:rPr>
              <w:t>40m</w:t>
            </w:r>
            <w:r>
              <w:rPr>
                <w:rFonts w:hint="eastAsia" w:ascii="宋体" w:hAnsi="宋体" w:cs="宋体"/>
                <w:color w:val="000000"/>
                <w:kern w:val="0"/>
                <w:szCs w:val="21"/>
              </w:rPr>
              <w:t>内，不应有火源并应采取防火的措施，与工作无关的人员应离开作业点</w:t>
            </w:r>
            <w:r>
              <w:rPr>
                <w:rFonts w:ascii="宋体" w:hAnsi="宋体" w:cs="宋体"/>
                <w:color w:val="000000"/>
                <w:kern w:val="0"/>
                <w:szCs w:val="21"/>
              </w:rPr>
              <w:t>40m</w:t>
            </w:r>
            <w:r>
              <w:rPr>
                <w:rFonts w:hint="eastAsia" w:ascii="宋体" w:hAnsi="宋体" w:cs="宋体"/>
                <w:color w:val="000000"/>
                <w:kern w:val="0"/>
                <w:szCs w:val="21"/>
              </w:rPr>
              <w:t>以外；</w:t>
            </w:r>
            <w:r>
              <w:rPr>
                <w:rFonts w:ascii="宋体" w:hAnsi="宋体" w:cs="宋体"/>
                <w:color w:val="000000"/>
                <w:kern w:val="0"/>
                <w:szCs w:val="21"/>
              </w:rPr>
              <w:t xml:space="preserve"> </w:t>
            </w:r>
          </w:p>
          <w:p>
            <w:pPr>
              <w:autoSpaceDE w:val="0"/>
              <w:autoSpaceDN w:val="0"/>
              <w:adjustRightInd w:val="0"/>
              <w:spacing w:line="240" w:lineRule="exact"/>
              <w:jc w:val="left"/>
              <w:rPr>
                <w:rFonts w:asci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应使用不发火星的工具，如铜制工具或涂有很厚一层润滑油脂的铁制工具；</w:t>
            </w:r>
            <w:r>
              <w:rPr>
                <w:rFonts w:ascii="宋体" w:hAnsi="宋体" w:cs="宋体"/>
                <w:color w:val="000000"/>
                <w:kern w:val="0"/>
                <w:szCs w:val="21"/>
              </w:rPr>
              <w:t xml:space="preserve"> </w:t>
            </w:r>
          </w:p>
          <w:p>
            <w:pPr>
              <w:autoSpaceDE w:val="0"/>
              <w:autoSpaceDN w:val="0"/>
              <w:adjustRightInd w:val="0"/>
              <w:spacing w:line="240" w:lineRule="exact"/>
              <w:jc w:val="left"/>
              <w:rPr>
                <w:rFonts w:ascii="宋体" w:cs="宋体"/>
                <w:color w:val="000000"/>
                <w:kern w:val="0"/>
                <w:szCs w:val="21"/>
              </w:rPr>
            </w:pPr>
            <w:r>
              <w:rPr>
                <w:rFonts w:ascii="宋体" w:hAnsi="宋体" w:cs="宋体"/>
                <w:color w:val="000000"/>
                <w:kern w:val="0"/>
                <w:szCs w:val="21"/>
              </w:rPr>
              <w:t>4.</w:t>
            </w:r>
            <w:r>
              <w:rPr>
                <w:rFonts w:hint="eastAsia" w:ascii="宋体" w:hAnsi="宋体" w:cs="宋体"/>
                <w:color w:val="000000"/>
                <w:kern w:val="0"/>
                <w:szCs w:val="21"/>
              </w:rPr>
              <w:t>距作业点</w:t>
            </w:r>
            <w:r>
              <w:rPr>
                <w:rFonts w:ascii="宋体" w:hAnsi="宋体" w:cs="宋体"/>
                <w:color w:val="000000"/>
                <w:kern w:val="0"/>
                <w:szCs w:val="21"/>
              </w:rPr>
              <w:t>10m</w:t>
            </w:r>
            <w:r>
              <w:rPr>
                <w:rFonts w:hint="eastAsia" w:ascii="宋体" w:hAnsi="宋体" w:cs="宋体"/>
                <w:color w:val="000000"/>
                <w:kern w:val="0"/>
                <w:szCs w:val="21"/>
              </w:rPr>
              <w:t>以外才可安设投光器；</w:t>
            </w:r>
            <w:r>
              <w:rPr>
                <w:rFonts w:ascii="宋体" w:hAnsi="宋体" w:cs="宋体"/>
                <w:color w:val="000000"/>
                <w:kern w:val="0"/>
                <w:szCs w:val="21"/>
              </w:rPr>
              <w:t xml:space="preserve"> </w:t>
            </w:r>
          </w:p>
          <w:p>
            <w:pPr>
              <w:autoSpaceDE w:val="0"/>
              <w:autoSpaceDN w:val="0"/>
              <w:adjustRightInd w:val="0"/>
              <w:spacing w:line="240" w:lineRule="exact"/>
              <w:jc w:val="left"/>
              <w:rPr>
                <w:rFonts w:ascii="宋体" w:cs="宋体"/>
                <w:color w:val="000000"/>
                <w:kern w:val="0"/>
                <w:szCs w:val="21"/>
              </w:rPr>
            </w:pPr>
            <w:r>
              <w:rPr>
                <w:rFonts w:ascii="宋体" w:hAnsi="宋体" w:cs="宋体"/>
                <w:color w:val="000000"/>
                <w:kern w:val="0"/>
                <w:szCs w:val="21"/>
              </w:rPr>
              <w:t>5.</w:t>
            </w:r>
            <w:r>
              <w:rPr>
                <w:rFonts w:hint="eastAsia" w:ascii="宋体" w:hAnsi="宋体" w:cs="宋体"/>
                <w:color w:val="000000"/>
                <w:kern w:val="0"/>
                <w:szCs w:val="21"/>
              </w:rPr>
              <w:t>不应在具有高温源的炉窑等建（构）筑物内进行带煤气作业；</w:t>
            </w:r>
            <w:r>
              <w:rPr>
                <w:rFonts w:ascii="宋体" w:hAnsi="宋体" w:cs="宋体"/>
                <w:color w:val="000000"/>
                <w:kern w:val="0"/>
                <w:szCs w:val="21"/>
              </w:rPr>
              <w:t xml:space="preserve"> </w:t>
            </w:r>
          </w:p>
          <w:p>
            <w:pPr>
              <w:autoSpaceDE w:val="0"/>
              <w:autoSpaceDN w:val="0"/>
              <w:adjustRightInd w:val="0"/>
              <w:spacing w:line="240" w:lineRule="exact"/>
              <w:jc w:val="left"/>
              <w:rPr>
                <w:rFonts w:ascii="宋体" w:cs="宋体"/>
                <w:bCs/>
                <w:szCs w:val="21"/>
              </w:rPr>
            </w:pPr>
            <w:r>
              <w:rPr>
                <w:rFonts w:ascii="宋体" w:hAnsi="宋体" w:cs="宋体"/>
                <w:color w:val="000000"/>
                <w:kern w:val="0"/>
                <w:szCs w:val="21"/>
              </w:rPr>
              <w:t>6.</w:t>
            </w:r>
            <w:r>
              <w:rPr>
                <w:rFonts w:hint="eastAsia" w:ascii="宋体" w:hAnsi="宋体" w:cs="宋体"/>
                <w:color w:val="000000"/>
                <w:kern w:val="0"/>
                <w:szCs w:val="21"/>
              </w:rPr>
              <w:t>带热煤气作业，应落实高温防护措施。</w:t>
            </w:r>
            <w:r>
              <w:rPr>
                <w:rFonts w:ascii="宋体" w:hAnsi="宋体" w:cs="宋体"/>
                <w:color w:val="000000"/>
                <w:kern w:val="0"/>
                <w:szCs w:val="21"/>
              </w:rPr>
              <w:t xml:space="preserve"> </w:t>
            </w:r>
          </w:p>
        </w:tc>
        <w:tc>
          <w:tcPr>
            <w:tcW w:w="1817" w:type="dxa"/>
            <w:tcBorders>
              <w:bottom w:val="single" w:color="auto" w:sz="12" w:space="0"/>
            </w:tcBorders>
            <w:vAlign w:val="center"/>
          </w:tcPr>
          <w:p>
            <w:pPr>
              <w:tabs>
                <w:tab w:val="left" w:pos="675"/>
              </w:tabs>
              <w:spacing w:line="240" w:lineRule="exact"/>
              <w:jc w:val="left"/>
              <w:rPr>
                <w:rFonts w:ascii="宋体" w:cs="宋体"/>
                <w:szCs w:val="21"/>
              </w:rPr>
            </w:pPr>
            <w:r>
              <w:rPr>
                <w:rFonts w:ascii="宋体" w:hAnsi="宋体" w:cs="宋体"/>
                <w:szCs w:val="21"/>
              </w:rPr>
              <w:t>1.</w:t>
            </w:r>
            <w:r>
              <w:rPr>
                <w:rFonts w:hint="eastAsia" w:ascii="宋体" w:hAnsi="宋体" w:cs="宋体"/>
                <w:szCs w:val="21"/>
              </w:rPr>
              <w:t>查阅企业带煤气作业管理制度；</w:t>
            </w:r>
          </w:p>
          <w:p>
            <w:pPr>
              <w:tabs>
                <w:tab w:val="left" w:pos="675"/>
              </w:tabs>
              <w:spacing w:line="240" w:lineRule="exact"/>
              <w:jc w:val="left"/>
              <w:rPr>
                <w:rFonts w:ascii="宋体" w:cs="宋体"/>
                <w:szCs w:val="21"/>
              </w:rPr>
            </w:pPr>
            <w:r>
              <w:rPr>
                <w:rFonts w:ascii="宋体" w:hAnsi="宋体" w:cs="宋体"/>
                <w:szCs w:val="21"/>
              </w:rPr>
              <w:t>2.</w:t>
            </w:r>
            <w:r>
              <w:rPr>
                <w:rFonts w:hint="eastAsia" w:ascii="宋体" w:hAnsi="宋体" w:cs="宋体"/>
                <w:szCs w:val="21"/>
              </w:rPr>
              <w:t>重点查阅作业前安全培训教育、安全交底、气体（动火条件）检测、作业前审批、作业开始前安全条件再确认、作业中气体持续监测、人员监护、作业后验收等情况；</w:t>
            </w:r>
          </w:p>
          <w:p>
            <w:pPr>
              <w:tabs>
                <w:tab w:val="left" w:pos="675"/>
              </w:tabs>
              <w:spacing w:line="240" w:lineRule="exact"/>
              <w:jc w:val="left"/>
              <w:rPr>
                <w:rFonts w:ascii="宋体" w:cs="宋体"/>
                <w:szCs w:val="21"/>
              </w:rPr>
            </w:pPr>
            <w:r>
              <w:rPr>
                <w:rFonts w:ascii="宋体" w:hAnsi="宋体" w:cs="宋体"/>
                <w:szCs w:val="21"/>
              </w:rPr>
              <w:t>3.</w:t>
            </w:r>
            <w:r>
              <w:rPr>
                <w:rFonts w:hint="eastAsia" w:ascii="宋体" w:hAnsi="宋体" w:cs="宋体"/>
                <w:szCs w:val="21"/>
              </w:rPr>
              <w:t>查阅应急处置方案及应急救援物资等；</w:t>
            </w:r>
          </w:p>
          <w:p>
            <w:pPr>
              <w:tabs>
                <w:tab w:val="left" w:pos="675"/>
              </w:tabs>
              <w:spacing w:line="240" w:lineRule="exact"/>
              <w:jc w:val="left"/>
              <w:rPr>
                <w:rFonts w:ascii="宋体" w:cs="宋体"/>
                <w:szCs w:val="21"/>
              </w:rPr>
            </w:pPr>
            <w:r>
              <w:rPr>
                <w:rFonts w:ascii="宋体" w:hAnsi="宋体" w:cs="宋体"/>
                <w:szCs w:val="21"/>
              </w:rPr>
              <w:t>4.</w:t>
            </w:r>
            <w:r>
              <w:rPr>
                <w:rFonts w:hint="eastAsia" w:ascii="宋体" w:hAnsi="宋体" w:cs="宋体"/>
                <w:szCs w:val="21"/>
              </w:rPr>
              <w:t>查阅相关人员特种作业台账资料。</w:t>
            </w:r>
          </w:p>
        </w:tc>
        <w:tc>
          <w:tcPr>
            <w:tcW w:w="1222" w:type="dxa"/>
            <w:tcBorders>
              <w:bottom w:val="single" w:color="auto" w:sz="12" w:space="0"/>
            </w:tcBorders>
            <w:vAlign w:val="center"/>
          </w:tcPr>
          <w:p>
            <w:pPr>
              <w:tabs>
                <w:tab w:val="left" w:pos="675"/>
              </w:tabs>
              <w:spacing w:line="240" w:lineRule="exact"/>
              <w:jc w:val="left"/>
              <w:rPr>
                <w:rFonts w:ascii="宋体" w:cs="宋体"/>
                <w:szCs w:val="21"/>
              </w:rPr>
            </w:pPr>
          </w:p>
        </w:tc>
        <w:tc>
          <w:tcPr>
            <w:tcW w:w="1346" w:type="dxa"/>
            <w:tcBorders>
              <w:bottom w:val="single" w:color="auto" w:sz="12" w:space="0"/>
            </w:tcBorders>
            <w:vAlign w:val="center"/>
          </w:tcPr>
          <w:p>
            <w:pPr>
              <w:tabs>
                <w:tab w:val="left" w:pos="675"/>
              </w:tabs>
              <w:spacing w:line="240" w:lineRule="exact"/>
              <w:jc w:val="left"/>
              <w:rPr>
                <w:rFonts w:ascii="宋体" w:cs="宋体"/>
                <w:szCs w:val="21"/>
              </w:rPr>
            </w:pPr>
            <w:r>
              <w:rPr>
                <w:rFonts w:ascii="宋体" w:hAnsi="宋体" w:cs="宋体"/>
                <w:szCs w:val="21"/>
              </w:rPr>
              <w:t>1.</w:t>
            </w:r>
            <w:r>
              <w:rPr>
                <w:rFonts w:hint="eastAsia" w:ascii="宋体" w:hAnsi="宋体" w:cs="宋体"/>
                <w:szCs w:val="21"/>
              </w:rPr>
              <w:t>本项检查以台账资料查阅为主，现场抽验管理人员和相关作业人员特种作业证、带煤气作业的基本要点、应处置等情况。</w:t>
            </w:r>
          </w:p>
          <w:p>
            <w:pPr>
              <w:tabs>
                <w:tab w:val="left" w:pos="675"/>
              </w:tabs>
              <w:spacing w:line="240" w:lineRule="exact"/>
              <w:jc w:val="left"/>
              <w:rPr>
                <w:rFonts w:ascii="宋体" w:cs="宋体"/>
                <w:szCs w:val="21"/>
              </w:rPr>
            </w:pPr>
            <w:r>
              <w:rPr>
                <w:rFonts w:ascii="宋体" w:hAnsi="宋体" w:cs="宋体"/>
                <w:szCs w:val="21"/>
              </w:rPr>
              <w:t>2.</w:t>
            </w:r>
            <w:r>
              <w:rPr>
                <w:rFonts w:hint="eastAsia" w:ascii="宋体" w:hAnsi="宋体" w:cs="宋体"/>
                <w:szCs w:val="21"/>
              </w:rPr>
              <w:t>核查企业相关作业人员佩戴呼吸器或通风式防毒面具情况；</w:t>
            </w:r>
          </w:p>
          <w:p>
            <w:pPr>
              <w:tabs>
                <w:tab w:val="left" w:pos="675"/>
              </w:tabs>
              <w:spacing w:line="240" w:lineRule="exact"/>
              <w:jc w:val="left"/>
              <w:rPr>
                <w:rFonts w:ascii="宋体" w:cs="宋体"/>
                <w:szCs w:val="21"/>
              </w:rPr>
            </w:pPr>
            <w:r>
              <w:rPr>
                <w:rFonts w:ascii="宋体" w:hAnsi="宋体" w:cs="宋体"/>
                <w:szCs w:val="21"/>
              </w:rPr>
              <w:t>3</w:t>
            </w:r>
            <w:r>
              <w:rPr>
                <w:rFonts w:hint="eastAsia" w:ascii="宋体" w:hAnsi="宋体" w:cs="宋体"/>
                <w:szCs w:val="21"/>
              </w:rPr>
              <w:t>核查企业相关应急物质储备、使用、维护保养情况等。</w:t>
            </w:r>
          </w:p>
        </w:tc>
        <w:tc>
          <w:tcPr>
            <w:tcW w:w="1222" w:type="dxa"/>
            <w:tcBorders>
              <w:bottom w:val="single" w:color="auto" w:sz="12" w:space="0"/>
            </w:tcBorders>
            <w:vAlign w:val="center"/>
          </w:tcPr>
          <w:p>
            <w:pPr>
              <w:tabs>
                <w:tab w:val="left" w:pos="675"/>
              </w:tabs>
              <w:spacing w:line="240" w:lineRule="exact"/>
              <w:jc w:val="left"/>
              <w:rPr>
                <w:rFonts w:ascii="宋体" w:cs="宋体"/>
                <w:szCs w:val="21"/>
              </w:rPr>
            </w:pPr>
          </w:p>
        </w:tc>
      </w:tr>
    </w:tbl>
    <w:p>
      <w:pPr>
        <w:rPr>
          <w:sz w:val="28"/>
          <w:szCs w:val="28"/>
        </w:rPr>
      </w:pPr>
    </w:p>
    <w:p>
      <w:pPr>
        <w:rPr>
          <w:sz w:val="28"/>
          <w:szCs w:val="28"/>
        </w:rPr>
      </w:pPr>
    </w:p>
    <w:p>
      <w:pPr>
        <w:rPr>
          <w:b/>
          <w:sz w:val="24"/>
        </w:rPr>
      </w:pPr>
      <w:r>
        <w:rPr>
          <w:rFonts w:hint="eastAsia"/>
          <w:b/>
          <w:sz w:val="24"/>
        </w:rPr>
        <w:t>专家签字：</w:t>
      </w:r>
      <w:r>
        <w:rPr>
          <w:b/>
          <w:sz w:val="24"/>
          <w:u w:val="single"/>
        </w:rPr>
        <w:t xml:space="preserve">                    </w:t>
      </w:r>
      <w:r>
        <w:rPr>
          <w:rFonts w:hint="eastAsia"/>
          <w:b/>
          <w:sz w:val="24"/>
          <w:u w:val="single"/>
          <w:lang w:val="en-US" w:eastAsia="zh-CN"/>
        </w:rPr>
        <w:t xml:space="preserve">                               </w:t>
      </w:r>
      <w:r>
        <w:rPr>
          <w:b/>
          <w:sz w:val="24"/>
          <w:u w:val="single"/>
        </w:rPr>
        <w:t xml:space="preserve">             </w:t>
      </w:r>
      <w:r>
        <w:rPr>
          <w:b/>
          <w:sz w:val="24"/>
        </w:rPr>
        <w:t xml:space="preserve">    </w:t>
      </w:r>
    </w:p>
    <w:p>
      <w:pPr>
        <w:rPr>
          <w:b/>
          <w:sz w:val="24"/>
        </w:rPr>
      </w:pPr>
    </w:p>
    <w:p>
      <w:pPr>
        <w:ind w:firstLine="9225" w:firstLineChars="3909"/>
        <w:rPr>
          <w:sz w:val="24"/>
        </w:rPr>
      </w:pPr>
      <w:r>
        <w:rPr>
          <w:b/>
          <w:sz w:val="24"/>
        </w:rPr>
        <w:t xml:space="preserve"> </w:t>
      </w:r>
      <w:r>
        <w:rPr>
          <w:rFonts w:hint="eastAsia"/>
          <w:b/>
          <w:sz w:val="24"/>
        </w:rPr>
        <w:t>验收时间：</w:t>
      </w:r>
      <w:r>
        <w:rPr>
          <w:b/>
          <w:sz w:val="24"/>
        </w:rPr>
        <w:t xml:space="preserve">         </w:t>
      </w:r>
      <w:r>
        <w:rPr>
          <w:rFonts w:hint="eastAsia"/>
          <w:b/>
          <w:sz w:val="24"/>
        </w:rPr>
        <w:t>年</w:t>
      </w:r>
      <w:r>
        <w:rPr>
          <w:b/>
          <w:sz w:val="24"/>
        </w:rPr>
        <w:t xml:space="preserve">    </w:t>
      </w:r>
      <w:r>
        <w:rPr>
          <w:rFonts w:hint="eastAsia"/>
          <w:b/>
          <w:sz w:val="24"/>
        </w:rPr>
        <w:t>月</w:t>
      </w:r>
      <w:r>
        <w:rPr>
          <w:b/>
          <w:sz w:val="24"/>
        </w:rPr>
        <w:t xml:space="preserve">     </w:t>
      </w:r>
      <w:r>
        <w:rPr>
          <w:rFonts w:hint="eastAsia"/>
          <w:b/>
          <w:sz w:val="24"/>
        </w:rPr>
        <w:t>日</w:t>
      </w:r>
    </w:p>
    <w:sectPr>
      <w:footerReference r:id="rId3" w:type="default"/>
      <w:footerReference r:id="rId4" w:type="even"/>
      <w:pgSz w:w="16838" w:h="11906" w:orient="landscape"/>
      <w:pgMar w:top="1191" w:right="1474" w:bottom="1191" w:left="1588" w:header="284" w:footer="1418" w:gutter="0"/>
      <w:cols w:space="720" w:num="1"/>
      <w:titlePg/>
      <w:docGrid w:type="linesAndChars" w:linePitch="582"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57" w:rightChars="170"/>
      <w:jc w:val="right"/>
      <w:rPr>
        <w:sz w:val="28"/>
      </w:rPr>
    </w:pPr>
    <w:r>
      <w:rPr>
        <w:rStyle w:val="7"/>
        <w:sz w:val="28"/>
      </w:rPr>
      <w:t>—</w:t>
    </w:r>
    <w:r>
      <w:rPr>
        <w:rStyle w:val="7"/>
        <w:sz w:val="28"/>
        <w:szCs w:val="28"/>
      </w:rPr>
      <w:fldChar w:fldCharType="begin"/>
    </w:r>
    <w:r>
      <w:rPr>
        <w:rStyle w:val="7"/>
        <w:sz w:val="28"/>
        <w:szCs w:val="28"/>
      </w:rPr>
      <w:instrText xml:space="preserve"> PAGE </w:instrText>
    </w:r>
    <w:r>
      <w:rPr>
        <w:rStyle w:val="7"/>
        <w:sz w:val="28"/>
        <w:szCs w:val="28"/>
      </w:rPr>
      <w:fldChar w:fldCharType="separate"/>
    </w:r>
    <w:r>
      <w:rPr>
        <w:rStyle w:val="7"/>
        <w:sz w:val="28"/>
        <w:szCs w:val="28"/>
      </w:rPr>
      <w:t>11</w:t>
    </w:r>
    <w:r>
      <w:rPr>
        <w:rStyle w:val="7"/>
        <w:sz w:val="28"/>
        <w:szCs w:val="28"/>
      </w:rPr>
      <w:fldChar w:fldCharType="end"/>
    </w:r>
    <w:r>
      <w:rPr>
        <w:rStyle w:val="7"/>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36" w:firstLineChars="120"/>
      <w:rPr>
        <w:sz w:val="28"/>
      </w:rPr>
    </w:pPr>
    <w:r>
      <w:rPr>
        <w:rStyle w:val="7"/>
        <w:sz w:val="28"/>
      </w:rPr>
      <w:t>—</w:t>
    </w:r>
    <w:r>
      <w:rPr>
        <w:rStyle w:val="7"/>
        <w:sz w:val="28"/>
        <w:szCs w:val="28"/>
      </w:rPr>
      <w:fldChar w:fldCharType="begin"/>
    </w:r>
    <w:r>
      <w:rPr>
        <w:rStyle w:val="7"/>
        <w:sz w:val="28"/>
        <w:szCs w:val="28"/>
      </w:rPr>
      <w:instrText xml:space="preserve"> PAGE </w:instrText>
    </w:r>
    <w:r>
      <w:rPr>
        <w:rStyle w:val="7"/>
        <w:sz w:val="28"/>
        <w:szCs w:val="28"/>
      </w:rPr>
      <w:fldChar w:fldCharType="separate"/>
    </w:r>
    <w:r>
      <w:rPr>
        <w:rStyle w:val="7"/>
        <w:sz w:val="28"/>
        <w:szCs w:val="28"/>
      </w:rPr>
      <w:t>2</w:t>
    </w:r>
    <w:r>
      <w:rPr>
        <w:rStyle w:val="7"/>
        <w:sz w:val="28"/>
        <w:szCs w:val="28"/>
      </w:rPr>
      <w:fldChar w:fldCharType="end"/>
    </w:r>
    <w:r>
      <w:rPr>
        <w:rStyle w:val="7"/>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6FCFD"/>
    <w:multiLevelType w:val="singleLevel"/>
    <w:tmpl w:val="5D76FCFD"/>
    <w:lvl w:ilvl="0" w:tentative="0">
      <w:start w:val="1"/>
      <w:numFmt w:val="decimal"/>
      <w:suff w:val="nothing"/>
      <w:lvlText w:val="%1."/>
      <w:lvlJc w:val="left"/>
      <w:rPr>
        <w:rFonts w:cs="Times New Roman"/>
      </w:rPr>
    </w:lvl>
  </w:abstractNum>
  <w:abstractNum w:abstractNumId="1">
    <w:nsid w:val="5D76FF6D"/>
    <w:multiLevelType w:val="singleLevel"/>
    <w:tmpl w:val="5D76FF6D"/>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2F63"/>
    <w:rsid w:val="000C2F63"/>
    <w:rsid w:val="001B4EA8"/>
    <w:rsid w:val="004B67F8"/>
    <w:rsid w:val="00707F37"/>
    <w:rsid w:val="00714772"/>
    <w:rsid w:val="00883E55"/>
    <w:rsid w:val="00C6710C"/>
    <w:rsid w:val="00D048A4"/>
    <w:rsid w:val="00E83FE8"/>
    <w:rsid w:val="00F76D22"/>
    <w:rsid w:val="14201613"/>
    <w:rsid w:val="16676CF8"/>
    <w:rsid w:val="1BA51DA5"/>
    <w:rsid w:val="32557D2D"/>
    <w:rsid w:val="4EB52F67"/>
    <w:rsid w:val="51E00C81"/>
    <w:rsid w:val="7B0B711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styleId="8">
    <w:name w:val="Hyperlink"/>
    <w:basedOn w:val="6"/>
    <w:qFormat/>
    <w:uiPriority w:val="99"/>
    <w:rPr>
      <w:rFonts w:ascii="Times New Roman" w:hAnsi="Times New Roman" w:eastAsia="宋体" w:cs="Times New Roman"/>
      <w:color w:val="0000FF"/>
      <w:u w:val="single"/>
    </w:rPr>
  </w:style>
  <w:style w:type="character" w:customStyle="1" w:styleId="9">
    <w:name w:val="Balloon Text Char"/>
    <w:basedOn w:val="6"/>
    <w:link w:val="2"/>
    <w:qFormat/>
    <w:locked/>
    <w:uiPriority w:val="99"/>
    <w:rPr>
      <w:rFonts w:cs="Times New Roman"/>
      <w:kern w:val="2"/>
      <w:sz w:val="18"/>
      <w:szCs w:val="18"/>
    </w:rPr>
  </w:style>
  <w:style w:type="character" w:customStyle="1" w:styleId="10">
    <w:name w:val="Footer Char"/>
    <w:basedOn w:val="6"/>
    <w:link w:val="3"/>
    <w:semiHidden/>
    <w:qFormat/>
    <w:uiPriority w:val="99"/>
    <w:rPr>
      <w:sz w:val="18"/>
      <w:szCs w:val="18"/>
    </w:rPr>
  </w:style>
  <w:style w:type="character" w:customStyle="1" w:styleId="11">
    <w:name w:val="Header Char"/>
    <w:basedOn w:val="6"/>
    <w:link w:val="4"/>
    <w:qFormat/>
    <w:locked/>
    <w:uiPriority w:val="99"/>
    <w:rPr>
      <w:rFonts w:cs="Times New Roman"/>
      <w:kern w:val="2"/>
      <w:sz w:val="18"/>
      <w:szCs w:val="18"/>
    </w:rPr>
  </w:style>
  <w:style w:type="paragraph" w:customStyle="1" w:styleId="12">
    <w:name w:val="公文主体"/>
    <w:basedOn w:val="1"/>
    <w:qFormat/>
    <w:uiPriority w:val="99"/>
    <w:pPr>
      <w:spacing w:line="580" w:lineRule="exact"/>
      <w:ind w:firstLine="200" w:firstLineChars="200"/>
    </w:pPr>
    <w:rPr>
      <w:rFonts w:eastAsia="仿宋_GB2312"/>
      <w:sz w:val="32"/>
    </w:rPr>
  </w:style>
  <w:style w:type="paragraph" w:customStyle="1" w:styleId="13">
    <w:name w:val="表格"/>
    <w:basedOn w:val="12"/>
    <w:next w:val="12"/>
    <w:qFormat/>
    <w:uiPriority w:val="99"/>
    <w:pPr>
      <w:spacing w:line="440" w:lineRule="exact"/>
      <w:ind w:firstLine="0" w:firstLineChars="0"/>
      <w:jc w:val="center"/>
    </w:pPr>
    <w:rPr>
      <w:rFonts w:eastAsia="宋体"/>
      <w:sz w:val="28"/>
    </w:rPr>
  </w:style>
  <w:style w:type="paragraph" w:customStyle="1" w:styleId="14">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1131</Words>
  <Characters>6452</Characters>
  <Lines>0</Lines>
  <Paragraphs>0</Paragraphs>
  <TotalTime>1</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2019-10-12T08:52:00Z</dcterms:created>
  <dc:creator>lenovo</dc:creator>
  <cp:lastModifiedBy>谭序龙</cp:lastModifiedBy>
  <dcterms:modified xsi:type="dcterms:W3CDTF">2019-10-29T00:49:18Z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