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autoSpaceDE/>
        <w:autoSpaceDN/>
        <w:bidi w:val="0"/>
        <w:adjustRightInd/>
        <w:snapToGrid/>
        <w:spacing w:line="600" w:lineRule="exact"/>
        <w:jc w:val="left"/>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附件4</w:t>
      </w:r>
    </w:p>
    <w:p>
      <w:pPr>
        <w:keepNext w:val="0"/>
        <w:keepLines w:val="0"/>
        <w:pageBreakBefore w:val="0"/>
        <w:widowControl w:val="0"/>
        <w:kinsoku/>
        <w:wordWrap/>
        <w:overflowPunct w:val="0"/>
        <w:topLinePunct/>
        <w:autoSpaceDE/>
        <w:autoSpaceDN/>
        <w:bidi w:val="0"/>
        <w:adjustRightInd/>
        <w:snapToGrid/>
        <w:spacing w:line="600" w:lineRule="exact"/>
        <w:jc w:val="lef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autoSpaceDE/>
        <w:autoSpaceDN/>
        <w:bidi w:val="0"/>
        <w:adjustRightInd/>
        <w:snapToGrid/>
        <w:spacing w:line="60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攀枝花市中央环境保护督察反馈意见</w:t>
      </w:r>
    </w:p>
    <w:p>
      <w:pPr>
        <w:keepNext w:val="0"/>
        <w:keepLines w:val="0"/>
        <w:pageBreakBefore w:val="0"/>
        <w:widowControl w:val="0"/>
        <w:kinsoku/>
        <w:wordWrap/>
        <w:overflowPunct w:val="0"/>
        <w:topLinePunct/>
        <w:autoSpaceDE/>
        <w:autoSpaceDN/>
        <w:bidi w:val="0"/>
        <w:adjustRightInd/>
        <w:snapToGrid/>
        <w:spacing w:line="60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（整改任务</w:t>
      </w:r>
      <w:r>
        <w:rPr>
          <w:rFonts w:hint="eastAsia" w:ascii="Times New Roman" w:hAnsi="Times New Roman" w:eastAsia="方正小标宋_GBK" w:cs="Times New Roman"/>
          <w:sz w:val="44"/>
          <w:szCs w:val="44"/>
          <w:lang w:eastAsia="zh-CN"/>
        </w:rPr>
        <w:t>第</w:t>
      </w:r>
      <w:r>
        <w:rPr>
          <w:rFonts w:hint="eastAsia" w:ascii="Times New Roman" w:hAnsi="Times New Roman" w:eastAsia="方正小标宋_GBK" w:cs="Times New Roman"/>
          <w:sz w:val="44"/>
          <w:szCs w:val="44"/>
          <w:lang w:val="en-US" w:eastAsia="zh-CN"/>
        </w:rPr>
        <w:t>五十三项</w:t>
      </w:r>
      <w:r>
        <w:rPr>
          <w:rFonts w:hint="default" w:ascii="Times New Roman" w:hAnsi="Times New Roman" w:eastAsia="方正小标宋_GBK" w:cs="Times New Roman"/>
          <w:sz w:val="44"/>
          <w:szCs w:val="44"/>
        </w:rPr>
        <w:t>）整改任务完成情况</w:t>
      </w:r>
    </w:p>
    <w:p>
      <w:pPr>
        <w:keepNext w:val="0"/>
        <w:keepLines w:val="0"/>
        <w:pageBreakBefore w:val="0"/>
        <w:widowControl w:val="0"/>
        <w:kinsoku/>
        <w:wordWrap/>
        <w:overflowPunct w:val="0"/>
        <w:topLinePunct/>
        <w:autoSpaceDE/>
        <w:autoSpaceDN/>
        <w:bidi w:val="0"/>
        <w:adjustRightInd/>
        <w:snapToGrid/>
        <w:spacing w:line="60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公示表</w:t>
      </w:r>
    </w:p>
    <w:p>
      <w:pPr>
        <w:keepNext w:val="0"/>
        <w:keepLines w:val="0"/>
        <w:pageBreakBefore w:val="0"/>
        <w:widowControl w:val="0"/>
        <w:kinsoku/>
        <w:wordWrap/>
        <w:overflowPunct w:val="0"/>
        <w:topLinePunct/>
        <w:autoSpaceDE/>
        <w:autoSpaceDN/>
        <w:bidi w:val="0"/>
        <w:adjustRightInd/>
        <w:snapToGrid/>
        <w:spacing w:line="600" w:lineRule="exact"/>
        <w:textAlignment w:val="auto"/>
        <w:outlineLvl w:val="9"/>
        <w:rPr>
          <w:rFonts w:hint="default" w:ascii="Times New Roman" w:hAnsi="Times New Roman" w:eastAsia="楷体_GB2312" w:cs="Times New Roman"/>
          <w:sz w:val="32"/>
          <w:szCs w:val="32"/>
        </w:rPr>
      </w:pPr>
    </w:p>
    <w:tbl>
      <w:tblPr>
        <w:tblStyle w:val="3"/>
        <w:tblW w:w="86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jc w:val="center"/>
        </w:trPr>
        <w:tc>
          <w:tcPr>
            <w:tcW w:w="2138" w:type="dxa"/>
            <w:shd w:val="clear" w:color="auto" w:fill="auto"/>
            <w:vAlign w:val="center"/>
          </w:tcPr>
          <w:p>
            <w:pPr>
              <w:overflowPunct w:val="0"/>
              <w:topLinePunct/>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反馈问题</w:t>
            </w:r>
          </w:p>
          <w:p>
            <w:pPr>
              <w:overflowPunct w:val="0"/>
              <w:topLinePunct/>
              <w:jc w:val="center"/>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（整改任务）</w:t>
            </w:r>
          </w:p>
        </w:tc>
        <w:tc>
          <w:tcPr>
            <w:tcW w:w="6548" w:type="dxa"/>
            <w:shd w:val="clear" w:color="auto" w:fill="auto"/>
            <w:vAlign w:val="center"/>
          </w:tcPr>
          <w:p>
            <w:pPr>
              <w:keepNext w:val="0"/>
              <w:keepLines w:val="0"/>
              <w:pageBreakBefore w:val="0"/>
              <w:widowControl w:val="0"/>
              <w:numPr>
                <w:ilvl w:val="0"/>
                <w:numId w:val="0"/>
              </w:numPr>
              <w:kinsoku/>
              <w:wordWrap/>
              <w:overflowPunct w:val="0"/>
              <w:topLinePunct/>
              <w:autoSpaceDE/>
              <w:autoSpaceDN/>
              <w:bidi w:val="0"/>
              <w:adjustRightInd/>
              <w:snapToGrid/>
              <w:spacing w:line="400" w:lineRule="exact"/>
              <w:jc w:val="both"/>
              <w:textAlignment w:val="auto"/>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全省232个县级城市饮用水水源地中有72个未完成规范化建设。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2138" w:type="dxa"/>
            <w:shd w:val="clear" w:color="auto" w:fill="auto"/>
            <w:vAlign w:val="center"/>
          </w:tcPr>
          <w:p>
            <w:pPr>
              <w:overflowPunct w:val="0"/>
              <w:topLinePunct/>
              <w:jc w:val="center"/>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责任单位</w:t>
            </w:r>
          </w:p>
        </w:tc>
        <w:tc>
          <w:tcPr>
            <w:tcW w:w="6548" w:type="dxa"/>
            <w:shd w:val="clear" w:color="auto" w:fill="auto"/>
            <w:vAlign w:val="center"/>
          </w:tcPr>
          <w:p>
            <w:pPr>
              <w:keepNext w:val="0"/>
              <w:keepLines w:val="0"/>
              <w:pageBreakBefore w:val="0"/>
              <w:widowControl w:val="0"/>
              <w:kinsoku/>
              <w:wordWrap/>
              <w:overflowPunct w:val="0"/>
              <w:topLinePunct/>
              <w:autoSpaceDE/>
              <w:autoSpaceDN/>
              <w:bidi w:val="0"/>
              <w:adjustRightInd/>
              <w:snapToGrid/>
              <w:spacing w:line="400" w:lineRule="exact"/>
              <w:jc w:val="both"/>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攀枝花市环境保护局</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2138" w:type="dxa"/>
            <w:shd w:val="clear" w:color="auto" w:fill="auto"/>
            <w:vAlign w:val="center"/>
          </w:tcPr>
          <w:p>
            <w:pPr>
              <w:overflowPunct w:val="0"/>
              <w:topLinePunct/>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责任人</w:t>
            </w:r>
          </w:p>
        </w:tc>
        <w:tc>
          <w:tcPr>
            <w:tcW w:w="6548" w:type="dxa"/>
            <w:shd w:val="clear" w:color="auto" w:fill="auto"/>
            <w:vAlign w:val="center"/>
          </w:tcPr>
          <w:p>
            <w:pPr>
              <w:keepNext w:val="0"/>
              <w:keepLines w:val="0"/>
              <w:pageBreakBefore w:val="0"/>
              <w:widowControl w:val="0"/>
              <w:kinsoku/>
              <w:wordWrap/>
              <w:overflowPunct w:val="0"/>
              <w:topLinePunct/>
              <w:autoSpaceDE/>
              <w:autoSpaceDN/>
              <w:bidi w:val="0"/>
              <w:adjustRightInd/>
              <w:snapToGrid/>
              <w:spacing w:line="400" w:lineRule="exact"/>
              <w:jc w:val="both"/>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苟顶才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2138" w:type="dxa"/>
            <w:shd w:val="clear" w:color="auto" w:fill="auto"/>
            <w:vAlign w:val="center"/>
          </w:tcPr>
          <w:p>
            <w:pPr>
              <w:overflowPunct w:val="0"/>
              <w:topLinePunct/>
              <w:jc w:val="center"/>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联系电话</w:t>
            </w:r>
          </w:p>
        </w:tc>
        <w:tc>
          <w:tcPr>
            <w:tcW w:w="6548" w:type="dxa"/>
            <w:shd w:val="clear" w:color="auto" w:fill="auto"/>
            <w:vAlign w:val="center"/>
          </w:tcPr>
          <w:p>
            <w:pPr>
              <w:keepNext w:val="0"/>
              <w:keepLines w:val="0"/>
              <w:pageBreakBefore w:val="0"/>
              <w:widowControl w:val="0"/>
              <w:kinsoku/>
              <w:wordWrap/>
              <w:overflowPunct w:val="0"/>
              <w:topLinePunct/>
              <w:autoSpaceDE/>
              <w:autoSpaceDN/>
              <w:bidi w:val="0"/>
              <w:adjustRightInd/>
              <w:snapToGrid/>
              <w:spacing w:line="400" w:lineRule="exact"/>
              <w:jc w:val="both"/>
              <w:textAlignment w:val="auto"/>
              <w:rPr>
                <w:rFonts w:hint="eastAsia" w:ascii="Times New Roman" w:hAnsi="Times New Roman" w:eastAsia="楷体_GB2312" w:cs="Times New Roman"/>
                <w:kern w:val="0"/>
                <w:sz w:val="24"/>
                <w:szCs w:val="24"/>
                <w:lang w:val="en-US" w:eastAsia="zh-CN"/>
              </w:rPr>
            </w:pPr>
            <w:r>
              <w:rPr>
                <w:rFonts w:hint="eastAsia" w:ascii="仿宋_GB2312" w:hAnsi="仿宋_GB2312" w:eastAsia="仿宋_GB2312" w:cs="仿宋_GB2312"/>
                <w:kern w:val="0"/>
                <w:sz w:val="24"/>
                <w:szCs w:val="24"/>
                <w:lang w:val="en-US" w:eastAsia="zh-CN"/>
              </w:rPr>
              <w:t>0812-3320502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2138" w:type="dxa"/>
            <w:shd w:val="clear" w:color="auto" w:fill="auto"/>
            <w:vAlign w:val="center"/>
          </w:tcPr>
          <w:p>
            <w:pPr>
              <w:overflowPunct w:val="0"/>
              <w:topLinePunct/>
              <w:jc w:val="center"/>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整改目标</w:t>
            </w:r>
          </w:p>
        </w:tc>
        <w:tc>
          <w:tcPr>
            <w:tcW w:w="6548" w:type="dxa"/>
            <w:shd w:val="clear" w:color="auto" w:fill="auto"/>
            <w:vAlign w:val="center"/>
          </w:tcPr>
          <w:p>
            <w:pPr>
              <w:keepNext w:val="0"/>
              <w:keepLines w:val="0"/>
              <w:pageBreakBefore w:val="0"/>
              <w:widowControl w:val="0"/>
              <w:kinsoku/>
              <w:wordWrap/>
              <w:overflowPunct w:val="0"/>
              <w:topLinePunct/>
              <w:autoSpaceDE/>
              <w:autoSpaceDN/>
              <w:bidi w:val="0"/>
              <w:adjustRightInd/>
              <w:snapToGrid/>
              <w:spacing w:line="400" w:lineRule="exact"/>
              <w:jc w:val="both"/>
              <w:textAlignment w:val="auto"/>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eastAsia="zh-CN"/>
              </w:rPr>
              <w:t>按照生态环境部要求在</w:t>
            </w:r>
            <w:r>
              <w:rPr>
                <w:rFonts w:hint="eastAsia" w:ascii="仿宋_GB2312" w:hAnsi="仿宋_GB2312" w:eastAsia="仿宋_GB2312" w:cs="仿宋_GB2312"/>
                <w:kern w:val="0"/>
                <w:sz w:val="24"/>
                <w:szCs w:val="24"/>
                <w:lang w:val="en-US" w:eastAsia="zh-CN"/>
              </w:rPr>
              <w:t>2018年12月完成县级饮用水水源地规范化建设工作。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2138" w:type="dxa"/>
            <w:shd w:val="clear" w:color="auto" w:fill="auto"/>
            <w:vAlign w:val="center"/>
          </w:tcPr>
          <w:p>
            <w:pPr>
              <w:overflowPunct w:val="0"/>
              <w:topLinePunct/>
              <w:jc w:val="center"/>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整改措施</w:t>
            </w:r>
          </w:p>
        </w:tc>
        <w:tc>
          <w:tcPr>
            <w:tcW w:w="6548" w:type="dxa"/>
            <w:shd w:val="clear" w:color="auto" w:fill="auto"/>
            <w:vAlign w:val="center"/>
          </w:tcPr>
          <w:p>
            <w:pPr>
              <w:keepNext w:val="0"/>
              <w:keepLines w:val="0"/>
              <w:pageBreakBefore w:val="0"/>
              <w:widowControl w:val="0"/>
              <w:numPr>
                <w:ilvl w:val="0"/>
                <w:numId w:val="0"/>
              </w:numPr>
              <w:kinsoku/>
              <w:wordWrap/>
              <w:overflowPunct w:val="0"/>
              <w:topLinePunct/>
              <w:autoSpaceDE/>
              <w:autoSpaceDN/>
              <w:bidi w:val="0"/>
              <w:adjustRightInd/>
              <w:snapToGrid/>
              <w:spacing w:line="360" w:lineRule="exact"/>
              <w:jc w:val="both"/>
              <w:textAlignment w:val="auto"/>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1、全省72个未完成规范化建设的县级城市饮用水水源地，不涉及我市；</w:t>
            </w:r>
          </w:p>
          <w:p>
            <w:pPr>
              <w:keepNext w:val="0"/>
              <w:keepLines w:val="0"/>
              <w:pageBreakBefore w:val="0"/>
              <w:widowControl w:val="0"/>
              <w:numPr>
                <w:ilvl w:val="0"/>
                <w:numId w:val="0"/>
              </w:numPr>
              <w:kinsoku/>
              <w:wordWrap/>
              <w:overflowPunct w:val="0"/>
              <w:topLinePunct/>
              <w:autoSpaceDE/>
              <w:autoSpaceDN/>
              <w:bidi w:val="0"/>
              <w:adjustRightInd/>
              <w:snapToGrid/>
              <w:spacing w:line="360" w:lineRule="exact"/>
              <w:jc w:val="both"/>
              <w:textAlignment w:val="auto"/>
              <w:outlineLvl w:val="9"/>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2、对全市已整改完成的县级饮用水水源地环境问题进一步落实监管责任，对整改问题进行监督，杜绝问题反弹。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4" w:hRule="atLeast"/>
          <w:jc w:val="center"/>
        </w:trPr>
        <w:tc>
          <w:tcPr>
            <w:tcW w:w="2138" w:type="dxa"/>
            <w:shd w:val="clear" w:color="auto" w:fill="auto"/>
            <w:vAlign w:val="center"/>
          </w:tcPr>
          <w:p>
            <w:pPr>
              <w:overflowPunct w:val="0"/>
              <w:topLinePunct/>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整改主要工作</w:t>
            </w:r>
          </w:p>
          <w:p>
            <w:pPr>
              <w:overflowPunct w:val="0"/>
              <w:topLinePunct/>
              <w:jc w:val="center"/>
              <w:rPr>
                <w:rFonts w:hint="default" w:ascii="Times New Roman" w:hAnsi="Times New Roman" w:eastAsia="楷体_GB2312" w:cs="Times New Roman"/>
                <w:kern w:val="0"/>
                <w:sz w:val="32"/>
                <w:szCs w:val="32"/>
              </w:rPr>
            </w:pPr>
            <w:r>
              <w:rPr>
                <w:rFonts w:hint="default" w:ascii="Times New Roman" w:hAnsi="Times New Roman" w:eastAsia="黑体" w:cs="Times New Roman"/>
                <w:kern w:val="0"/>
                <w:sz w:val="32"/>
                <w:szCs w:val="32"/>
              </w:rPr>
              <w:t>及成效</w:t>
            </w:r>
          </w:p>
        </w:tc>
        <w:tc>
          <w:tcPr>
            <w:tcW w:w="6548" w:type="dxa"/>
            <w:shd w:val="clear" w:color="auto" w:fill="auto"/>
            <w:vAlign w:val="center"/>
          </w:tcPr>
          <w:p>
            <w:pPr>
              <w:keepNext w:val="0"/>
              <w:keepLines w:val="0"/>
              <w:pageBreakBefore w:val="0"/>
              <w:widowControl w:val="0"/>
              <w:numPr>
                <w:ilvl w:val="0"/>
                <w:numId w:val="0"/>
              </w:numPr>
              <w:kinsoku/>
              <w:wordWrap/>
              <w:overflowPunct w:val="0"/>
              <w:topLinePunct/>
              <w:autoSpaceDE/>
              <w:autoSpaceDN/>
              <w:bidi w:val="0"/>
              <w:adjustRightInd/>
              <w:snapToGrid/>
              <w:spacing w:line="360" w:lineRule="exact"/>
              <w:jc w:val="both"/>
              <w:textAlignment w:val="auto"/>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对全市已整改完成的县级饮用水水源地环境问题进一步落实监管责任，对整改问题进行监督，截至目前，未发现问题反弹。</w:t>
            </w:r>
          </w:p>
          <w:p>
            <w:pPr>
              <w:overflowPunct w:val="0"/>
              <w:topLinePunct/>
              <w:jc w:val="both"/>
              <w:rPr>
                <w:rFonts w:hint="eastAsia" w:ascii="Times New Roman" w:hAnsi="Times New Roman" w:eastAsia="楷体_GB2312" w:cs="Times New Roman"/>
                <w:kern w:val="0"/>
                <w:sz w:val="36"/>
                <w:szCs w:val="36"/>
                <w:lang w:val="en-US" w:eastAsia="zh-CN"/>
              </w:rPr>
            </w:pPr>
          </w:p>
        </w:tc>
      </w:tr>
    </w:tbl>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C577C"/>
    <w:rsid w:val="031704D6"/>
    <w:rsid w:val="0AF0087A"/>
    <w:rsid w:val="10447145"/>
    <w:rsid w:val="10E4674B"/>
    <w:rsid w:val="15BF174B"/>
    <w:rsid w:val="24802893"/>
    <w:rsid w:val="261676C5"/>
    <w:rsid w:val="322C5392"/>
    <w:rsid w:val="359714E3"/>
    <w:rsid w:val="35E53CAE"/>
    <w:rsid w:val="3901665E"/>
    <w:rsid w:val="3D187278"/>
    <w:rsid w:val="3F820EF3"/>
    <w:rsid w:val="407E5606"/>
    <w:rsid w:val="4367045C"/>
    <w:rsid w:val="47526900"/>
    <w:rsid w:val="4BFF22C8"/>
    <w:rsid w:val="4EB67E34"/>
    <w:rsid w:val="537A1287"/>
    <w:rsid w:val="53A76869"/>
    <w:rsid w:val="54F822E0"/>
    <w:rsid w:val="56BA0494"/>
    <w:rsid w:val="613873FB"/>
    <w:rsid w:val="65AE66FB"/>
    <w:rsid w:val="69F91F5F"/>
    <w:rsid w:val="6B2F2B31"/>
    <w:rsid w:val="6ED95CA5"/>
    <w:rsid w:val="6F0C7D24"/>
    <w:rsid w:val="7A233ADC"/>
    <w:rsid w:val="7BFB18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2019-01-02T08:36:58Z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