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autoSpaceDE/>
        <w:autoSpaceDN/>
        <w:bidi w:val="0"/>
        <w:adjustRightInd/>
        <w:snapToGrid/>
        <w:spacing w:line="600" w:lineRule="exact"/>
        <w:jc w:val="left"/>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附件4</w:t>
      </w:r>
    </w:p>
    <w:p>
      <w:pPr>
        <w:keepNext w:val="0"/>
        <w:keepLines w:val="0"/>
        <w:pageBreakBefore w:val="0"/>
        <w:widowControl w:val="0"/>
        <w:kinsoku/>
        <w:wordWrap/>
        <w:overflowPunct w:val="0"/>
        <w:topLinePunct/>
        <w:autoSpaceDE/>
        <w:autoSpaceDN/>
        <w:bidi w:val="0"/>
        <w:adjustRightInd/>
        <w:snapToGrid/>
        <w:spacing w:line="600" w:lineRule="exact"/>
        <w:jc w:val="lef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autoSpaceDE/>
        <w:autoSpaceDN/>
        <w:bidi w:val="0"/>
        <w:adjustRightInd/>
        <w:snapToGrid/>
        <w:spacing w:line="60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攀枝花市中央环境保护督察反馈意见</w:t>
      </w:r>
    </w:p>
    <w:p>
      <w:pPr>
        <w:keepNext w:val="0"/>
        <w:keepLines w:val="0"/>
        <w:pageBreakBefore w:val="0"/>
        <w:widowControl w:val="0"/>
        <w:kinsoku/>
        <w:wordWrap/>
        <w:overflowPunct w:val="0"/>
        <w:topLinePunct/>
        <w:autoSpaceDE/>
        <w:autoSpaceDN/>
        <w:bidi w:val="0"/>
        <w:adjustRightInd/>
        <w:snapToGrid/>
        <w:spacing w:line="60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（整改任务</w:t>
      </w:r>
      <w:r>
        <w:rPr>
          <w:rFonts w:hint="eastAsia" w:ascii="Times New Roman" w:hAnsi="Times New Roman" w:eastAsia="方正小标宋_GBK" w:cs="Times New Roman"/>
          <w:sz w:val="44"/>
          <w:szCs w:val="44"/>
          <w:lang w:eastAsia="zh-CN"/>
        </w:rPr>
        <w:t>第</w:t>
      </w:r>
      <w:r>
        <w:rPr>
          <w:rFonts w:hint="eastAsia" w:ascii="Times New Roman" w:hAnsi="Times New Roman" w:eastAsia="方正小标宋_GBK" w:cs="Times New Roman"/>
          <w:sz w:val="44"/>
          <w:szCs w:val="44"/>
          <w:lang w:val="en-US" w:eastAsia="zh-CN"/>
        </w:rPr>
        <w:t>50项</w:t>
      </w:r>
      <w:r>
        <w:rPr>
          <w:rFonts w:hint="default" w:ascii="Times New Roman" w:hAnsi="Times New Roman" w:eastAsia="方正小标宋_GBK" w:cs="Times New Roman"/>
          <w:sz w:val="44"/>
          <w:szCs w:val="44"/>
        </w:rPr>
        <w:t>）整改任务完成情况</w:t>
      </w:r>
    </w:p>
    <w:p>
      <w:pPr>
        <w:keepNext w:val="0"/>
        <w:keepLines w:val="0"/>
        <w:pageBreakBefore w:val="0"/>
        <w:widowControl w:val="0"/>
        <w:kinsoku/>
        <w:wordWrap/>
        <w:overflowPunct w:val="0"/>
        <w:topLinePunct/>
        <w:autoSpaceDE/>
        <w:autoSpaceDN/>
        <w:bidi w:val="0"/>
        <w:adjustRightInd/>
        <w:snapToGrid/>
        <w:spacing w:line="60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公示表</w:t>
      </w:r>
    </w:p>
    <w:p>
      <w:pPr>
        <w:keepNext w:val="0"/>
        <w:keepLines w:val="0"/>
        <w:pageBreakBefore w:val="0"/>
        <w:widowControl w:val="0"/>
        <w:kinsoku/>
        <w:wordWrap/>
        <w:overflowPunct w:val="0"/>
        <w:topLinePunct/>
        <w:autoSpaceDE/>
        <w:autoSpaceDN/>
        <w:bidi w:val="0"/>
        <w:adjustRightInd/>
        <w:snapToGrid/>
        <w:spacing w:line="600" w:lineRule="exact"/>
        <w:textAlignment w:val="auto"/>
        <w:outlineLvl w:val="9"/>
        <w:rPr>
          <w:rFonts w:hint="default" w:ascii="Times New Roman" w:hAnsi="Times New Roman" w:eastAsia="楷体_GB2312" w:cs="Times New Roman"/>
          <w:sz w:val="32"/>
          <w:szCs w:val="32"/>
        </w:rPr>
      </w:pPr>
    </w:p>
    <w:tbl>
      <w:tblPr>
        <w:tblStyle w:val="3"/>
        <w:tblW w:w="86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jc w:val="center"/>
        </w:trPr>
        <w:tc>
          <w:tcPr>
            <w:tcW w:w="2138" w:type="dxa"/>
            <w:shd w:val="clear" w:color="auto" w:fill="auto"/>
            <w:vAlign w:val="center"/>
          </w:tcPr>
          <w:p>
            <w:pPr>
              <w:overflowPunct w:val="0"/>
              <w:topLinePunct/>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反馈问题</w:t>
            </w:r>
          </w:p>
          <w:p>
            <w:pPr>
              <w:overflowPunct w:val="0"/>
              <w:topLinePunct/>
              <w:jc w:val="center"/>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（整改任务）</w:t>
            </w:r>
          </w:p>
        </w:tc>
        <w:tc>
          <w:tcPr>
            <w:tcW w:w="6548" w:type="dxa"/>
            <w:shd w:val="clear" w:color="auto" w:fill="auto"/>
            <w:vAlign w:val="center"/>
          </w:tcPr>
          <w:p>
            <w:pPr>
              <w:keepNext w:val="0"/>
              <w:keepLines w:val="0"/>
              <w:pageBreakBefore w:val="0"/>
              <w:widowControl w:val="0"/>
              <w:kinsoku/>
              <w:wordWrap/>
              <w:overflowPunct w:val="0"/>
              <w:topLinePunct/>
              <w:autoSpaceDE/>
              <w:autoSpaceDN/>
              <w:bidi w:val="0"/>
              <w:adjustRightInd/>
              <w:snapToGrid/>
              <w:spacing w:line="400" w:lineRule="exact"/>
              <w:jc w:val="both"/>
              <w:textAlignment w:val="auto"/>
              <w:outlineLvl w:val="9"/>
              <w:rPr>
                <w:rFonts w:hint="default" w:ascii="Times New Roman" w:hAnsi="Times New Roman" w:eastAsia="楷体_GB2312" w:cs="Times New Roman"/>
                <w:kern w:val="0"/>
                <w:sz w:val="24"/>
                <w:szCs w:val="24"/>
              </w:rPr>
            </w:pPr>
            <w:r>
              <w:rPr>
                <w:rFonts w:hint="eastAsia" w:ascii="仿宋_GB2312" w:hAnsi="仿宋_GB2312" w:eastAsia="仿宋_GB2312" w:cs="仿宋_GB2312"/>
                <w:kern w:val="0"/>
                <w:sz w:val="24"/>
                <w:szCs w:val="24"/>
              </w:rPr>
              <w:t>2016年，攀枝花、南充等15个市在环境保护部开展的饮用水水源地保护专项行动中均被发现存在较大问题。（省整改任务第50项）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2138" w:type="dxa"/>
            <w:shd w:val="clear" w:color="auto" w:fill="auto"/>
            <w:vAlign w:val="center"/>
          </w:tcPr>
          <w:p>
            <w:pPr>
              <w:overflowPunct w:val="0"/>
              <w:topLinePunct/>
              <w:jc w:val="center"/>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责任单位</w:t>
            </w:r>
          </w:p>
        </w:tc>
        <w:tc>
          <w:tcPr>
            <w:tcW w:w="6548" w:type="dxa"/>
            <w:shd w:val="clear" w:color="auto" w:fill="auto"/>
            <w:vAlign w:val="center"/>
          </w:tcPr>
          <w:p>
            <w:pPr>
              <w:keepNext w:val="0"/>
              <w:keepLines w:val="0"/>
              <w:pageBreakBefore w:val="0"/>
              <w:widowControl w:val="0"/>
              <w:kinsoku/>
              <w:wordWrap/>
              <w:overflowPunct w:val="0"/>
              <w:topLinePunct/>
              <w:autoSpaceDE/>
              <w:autoSpaceDN/>
              <w:bidi w:val="0"/>
              <w:adjustRightInd/>
              <w:snapToGrid/>
              <w:spacing w:line="400" w:lineRule="exact"/>
              <w:jc w:val="both"/>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攀枝花市环境保护局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2138" w:type="dxa"/>
            <w:shd w:val="clear" w:color="auto" w:fill="auto"/>
            <w:vAlign w:val="center"/>
          </w:tcPr>
          <w:p>
            <w:pPr>
              <w:overflowPunct w:val="0"/>
              <w:topLinePunct/>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责任人</w:t>
            </w:r>
          </w:p>
        </w:tc>
        <w:tc>
          <w:tcPr>
            <w:tcW w:w="6548" w:type="dxa"/>
            <w:shd w:val="clear" w:color="auto" w:fill="auto"/>
            <w:vAlign w:val="center"/>
          </w:tcPr>
          <w:p>
            <w:pPr>
              <w:keepNext w:val="0"/>
              <w:keepLines w:val="0"/>
              <w:pageBreakBefore w:val="0"/>
              <w:widowControl w:val="0"/>
              <w:kinsoku/>
              <w:wordWrap/>
              <w:overflowPunct w:val="0"/>
              <w:topLinePunct/>
              <w:autoSpaceDE/>
              <w:autoSpaceDN/>
              <w:bidi w:val="0"/>
              <w:adjustRightInd/>
              <w:snapToGrid/>
              <w:spacing w:line="400" w:lineRule="exact"/>
              <w:jc w:val="both"/>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苟顶才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2138" w:type="dxa"/>
            <w:shd w:val="clear" w:color="auto" w:fill="auto"/>
            <w:vAlign w:val="center"/>
          </w:tcPr>
          <w:p>
            <w:pPr>
              <w:overflowPunct w:val="0"/>
              <w:topLinePunct/>
              <w:jc w:val="center"/>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联系电话</w:t>
            </w:r>
          </w:p>
        </w:tc>
        <w:tc>
          <w:tcPr>
            <w:tcW w:w="6548" w:type="dxa"/>
            <w:shd w:val="clear" w:color="auto" w:fill="auto"/>
            <w:vAlign w:val="center"/>
          </w:tcPr>
          <w:p>
            <w:pPr>
              <w:keepNext w:val="0"/>
              <w:keepLines w:val="0"/>
              <w:pageBreakBefore w:val="0"/>
              <w:widowControl w:val="0"/>
              <w:kinsoku/>
              <w:wordWrap/>
              <w:overflowPunct w:val="0"/>
              <w:topLinePunct/>
              <w:autoSpaceDE/>
              <w:autoSpaceDN/>
              <w:bidi w:val="0"/>
              <w:adjustRightInd/>
              <w:snapToGrid/>
              <w:spacing w:line="400" w:lineRule="exact"/>
              <w:jc w:val="both"/>
              <w:textAlignment w:val="auto"/>
              <w:rPr>
                <w:rFonts w:hint="eastAsia" w:ascii="Times New Roman" w:hAnsi="Times New Roman" w:eastAsia="楷体_GB2312" w:cs="Times New Roman"/>
                <w:kern w:val="0"/>
                <w:sz w:val="24"/>
                <w:szCs w:val="24"/>
                <w:lang w:val="en-US" w:eastAsia="zh-CN"/>
              </w:rPr>
            </w:pPr>
            <w:r>
              <w:rPr>
                <w:rFonts w:hint="eastAsia" w:ascii="仿宋_GB2312" w:hAnsi="仿宋_GB2312" w:eastAsia="仿宋_GB2312" w:cs="仿宋_GB2312"/>
                <w:kern w:val="0"/>
                <w:sz w:val="24"/>
                <w:szCs w:val="24"/>
                <w:lang w:val="en-US" w:eastAsia="zh-CN"/>
              </w:rPr>
              <w:t>0812-3320502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2138" w:type="dxa"/>
            <w:shd w:val="clear" w:color="auto" w:fill="auto"/>
            <w:vAlign w:val="center"/>
          </w:tcPr>
          <w:p>
            <w:pPr>
              <w:overflowPunct w:val="0"/>
              <w:topLinePunct/>
              <w:jc w:val="center"/>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整改目标</w:t>
            </w:r>
          </w:p>
        </w:tc>
        <w:tc>
          <w:tcPr>
            <w:tcW w:w="6548" w:type="dxa"/>
            <w:shd w:val="clear" w:color="auto" w:fill="auto"/>
            <w:vAlign w:val="center"/>
          </w:tcPr>
          <w:p>
            <w:pPr>
              <w:keepNext w:val="0"/>
              <w:keepLines w:val="0"/>
              <w:pageBreakBefore w:val="0"/>
              <w:widowControl w:val="0"/>
              <w:kinsoku/>
              <w:wordWrap/>
              <w:overflowPunct w:val="0"/>
              <w:topLinePunct/>
              <w:autoSpaceDE/>
              <w:autoSpaceDN/>
              <w:bidi w:val="0"/>
              <w:adjustRightInd/>
              <w:snapToGrid/>
              <w:spacing w:line="400" w:lineRule="exact"/>
              <w:jc w:val="both"/>
              <w:textAlignment w:val="auto"/>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eastAsia="zh-CN"/>
              </w:rPr>
              <w:t>按照生态环境部要求在</w:t>
            </w:r>
            <w:r>
              <w:rPr>
                <w:rFonts w:hint="eastAsia" w:ascii="仿宋_GB2312" w:hAnsi="仿宋_GB2312" w:eastAsia="仿宋_GB2312" w:cs="仿宋_GB2312"/>
                <w:kern w:val="0"/>
                <w:sz w:val="24"/>
                <w:szCs w:val="24"/>
                <w:lang w:val="en-US" w:eastAsia="zh-CN"/>
              </w:rPr>
              <w:t>2017年11月30日前完成地级饮用水水源地环境问题整治工作。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2138" w:type="dxa"/>
            <w:shd w:val="clear" w:color="auto" w:fill="auto"/>
            <w:vAlign w:val="center"/>
          </w:tcPr>
          <w:p>
            <w:pPr>
              <w:overflowPunct w:val="0"/>
              <w:topLinePunct/>
              <w:jc w:val="center"/>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整改措施</w:t>
            </w:r>
          </w:p>
        </w:tc>
        <w:tc>
          <w:tcPr>
            <w:tcW w:w="6548" w:type="dxa"/>
            <w:shd w:val="clear" w:color="auto" w:fill="auto"/>
            <w:vAlign w:val="center"/>
          </w:tcPr>
          <w:p>
            <w:pPr>
              <w:keepNext w:val="0"/>
              <w:keepLines w:val="0"/>
              <w:pageBreakBefore w:val="0"/>
              <w:widowControl w:val="0"/>
              <w:numPr>
                <w:ilvl w:val="0"/>
                <w:numId w:val="0"/>
              </w:numPr>
              <w:kinsoku/>
              <w:wordWrap/>
              <w:overflowPunct w:val="0"/>
              <w:topLinePunct/>
              <w:autoSpaceDE/>
              <w:autoSpaceDN/>
              <w:bidi w:val="0"/>
              <w:adjustRightInd/>
              <w:snapToGrid/>
              <w:spacing w:line="400" w:lineRule="exact"/>
              <w:jc w:val="both"/>
              <w:textAlignment w:val="auto"/>
              <w:outlineLvl w:val="9"/>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1、根据</w:t>
            </w:r>
            <w:r>
              <w:rPr>
                <w:rFonts w:hint="default" w:ascii="仿宋_GB2312" w:hAnsi="仿宋_GB2312" w:eastAsia="仿宋_GB2312" w:cs="仿宋_GB2312"/>
                <w:kern w:val="0"/>
                <w:sz w:val="24"/>
                <w:szCs w:val="24"/>
                <w:lang w:eastAsia="zh-CN"/>
              </w:rPr>
              <w:t>攀枝花市人民政府办公室关于印发《攀枝花市地级集中式饮用水水源地环境问题整改方案》（环境保护厅审定稿）（攀办发〔2017〕86 号）文件要求，我市地级水源地环境问题于2017年11月30日前已完成整改。</w:t>
            </w:r>
            <w:r>
              <w:rPr>
                <w:rFonts w:hint="eastAsia" w:ascii="仿宋_GB2312" w:hAnsi="仿宋_GB2312" w:eastAsia="仿宋_GB2312" w:cs="仿宋_GB2312"/>
                <w:kern w:val="0"/>
                <w:sz w:val="24"/>
                <w:szCs w:val="24"/>
                <w:lang w:val="en-US" w:eastAsia="zh-CN"/>
              </w:rPr>
              <w:t>2、对全市已整改完成的地级水源地环境问题进一步落实监管责任，对整改问题进行监督，杜绝问题反弹。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jc w:val="center"/>
        </w:trPr>
        <w:tc>
          <w:tcPr>
            <w:tcW w:w="2138" w:type="dxa"/>
            <w:shd w:val="clear" w:color="auto" w:fill="auto"/>
            <w:vAlign w:val="center"/>
          </w:tcPr>
          <w:p>
            <w:pPr>
              <w:overflowPunct w:val="0"/>
              <w:topLinePunct/>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整改主要工作</w:t>
            </w:r>
          </w:p>
          <w:p>
            <w:pPr>
              <w:overflowPunct w:val="0"/>
              <w:topLinePunct/>
              <w:jc w:val="center"/>
              <w:rPr>
                <w:rFonts w:hint="default" w:ascii="Times New Roman" w:hAnsi="Times New Roman" w:eastAsia="楷体_GB2312" w:cs="Times New Roman"/>
                <w:kern w:val="0"/>
                <w:sz w:val="32"/>
                <w:szCs w:val="32"/>
              </w:rPr>
            </w:pPr>
            <w:r>
              <w:rPr>
                <w:rFonts w:hint="default" w:ascii="Times New Roman" w:hAnsi="Times New Roman" w:eastAsia="黑体" w:cs="Times New Roman"/>
                <w:kern w:val="0"/>
                <w:sz w:val="32"/>
                <w:szCs w:val="32"/>
              </w:rPr>
              <w:t>及成效</w:t>
            </w:r>
          </w:p>
        </w:tc>
        <w:tc>
          <w:tcPr>
            <w:tcW w:w="6548" w:type="dxa"/>
            <w:shd w:val="clear" w:color="auto" w:fill="auto"/>
            <w:vAlign w:val="center"/>
          </w:tcPr>
          <w:p>
            <w:pPr>
              <w:overflowPunct w:val="0"/>
              <w:topLinePunct/>
              <w:jc w:val="both"/>
              <w:rPr>
                <w:rFonts w:hint="eastAsia" w:ascii="Times New Roman" w:hAnsi="Times New Roman" w:eastAsia="楷体_GB2312" w:cs="Times New Roman"/>
                <w:kern w:val="0"/>
                <w:sz w:val="36"/>
                <w:szCs w:val="36"/>
                <w:lang w:val="en-US" w:eastAsia="zh-CN"/>
              </w:rPr>
            </w:pPr>
            <w:r>
              <w:rPr>
                <w:rFonts w:hint="eastAsia" w:ascii="仿宋_GB2312" w:hAnsi="仿宋_GB2312" w:eastAsia="仿宋_GB2312" w:cs="仿宋_GB2312"/>
                <w:kern w:val="0"/>
                <w:sz w:val="24"/>
                <w:szCs w:val="24"/>
                <w:lang w:eastAsia="zh-CN"/>
              </w:rPr>
              <w:t>严格按</w:t>
            </w:r>
            <w:r>
              <w:rPr>
                <w:rFonts w:hint="default" w:ascii="仿宋_GB2312" w:hAnsi="仿宋_GB2312" w:eastAsia="仿宋_GB2312" w:cs="仿宋_GB2312"/>
                <w:kern w:val="0"/>
                <w:sz w:val="24"/>
                <w:szCs w:val="24"/>
                <w:lang w:eastAsia="zh-CN"/>
              </w:rPr>
              <w:t>《攀枝花市地级集中式饮用水水源地环境问题整改方案》（环境保护厅审定稿）（攀办发〔2017〕86 号）</w:t>
            </w:r>
            <w:r>
              <w:rPr>
                <w:rFonts w:hint="eastAsia" w:ascii="仿宋_GB2312" w:hAnsi="仿宋_GB2312" w:eastAsia="仿宋_GB2312" w:cs="仿宋_GB2312"/>
                <w:kern w:val="0"/>
                <w:sz w:val="24"/>
                <w:szCs w:val="24"/>
                <w:lang w:eastAsia="zh-CN"/>
              </w:rPr>
              <w:t>要求对各项饮用水水源地环境问题进行了整改落实，截止</w:t>
            </w:r>
            <w:r>
              <w:rPr>
                <w:rFonts w:hint="eastAsia" w:ascii="仿宋_GB2312" w:hAnsi="仿宋_GB2312" w:eastAsia="仿宋_GB2312" w:cs="仿宋_GB2312"/>
                <w:kern w:val="0"/>
                <w:sz w:val="24"/>
                <w:szCs w:val="24"/>
                <w:lang w:val="en-US" w:eastAsia="zh-CN"/>
              </w:rPr>
              <w:t>2017年11月30日，涉及我市地级饮用水水源地的31个环境问题全面得到解决。压实属地职责，加强对饮用水水源地的监管，今年接受了国家饮用水水源地环保专项行动执法检查，进一步强化了饮用水源地保护工作，截至目前未发</w:t>
            </w:r>
            <w:bookmarkStart w:id="0" w:name="_GoBack"/>
            <w:bookmarkEnd w:id="0"/>
            <w:r>
              <w:rPr>
                <w:rFonts w:hint="eastAsia" w:ascii="仿宋_GB2312" w:hAnsi="仿宋_GB2312" w:eastAsia="仿宋_GB2312" w:cs="仿宋_GB2312"/>
                <w:kern w:val="0"/>
                <w:sz w:val="24"/>
                <w:szCs w:val="24"/>
                <w:lang w:val="en-US" w:eastAsia="zh-CN"/>
              </w:rPr>
              <w:t>现水源地环境问题反弹的现象。</w:t>
            </w:r>
          </w:p>
        </w:tc>
      </w:tr>
    </w:tbl>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704D6"/>
    <w:rsid w:val="0AF0087A"/>
    <w:rsid w:val="322C5392"/>
    <w:rsid w:val="3D187278"/>
    <w:rsid w:val="407E5606"/>
    <w:rsid w:val="4BFF22C8"/>
    <w:rsid w:val="4EB67E34"/>
    <w:rsid w:val="53A76869"/>
    <w:rsid w:val="54F822E0"/>
    <w:rsid w:val="6B2F2B31"/>
    <w:rsid w:val="6F0C7D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2018-08-16T01:24:49Z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