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hint="eastAsia" w:ascii="方正小标宋简体" w:hAnsi="方正小标宋简体" w:eastAsia="黑体" w:cs="方正小标宋简体"/>
          <w:sz w:val="44"/>
          <w:szCs w:val="44"/>
          <w:lang w:eastAsia="zh-CN"/>
        </w:rPr>
      </w:pPr>
      <w:r>
        <w:rPr>
          <w:rFonts w:ascii="Times New Roman" w:hAnsi="Times New Roman" w:eastAsia="黑体"/>
          <w:sz w:val="32"/>
          <w:szCs w:val="32"/>
        </w:rPr>
        <w:t>附件</w:t>
      </w:r>
      <w:r>
        <w:rPr>
          <w:rFonts w:hint="eastAsia" w:ascii="Times New Roman" w:hAnsi="Times New Roman" w:eastAsia="黑体"/>
          <w:sz w:val="32"/>
          <w:szCs w:val="32"/>
          <w:lang w:eastAsia="zh-CN"/>
        </w:rPr>
        <w:t>：</w:t>
      </w:r>
    </w:p>
    <w:p>
      <w:pPr>
        <w:overflowPunct w:val="0"/>
        <w:topLinePunct/>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z w:val="44"/>
          <w:szCs w:val="44"/>
          <w:lang w:eastAsia="zh-CN"/>
        </w:rPr>
        <w:t>轮</w:t>
      </w:r>
      <w:r>
        <w:rPr>
          <w:rFonts w:hint="eastAsia" w:ascii="方正小标宋简体" w:hAnsi="方正小标宋简体" w:eastAsia="方正小标宋简体" w:cs="方正小标宋简体"/>
          <w:sz w:val="44"/>
          <w:szCs w:val="44"/>
          <w:lang w:val="en" w:eastAsia="zh-CN"/>
        </w:rPr>
        <w:t>省级</w:t>
      </w:r>
      <w:r>
        <w:rPr>
          <w:rFonts w:hint="eastAsia" w:ascii="方正小标宋简体" w:hAnsi="方正小标宋简体" w:eastAsia="方正小标宋简体" w:cs="方正小标宋简体"/>
          <w:sz w:val="44"/>
          <w:szCs w:val="44"/>
          <w:lang w:eastAsia="zh-CN"/>
        </w:rPr>
        <w:t>生态环境保护督察第</w:t>
      </w:r>
      <w:r>
        <w:rPr>
          <w:rFonts w:hint="eastAsia" w:ascii="方正小标宋简体" w:hAnsi="方正小标宋简体" w:eastAsia="方正小标宋简体" w:cs="方正小标宋简体"/>
          <w:sz w:val="44"/>
          <w:szCs w:val="44"/>
          <w:lang w:val="en" w:eastAsia="zh-CN"/>
        </w:rPr>
        <w:t>三十九</w:t>
      </w:r>
      <w:r>
        <w:rPr>
          <w:rFonts w:hint="eastAsia" w:ascii="方正小标宋简体" w:hAnsi="方正小标宋简体" w:eastAsia="方正小标宋简体" w:cs="方正小标宋简体"/>
          <w:sz w:val="44"/>
          <w:szCs w:val="44"/>
          <w:lang w:eastAsia="zh-CN"/>
        </w:rPr>
        <w:t>项</w:t>
      </w:r>
    </w:p>
    <w:p>
      <w:pPr>
        <w:overflowPunct w:val="0"/>
        <w:topLinePunct/>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整改任务完成情况表</w:t>
      </w:r>
      <w:bookmarkStart w:id="0" w:name="_GoBack"/>
      <w:bookmarkEnd w:id="0"/>
    </w:p>
    <w:p>
      <w:pPr>
        <w:overflowPunct w:val="0"/>
        <w:topLinePunct/>
        <w:spacing w:line="600" w:lineRule="exact"/>
        <w:jc w:val="left"/>
        <w:rPr>
          <w:rFonts w:ascii="Times New Roman" w:hAnsi="Times New Roman" w:eastAsia="楷体_GB2312"/>
          <w:sz w:val="28"/>
          <w:szCs w:val="28"/>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2110"/>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29" w:hRule="atLeast"/>
          <w:jc w:val="center"/>
        </w:trPr>
        <w:tc>
          <w:tcPr>
            <w:tcW w:w="1188"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bCs/>
                <w:kern w:val="0"/>
                <w:sz w:val="28"/>
                <w:szCs w:val="28"/>
              </w:rPr>
            </w:pPr>
            <w:r>
              <w:rPr>
                <w:rFonts w:ascii="Times New Roman" w:hAnsi="Times New Roman" w:eastAsia="楷体_GB2312"/>
                <w:bCs/>
                <w:kern w:val="0"/>
                <w:sz w:val="28"/>
                <w:szCs w:val="28"/>
              </w:rPr>
              <w:t>整改任务</w:t>
            </w:r>
          </w:p>
        </w:tc>
        <w:tc>
          <w:tcPr>
            <w:tcW w:w="3811"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snapToGrid/>
              <w:spacing w:line="480" w:lineRule="exact"/>
              <w:ind w:firstLine="560" w:firstLineChars="200"/>
              <w:textAlignment w:val="auto"/>
              <w:rPr>
                <w:rFonts w:ascii="Times New Roman" w:hAnsi="Times New Roman" w:eastAsia="楷体_GB2312"/>
                <w:kern w:val="0"/>
                <w:sz w:val="28"/>
                <w:szCs w:val="28"/>
              </w:rPr>
            </w:pPr>
            <w:r>
              <w:rPr>
                <w:rFonts w:hint="eastAsia" w:ascii="Times New Roman" w:hAnsi="Times New Roman" w:eastAsia="仿宋_GB2312"/>
                <w:sz w:val="28"/>
                <w:szCs w:val="28"/>
              </w:rPr>
              <w:t>抽查的12个尾矿库防渗措施落实不到位，4个存在地下水重金属超标情况、4个未开展地下水环境监测。</w:t>
            </w:r>
            <w:r>
              <w:rPr>
                <w:rFonts w:hint="eastAsia" w:ascii="Times New Roman" w:hAnsi="Times New Roman" w:eastAsia="仿宋_GB2312"/>
                <w:sz w:val="28"/>
                <w:szCs w:val="28"/>
                <w:lang w:eastAsia="zh-CN"/>
              </w:rPr>
              <w:t>（12个尾矿库有攀枝花青杠坪矿业有限公司仰天窝铁矿威龙州尾矿库、四川安宁铁钛股份有限公司、盐边县财通铁钛有限责任公司、攀枝花先力矿业有限责任公司、攀枝花市元宝山矿业有限公司尾矿库及干式堆渣场、丰源矿业、新隆矿业、一立钒钛、米易华瑞工贸有限公司、攀钢集团攀枝花新白马矿业万年沟尾矿库、四川安宁铁钛股份有限公司许家沟尾矿库、米易县全福铅锌矿精选厂检槽湾尾矿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3" w:hRule="atLeast"/>
          <w:jc w:val="center"/>
        </w:trPr>
        <w:tc>
          <w:tcPr>
            <w:tcW w:w="1188"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hint="eastAsia" w:ascii="Times New Roman" w:hAnsi="Times New Roman" w:eastAsia="楷体_GB2312"/>
                <w:bCs/>
                <w:kern w:val="0"/>
                <w:sz w:val="28"/>
                <w:szCs w:val="28"/>
                <w:lang w:eastAsia="zh-CN"/>
              </w:rPr>
            </w:pPr>
            <w:r>
              <w:rPr>
                <w:rFonts w:hint="eastAsia" w:ascii="Times New Roman" w:hAnsi="Times New Roman" w:eastAsia="楷体_GB2312"/>
                <w:bCs/>
                <w:kern w:val="0"/>
                <w:sz w:val="28"/>
                <w:szCs w:val="28"/>
                <w:lang w:eastAsia="zh-CN"/>
              </w:rPr>
              <w:t>整改责任单位</w:t>
            </w:r>
          </w:p>
        </w:tc>
        <w:tc>
          <w:tcPr>
            <w:tcW w:w="3811" w:type="pct"/>
            <w:tcBorders>
              <w:top w:val="single" w:color="auto" w:sz="4" w:space="0"/>
              <w:left w:val="nil"/>
              <w:bottom w:val="single" w:color="auto" w:sz="4" w:space="0"/>
              <w:right w:val="single" w:color="auto" w:sz="4" w:space="0"/>
            </w:tcBorders>
            <w:vAlign w:val="center"/>
          </w:tcPr>
          <w:p>
            <w:pPr>
              <w:overflowPunct w:val="0"/>
              <w:topLinePunct/>
              <w:spacing w:line="600" w:lineRule="exact"/>
              <w:rPr>
                <w:rFonts w:hint="eastAsia" w:ascii="Times New Roman" w:hAnsi="Times New Roman" w:eastAsia="仿宋_GB2312"/>
                <w:sz w:val="28"/>
                <w:szCs w:val="28"/>
              </w:rPr>
            </w:pPr>
            <w:r>
              <w:rPr>
                <w:rFonts w:hint="eastAsia" w:ascii="Times New Roman" w:hAnsi="Times New Roman" w:eastAsia="仿宋_GB2312"/>
                <w:sz w:val="28"/>
                <w:szCs w:val="28"/>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18" w:hRule="atLeast"/>
          <w:jc w:val="center"/>
        </w:trPr>
        <w:tc>
          <w:tcPr>
            <w:tcW w:w="1188"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bCs/>
                <w:kern w:val="0"/>
                <w:sz w:val="28"/>
                <w:szCs w:val="28"/>
              </w:rPr>
            </w:pPr>
            <w:r>
              <w:rPr>
                <w:rFonts w:ascii="Times New Roman" w:hAnsi="Times New Roman" w:eastAsia="楷体_GB2312"/>
                <w:bCs/>
                <w:kern w:val="0"/>
                <w:sz w:val="28"/>
                <w:szCs w:val="28"/>
              </w:rPr>
              <w:t>整改目标</w:t>
            </w:r>
          </w:p>
        </w:tc>
        <w:tc>
          <w:tcPr>
            <w:tcW w:w="3811" w:type="pct"/>
            <w:tcBorders>
              <w:top w:val="single" w:color="auto" w:sz="4" w:space="0"/>
              <w:left w:val="nil"/>
              <w:bottom w:val="single" w:color="auto" w:sz="4" w:space="0"/>
              <w:right w:val="single" w:color="auto" w:sz="4" w:space="0"/>
            </w:tcBorders>
            <w:vAlign w:val="center"/>
          </w:tcPr>
          <w:p>
            <w:pPr>
              <w:overflowPunct w:val="0"/>
              <w:topLinePunct/>
              <w:spacing w:line="600" w:lineRule="exact"/>
              <w:rPr>
                <w:rFonts w:ascii="Times New Roman" w:hAnsi="Times New Roman" w:eastAsia="楷体_GB2312"/>
                <w:kern w:val="0"/>
                <w:sz w:val="28"/>
                <w:szCs w:val="28"/>
              </w:rPr>
            </w:pPr>
            <w:r>
              <w:rPr>
                <w:rFonts w:hint="eastAsia" w:ascii="Times New Roman" w:hAnsi="Times New Roman" w:eastAsia="仿宋_GB2312"/>
                <w:sz w:val="28"/>
                <w:szCs w:val="28"/>
              </w:rPr>
              <w:t>确保排渗设施正常运行。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55" w:hRule="atLeast"/>
          <w:jc w:val="center"/>
        </w:trPr>
        <w:tc>
          <w:tcPr>
            <w:tcW w:w="1188"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bCs/>
                <w:kern w:val="0"/>
                <w:sz w:val="28"/>
                <w:szCs w:val="28"/>
              </w:rPr>
            </w:pPr>
            <w:r>
              <w:rPr>
                <w:rFonts w:ascii="Times New Roman" w:hAnsi="Times New Roman" w:eastAsia="楷体_GB2312"/>
                <w:bCs/>
                <w:kern w:val="0"/>
                <w:sz w:val="28"/>
                <w:szCs w:val="28"/>
              </w:rPr>
              <w:t>整改措施</w:t>
            </w:r>
          </w:p>
        </w:tc>
        <w:tc>
          <w:tcPr>
            <w:tcW w:w="3811"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snapToGrid/>
              <w:spacing w:line="48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rPr>
              <w:t>根据《尾矿库安全技术规程》（AQ2006-2005）和《尾矿设施设计规范》（GB50863-2013），加强排渗设施检查，确保排渗设施正常运行。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755" w:hRule="atLeast"/>
          <w:jc w:val="center"/>
        </w:trPr>
        <w:tc>
          <w:tcPr>
            <w:tcW w:w="1188"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hint="eastAsia" w:ascii="Times New Roman" w:hAnsi="Times New Roman" w:eastAsia="楷体_GB2312"/>
                <w:bCs/>
                <w:kern w:val="0"/>
                <w:sz w:val="28"/>
                <w:szCs w:val="28"/>
                <w:lang w:eastAsia="zh-CN"/>
              </w:rPr>
            </w:pPr>
            <w:r>
              <w:rPr>
                <w:rFonts w:hint="eastAsia" w:ascii="Times New Roman" w:hAnsi="Times New Roman" w:eastAsia="楷体_GB2312"/>
                <w:bCs/>
                <w:kern w:val="0"/>
                <w:sz w:val="28"/>
                <w:szCs w:val="28"/>
                <w:lang w:eastAsia="zh-CN"/>
              </w:rPr>
              <w:t>整改主要工作</w:t>
            </w:r>
          </w:p>
          <w:p>
            <w:pPr>
              <w:overflowPunct w:val="0"/>
              <w:topLinePunct/>
              <w:spacing w:line="600" w:lineRule="exact"/>
              <w:jc w:val="center"/>
              <w:rPr>
                <w:rFonts w:ascii="Times New Roman" w:hAnsi="Times New Roman" w:eastAsia="楷体_GB2312"/>
                <w:bCs/>
                <w:kern w:val="0"/>
                <w:sz w:val="28"/>
                <w:szCs w:val="28"/>
              </w:rPr>
            </w:pPr>
            <w:r>
              <w:rPr>
                <w:rFonts w:hint="eastAsia" w:ascii="Times New Roman" w:hAnsi="Times New Roman" w:eastAsia="楷体_GB2312"/>
                <w:bCs/>
                <w:kern w:val="0"/>
                <w:sz w:val="28"/>
                <w:szCs w:val="28"/>
                <w:lang w:eastAsia="zh-CN"/>
              </w:rPr>
              <w:t>及成效</w:t>
            </w:r>
          </w:p>
        </w:tc>
        <w:tc>
          <w:tcPr>
            <w:tcW w:w="3811"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val="0"/>
              <w:topLinePunct/>
              <w:autoSpaceDE/>
              <w:autoSpaceDN/>
              <w:bidi w:val="0"/>
              <w:adjustRightInd/>
              <w:snapToGrid/>
              <w:spacing w:line="480" w:lineRule="exact"/>
              <w:ind w:firstLine="560" w:firstLineChars="2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市应急管理局印发了《攀枝花市应急管理局关于持续抓好第二轮四川省生态环保督查反馈问题整改的函》（攀应急函〔2021〕115号），督促县（区）、企业严格按照标准规范和安全设施设计强化管理，确保排渗设施正常运行。涉及整改12座尾矿库中，3座尾矿库（许家沟尾矿库、检槽湾尾矿库、华瑞尾矿库）已按照应急管理厅等6部门印发的《尾矿库闭库销库销号管理办法（试行）的通知》（川应急〔2021〕14号）闭库销库销号。另9座尾矿库，经县（区)应急管理部门检查，排渗设施均正常运行，出水正常，水质清澈，未出现反弹情况。2022年11月16日至18日，</w:t>
            </w:r>
            <w:r>
              <w:rPr>
                <w:rFonts w:hint="eastAsia" w:ascii="Times New Roman" w:hAnsi="Times New Roman" w:eastAsia="仿宋_GB2312"/>
                <w:sz w:val="28"/>
                <w:szCs w:val="28"/>
                <w:lang w:eastAsia="zh-CN"/>
              </w:rPr>
              <w:t>市应急管理局再次会同县（区）应急管理局组织专家开展现场核查，核查结果均表示符合要求。</w:t>
            </w:r>
          </w:p>
        </w:tc>
      </w:tr>
    </w:tbl>
    <w:p>
      <w:pPr>
        <w:pStyle w:val="2"/>
        <w:spacing w:line="600" w:lineRule="exact"/>
        <w:rPr>
          <w:rFonts w:ascii="Times New Roman" w:hAnsi="Times New Roman" w:eastAsia="仿宋_GB2312"/>
          <w:sz w:val="32"/>
          <w:szCs w:val="30"/>
        </w:rPr>
      </w:pPr>
    </w:p>
    <w:sectPr>
      <w:footerReference r:id="rId3" w:type="default"/>
      <w:footerReference r:id="rId4" w:type="even"/>
      <w:pgSz w:w="11906" w:h="16838"/>
      <w:pgMar w:top="2098" w:right="1474" w:bottom="1247" w:left="1588"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sz w:val="28"/>
        <w:szCs w:val="28"/>
      </w:rPr>
      <w:id w:val="-2021856165"/>
      <w:docPartObj>
        <w:docPartGallery w:val="autotext"/>
      </w:docPartObj>
    </w:sdtPr>
    <w:sdtEndPr>
      <w:rPr>
        <w:rFonts w:hint="eastAsia" w:ascii="宋体" w:hAnsi="宋体" w:eastAsia="宋体"/>
        <w:sz w:val="28"/>
        <w:szCs w:val="28"/>
      </w:rPr>
    </w:sdtEndPr>
    <w:sdtContent>
      <w:p>
        <w:pPr>
          <w:pStyle w:val="7"/>
          <w:ind w:left="210" w:leftChars="100" w:right="210" w:rightChars="10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520272484"/>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sdtContent>
        </w:sdt>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sz w:val="28"/>
        <w:szCs w:val="28"/>
      </w:rPr>
      <w:id w:val="-308022151"/>
      <w:docPartObj>
        <w:docPartGallery w:val="autotext"/>
      </w:docPartObj>
    </w:sdtPr>
    <w:sdtEndPr>
      <w:rPr>
        <w:rFonts w:hint="eastAsia" w:ascii="宋体" w:hAnsi="宋体" w:eastAsia="宋体"/>
        <w:sz w:val="28"/>
        <w:szCs w:val="28"/>
      </w:rPr>
    </w:sdtEndPr>
    <w:sdtContent>
      <w:p>
        <w:pPr>
          <w:pStyle w:val="7"/>
          <w:ind w:left="210" w:leftChars="100" w:right="210" w:rightChars="100"/>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147553984"/>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16</w:t>
            </w:r>
            <w:r>
              <w:rPr>
                <w:rFonts w:ascii="宋体" w:hAnsi="宋体" w:eastAsia="宋体"/>
                <w:sz w:val="28"/>
                <w:szCs w:val="28"/>
              </w:rPr>
              <w:fldChar w:fldCharType="end"/>
            </w:r>
          </w:sdtContent>
        </w:sdt>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4NWRmZTIzZjM5ZGNlZjJjOTc4NmQ1ODQ3YzVjZjgifQ=="/>
  </w:docVars>
  <w:rsids>
    <w:rsidRoot w:val="001A66E5"/>
    <w:rsid w:val="0000086E"/>
    <w:rsid w:val="000008A8"/>
    <w:rsid w:val="0000584B"/>
    <w:rsid w:val="00031A2E"/>
    <w:rsid w:val="00033C76"/>
    <w:rsid w:val="000346A6"/>
    <w:rsid w:val="000374AF"/>
    <w:rsid w:val="00045031"/>
    <w:rsid w:val="00050CBA"/>
    <w:rsid w:val="00050E12"/>
    <w:rsid w:val="00052F95"/>
    <w:rsid w:val="0005477D"/>
    <w:rsid w:val="00060137"/>
    <w:rsid w:val="000921DD"/>
    <w:rsid w:val="000A518B"/>
    <w:rsid w:val="000B293D"/>
    <w:rsid w:val="000C1C0E"/>
    <w:rsid w:val="000D1CC0"/>
    <w:rsid w:val="000D367B"/>
    <w:rsid w:val="000D3E1F"/>
    <w:rsid w:val="000D59A0"/>
    <w:rsid w:val="000E0193"/>
    <w:rsid w:val="000F2408"/>
    <w:rsid w:val="000F6C25"/>
    <w:rsid w:val="0011270A"/>
    <w:rsid w:val="001151A8"/>
    <w:rsid w:val="00124840"/>
    <w:rsid w:val="00127BDF"/>
    <w:rsid w:val="001325CC"/>
    <w:rsid w:val="0015554B"/>
    <w:rsid w:val="001711B1"/>
    <w:rsid w:val="0017633D"/>
    <w:rsid w:val="00176DF8"/>
    <w:rsid w:val="001843FE"/>
    <w:rsid w:val="00186087"/>
    <w:rsid w:val="00186E1C"/>
    <w:rsid w:val="001877AF"/>
    <w:rsid w:val="00194262"/>
    <w:rsid w:val="00194B1C"/>
    <w:rsid w:val="00197403"/>
    <w:rsid w:val="001A260F"/>
    <w:rsid w:val="001A6362"/>
    <w:rsid w:val="001A66E5"/>
    <w:rsid w:val="001B4E7B"/>
    <w:rsid w:val="001C305A"/>
    <w:rsid w:val="001C37D6"/>
    <w:rsid w:val="001C70F6"/>
    <w:rsid w:val="001D0F31"/>
    <w:rsid w:val="001D2219"/>
    <w:rsid w:val="001E4BCD"/>
    <w:rsid w:val="001F0021"/>
    <w:rsid w:val="001F03AB"/>
    <w:rsid w:val="001F2897"/>
    <w:rsid w:val="001F5B71"/>
    <w:rsid w:val="001F7405"/>
    <w:rsid w:val="00212F16"/>
    <w:rsid w:val="002308E3"/>
    <w:rsid w:val="00230DF3"/>
    <w:rsid w:val="002322BE"/>
    <w:rsid w:val="0024070E"/>
    <w:rsid w:val="00242AFC"/>
    <w:rsid w:val="00245677"/>
    <w:rsid w:val="00245BC9"/>
    <w:rsid w:val="00246545"/>
    <w:rsid w:val="00260A9B"/>
    <w:rsid w:val="0026131C"/>
    <w:rsid w:val="0026620B"/>
    <w:rsid w:val="002866BB"/>
    <w:rsid w:val="00290071"/>
    <w:rsid w:val="002924FE"/>
    <w:rsid w:val="002944B2"/>
    <w:rsid w:val="002A1C2F"/>
    <w:rsid w:val="002C2439"/>
    <w:rsid w:val="002C6034"/>
    <w:rsid w:val="002C6425"/>
    <w:rsid w:val="002D0096"/>
    <w:rsid w:val="002D27BB"/>
    <w:rsid w:val="002E2D18"/>
    <w:rsid w:val="002E4849"/>
    <w:rsid w:val="002E518F"/>
    <w:rsid w:val="002E5B75"/>
    <w:rsid w:val="002E7627"/>
    <w:rsid w:val="002F609B"/>
    <w:rsid w:val="00302E42"/>
    <w:rsid w:val="00306975"/>
    <w:rsid w:val="00313359"/>
    <w:rsid w:val="00314267"/>
    <w:rsid w:val="003147B6"/>
    <w:rsid w:val="003162F5"/>
    <w:rsid w:val="00317979"/>
    <w:rsid w:val="003240BA"/>
    <w:rsid w:val="00325E82"/>
    <w:rsid w:val="00331738"/>
    <w:rsid w:val="00341F3C"/>
    <w:rsid w:val="003535A3"/>
    <w:rsid w:val="00354E62"/>
    <w:rsid w:val="003561BE"/>
    <w:rsid w:val="00367433"/>
    <w:rsid w:val="0037205C"/>
    <w:rsid w:val="003769DF"/>
    <w:rsid w:val="003807A5"/>
    <w:rsid w:val="00386581"/>
    <w:rsid w:val="00395873"/>
    <w:rsid w:val="003B1230"/>
    <w:rsid w:val="003C3242"/>
    <w:rsid w:val="003C3F3B"/>
    <w:rsid w:val="003C7E38"/>
    <w:rsid w:val="003E5901"/>
    <w:rsid w:val="00414D27"/>
    <w:rsid w:val="00424444"/>
    <w:rsid w:val="004259D0"/>
    <w:rsid w:val="00427154"/>
    <w:rsid w:val="00430642"/>
    <w:rsid w:val="004341AD"/>
    <w:rsid w:val="004370B3"/>
    <w:rsid w:val="00440757"/>
    <w:rsid w:val="00441206"/>
    <w:rsid w:val="004435B8"/>
    <w:rsid w:val="00451622"/>
    <w:rsid w:val="0045347B"/>
    <w:rsid w:val="004666EA"/>
    <w:rsid w:val="0047272B"/>
    <w:rsid w:val="00473807"/>
    <w:rsid w:val="00476BB8"/>
    <w:rsid w:val="0048290F"/>
    <w:rsid w:val="00487F5E"/>
    <w:rsid w:val="004A268B"/>
    <w:rsid w:val="004A6EA8"/>
    <w:rsid w:val="004B1FEF"/>
    <w:rsid w:val="004B5AF0"/>
    <w:rsid w:val="004B601E"/>
    <w:rsid w:val="004C3183"/>
    <w:rsid w:val="004C69C1"/>
    <w:rsid w:val="004C7C12"/>
    <w:rsid w:val="004D1ADD"/>
    <w:rsid w:val="004E2FAB"/>
    <w:rsid w:val="004E6452"/>
    <w:rsid w:val="004F12C5"/>
    <w:rsid w:val="004F17E3"/>
    <w:rsid w:val="004F53F9"/>
    <w:rsid w:val="00506CF6"/>
    <w:rsid w:val="0051252F"/>
    <w:rsid w:val="00512BED"/>
    <w:rsid w:val="0052167D"/>
    <w:rsid w:val="005400B2"/>
    <w:rsid w:val="005422A5"/>
    <w:rsid w:val="0054238E"/>
    <w:rsid w:val="00544F11"/>
    <w:rsid w:val="005469D5"/>
    <w:rsid w:val="005713F6"/>
    <w:rsid w:val="0057382D"/>
    <w:rsid w:val="00573CCC"/>
    <w:rsid w:val="0057449A"/>
    <w:rsid w:val="00594234"/>
    <w:rsid w:val="0059555F"/>
    <w:rsid w:val="0059746C"/>
    <w:rsid w:val="005A1FA8"/>
    <w:rsid w:val="005A210A"/>
    <w:rsid w:val="005A57DE"/>
    <w:rsid w:val="005A7479"/>
    <w:rsid w:val="005B0DA3"/>
    <w:rsid w:val="005C6E3E"/>
    <w:rsid w:val="005D2B52"/>
    <w:rsid w:val="005D4244"/>
    <w:rsid w:val="005D7C90"/>
    <w:rsid w:val="005D7F82"/>
    <w:rsid w:val="005E2815"/>
    <w:rsid w:val="005F3D6A"/>
    <w:rsid w:val="005F5CB9"/>
    <w:rsid w:val="00604D0C"/>
    <w:rsid w:val="00613EAA"/>
    <w:rsid w:val="006302BE"/>
    <w:rsid w:val="006303A3"/>
    <w:rsid w:val="0064325D"/>
    <w:rsid w:val="00643DD0"/>
    <w:rsid w:val="0065668E"/>
    <w:rsid w:val="00662A9A"/>
    <w:rsid w:val="006633BC"/>
    <w:rsid w:val="0066414F"/>
    <w:rsid w:val="00665695"/>
    <w:rsid w:val="00667980"/>
    <w:rsid w:val="00667ABC"/>
    <w:rsid w:val="00673C36"/>
    <w:rsid w:val="0068101C"/>
    <w:rsid w:val="00693012"/>
    <w:rsid w:val="00697DFD"/>
    <w:rsid w:val="006A5B55"/>
    <w:rsid w:val="006B3E66"/>
    <w:rsid w:val="006B6C8F"/>
    <w:rsid w:val="006C2202"/>
    <w:rsid w:val="006C3C5F"/>
    <w:rsid w:val="006C4E75"/>
    <w:rsid w:val="006D3927"/>
    <w:rsid w:val="006D5F40"/>
    <w:rsid w:val="006D7E42"/>
    <w:rsid w:val="006E4A89"/>
    <w:rsid w:val="006F1A5F"/>
    <w:rsid w:val="0070179D"/>
    <w:rsid w:val="0070426B"/>
    <w:rsid w:val="0070601E"/>
    <w:rsid w:val="007106CC"/>
    <w:rsid w:val="00711233"/>
    <w:rsid w:val="00712008"/>
    <w:rsid w:val="00712691"/>
    <w:rsid w:val="00724F67"/>
    <w:rsid w:val="00726AC4"/>
    <w:rsid w:val="007356D8"/>
    <w:rsid w:val="00744394"/>
    <w:rsid w:val="007548C4"/>
    <w:rsid w:val="00760A75"/>
    <w:rsid w:val="00763269"/>
    <w:rsid w:val="00774914"/>
    <w:rsid w:val="00777620"/>
    <w:rsid w:val="007804EA"/>
    <w:rsid w:val="007876FC"/>
    <w:rsid w:val="00795433"/>
    <w:rsid w:val="007976D0"/>
    <w:rsid w:val="007A057A"/>
    <w:rsid w:val="007A065E"/>
    <w:rsid w:val="007A5B0C"/>
    <w:rsid w:val="007A6114"/>
    <w:rsid w:val="007A6762"/>
    <w:rsid w:val="007A7E8D"/>
    <w:rsid w:val="007B0C18"/>
    <w:rsid w:val="007B7170"/>
    <w:rsid w:val="007C01F4"/>
    <w:rsid w:val="007C1096"/>
    <w:rsid w:val="007C1AA8"/>
    <w:rsid w:val="007D2324"/>
    <w:rsid w:val="007E4607"/>
    <w:rsid w:val="007E507C"/>
    <w:rsid w:val="007F0FE4"/>
    <w:rsid w:val="007F1AFE"/>
    <w:rsid w:val="007F7CB3"/>
    <w:rsid w:val="00806048"/>
    <w:rsid w:val="008067C0"/>
    <w:rsid w:val="00810248"/>
    <w:rsid w:val="0081083B"/>
    <w:rsid w:val="00824718"/>
    <w:rsid w:val="0082641B"/>
    <w:rsid w:val="008408F1"/>
    <w:rsid w:val="00857A96"/>
    <w:rsid w:val="00865124"/>
    <w:rsid w:val="00876D6B"/>
    <w:rsid w:val="00882B9F"/>
    <w:rsid w:val="008841B8"/>
    <w:rsid w:val="008853B1"/>
    <w:rsid w:val="00890DA2"/>
    <w:rsid w:val="00894F33"/>
    <w:rsid w:val="00897291"/>
    <w:rsid w:val="008A4E7E"/>
    <w:rsid w:val="008A61C2"/>
    <w:rsid w:val="008B174F"/>
    <w:rsid w:val="008B42B0"/>
    <w:rsid w:val="008B5685"/>
    <w:rsid w:val="008C4816"/>
    <w:rsid w:val="008D03B8"/>
    <w:rsid w:val="008D1F21"/>
    <w:rsid w:val="008E0063"/>
    <w:rsid w:val="008E0DB9"/>
    <w:rsid w:val="008E3DF2"/>
    <w:rsid w:val="008E5E66"/>
    <w:rsid w:val="008F338F"/>
    <w:rsid w:val="008F7EAA"/>
    <w:rsid w:val="009000B6"/>
    <w:rsid w:val="00901A8B"/>
    <w:rsid w:val="00901BF9"/>
    <w:rsid w:val="00906063"/>
    <w:rsid w:val="00907FC7"/>
    <w:rsid w:val="00911F08"/>
    <w:rsid w:val="009244C3"/>
    <w:rsid w:val="009376E2"/>
    <w:rsid w:val="009418E4"/>
    <w:rsid w:val="009506A1"/>
    <w:rsid w:val="00963489"/>
    <w:rsid w:val="0096349E"/>
    <w:rsid w:val="009634DE"/>
    <w:rsid w:val="0096656D"/>
    <w:rsid w:val="0097031C"/>
    <w:rsid w:val="00973DB1"/>
    <w:rsid w:val="0098285E"/>
    <w:rsid w:val="00992F0E"/>
    <w:rsid w:val="0099791E"/>
    <w:rsid w:val="009A5C2A"/>
    <w:rsid w:val="009C01FE"/>
    <w:rsid w:val="009C067C"/>
    <w:rsid w:val="009C0B1D"/>
    <w:rsid w:val="009C2652"/>
    <w:rsid w:val="009D69B5"/>
    <w:rsid w:val="009E47A7"/>
    <w:rsid w:val="009F299C"/>
    <w:rsid w:val="009F2BDE"/>
    <w:rsid w:val="009F7B17"/>
    <w:rsid w:val="00A3393C"/>
    <w:rsid w:val="00A36ECE"/>
    <w:rsid w:val="00A611D4"/>
    <w:rsid w:val="00A746C4"/>
    <w:rsid w:val="00A968CF"/>
    <w:rsid w:val="00A97324"/>
    <w:rsid w:val="00A9799D"/>
    <w:rsid w:val="00AA2440"/>
    <w:rsid w:val="00AB0F5D"/>
    <w:rsid w:val="00AB2923"/>
    <w:rsid w:val="00AB2B06"/>
    <w:rsid w:val="00AB470E"/>
    <w:rsid w:val="00AB5E47"/>
    <w:rsid w:val="00AC6341"/>
    <w:rsid w:val="00AC6507"/>
    <w:rsid w:val="00AC71DE"/>
    <w:rsid w:val="00AE5FDD"/>
    <w:rsid w:val="00AF0895"/>
    <w:rsid w:val="00AF2187"/>
    <w:rsid w:val="00B0354D"/>
    <w:rsid w:val="00B172D1"/>
    <w:rsid w:val="00B26BEB"/>
    <w:rsid w:val="00B34E40"/>
    <w:rsid w:val="00B414D5"/>
    <w:rsid w:val="00B43B2C"/>
    <w:rsid w:val="00B61A06"/>
    <w:rsid w:val="00B85E22"/>
    <w:rsid w:val="00B920FD"/>
    <w:rsid w:val="00B94645"/>
    <w:rsid w:val="00BA49F2"/>
    <w:rsid w:val="00BA514A"/>
    <w:rsid w:val="00BB2383"/>
    <w:rsid w:val="00BB6491"/>
    <w:rsid w:val="00BC2930"/>
    <w:rsid w:val="00BC3911"/>
    <w:rsid w:val="00BD0205"/>
    <w:rsid w:val="00BE40B1"/>
    <w:rsid w:val="00BE444E"/>
    <w:rsid w:val="00BF148D"/>
    <w:rsid w:val="00BF1964"/>
    <w:rsid w:val="00BF4A73"/>
    <w:rsid w:val="00C01C89"/>
    <w:rsid w:val="00C0276F"/>
    <w:rsid w:val="00C03E42"/>
    <w:rsid w:val="00C0401E"/>
    <w:rsid w:val="00C05DF7"/>
    <w:rsid w:val="00C332CA"/>
    <w:rsid w:val="00C37948"/>
    <w:rsid w:val="00C5109D"/>
    <w:rsid w:val="00C67241"/>
    <w:rsid w:val="00C72C96"/>
    <w:rsid w:val="00C851E6"/>
    <w:rsid w:val="00CA5BB5"/>
    <w:rsid w:val="00CA5F2D"/>
    <w:rsid w:val="00CA7CB1"/>
    <w:rsid w:val="00CA7EDA"/>
    <w:rsid w:val="00CB0A68"/>
    <w:rsid w:val="00CC2988"/>
    <w:rsid w:val="00CC6BFE"/>
    <w:rsid w:val="00CD1300"/>
    <w:rsid w:val="00CD522E"/>
    <w:rsid w:val="00CE2E93"/>
    <w:rsid w:val="00CE447C"/>
    <w:rsid w:val="00CE4BAA"/>
    <w:rsid w:val="00CF12AF"/>
    <w:rsid w:val="00D01AC4"/>
    <w:rsid w:val="00D1121C"/>
    <w:rsid w:val="00D234EF"/>
    <w:rsid w:val="00D46122"/>
    <w:rsid w:val="00D474EA"/>
    <w:rsid w:val="00D502AE"/>
    <w:rsid w:val="00D672DD"/>
    <w:rsid w:val="00D67BAD"/>
    <w:rsid w:val="00D70C83"/>
    <w:rsid w:val="00D87689"/>
    <w:rsid w:val="00D87C00"/>
    <w:rsid w:val="00D95D4C"/>
    <w:rsid w:val="00D97085"/>
    <w:rsid w:val="00DA7179"/>
    <w:rsid w:val="00DB4705"/>
    <w:rsid w:val="00DB6468"/>
    <w:rsid w:val="00DB65FF"/>
    <w:rsid w:val="00DC0B37"/>
    <w:rsid w:val="00DC43D9"/>
    <w:rsid w:val="00DC4946"/>
    <w:rsid w:val="00DC7D1B"/>
    <w:rsid w:val="00DD05E7"/>
    <w:rsid w:val="00DD1A51"/>
    <w:rsid w:val="00DD7535"/>
    <w:rsid w:val="00DE2204"/>
    <w:rsid w:val="00DF01CB"/>
    <w:rsid w:val="00DF03A8"/>
    <w:rsid w:val="00DF778C"/>
    <w:rsid w:val="00E03538"/>
    <w:rsid w:val="00E04D28"/>
    <w:rsid w:val="00E12A9B"/>
    <w:rsid w:val="00E12D34"/>
    <w:rsid w:val="00E22692"/>
    <w:rsid w:val="00E239F9"/>
    <w:rsid w:val="00E25DB5"/>
    <w:rsid w:val="00E26145"/>
    <w:rsid w:val="00E41801"/>
    <w:rsid w:val="00E42CC6"/>
    <w:rsid w:val="00E45288"/>
    <w:rsid w:val="00E45319"/>
    <w:rsid w:val="00E45AA5"/>
    <w:rsid w:val="00E52976"/>
    <w:rsid w:val="00E6110C"/>
    <w:rsid w:val="00E913EA"/>
    <w:rsid w:val="00E925AE"/>
    <w:rsid w:val="00E96CB0"/>
    <w:rsid w:val="00EA026A"/>
    <w:rsid w:val="00EA0B93"/>
    <w:rsid w:val="00EB0C77"/>
    <w:rsid w:val="00EB6AEB"/>
    <w:rsid w:val="00EB743C"/>
    <w:rsid w:val="00EC104D"/>
    <w:rsid w:val="00EC235E"/>
    <w:rsid w:val="00EC68A0"/>
    <w:rsid w:val="00EE2E35"/>
    <w:rsid w:val="00EE4506"/>
    <w:rsid w:val="00EE7A69"/>
    <w:rsid w:val="00EF7A48"/>
    <w:rsid w:val="00F02C0B"/>
    <w:rsid w:val="00F074F0"/>
    <w:rsid w:val="00F10EB5"/>
    <w:rsid w:val="00F12748"/>
    <w:rsid w:val="00F14C5E"/>
    <w:rsid w:val="00F16336"/>
    <w:rsid w:val="00F16B60"/>
    <w:rsid w:val="00F23E30"/>
    <w:rsid w:val="00F34C67"/>
    <w:rsid w:val="00F36925"/>
    <w:rsid w:val="00F379A0"/>
    <w:rsid w:val="00F37B0C"/>
    <w:rsid w:val="00F437E8"/>
    <w:rsid w:val="00F465F3"/>
    <w:rsid w:val="00F62489"/>
    <w:rsid w:val="00F64770"/>
    <w:rsid w:val="00F931D7"/>
    <w:rsid w:val="00F935BC"/>
    <w:rsid w:val="00FE0EC5"/>
    <w:rsid w:val="00FE299F"/>
    <w:rsid w:val="00FE6FFB"/>
    <w:rsid w:val="031F10E3"/>
    <w:rsid w:val="0ACC165D"/>
    <w:rsid w:val="0AF6588F"/>
    <w:rsid w:val="0C93779B"/>
    <w:rsid w:val="135A1F83"/>
    <w:rsid w:val="13F40B89"/>
    <w:rsid w:val="15923466"/>
    <w:rsid w:val="15D062C5"/>
    <w:rsid w:val="19937FB9"/>
    <w:rsid w:val="1CCE263D"/>
    <w:rsid w:val="1DEB4980"/>
    <w:rsid w:val="1E85796C"/>
    <w:rsid w:val="1EE7E3C9"/>
    <w:rsid w:val="22DE7206"/>
    <w:rsid w:val="237F5941"/>
    <w:rsid w:val="24806754"/>
    <w:rsid w:val="26932657"/>
    <w:rsid w:val="26965298"/>
    <w:rsid w:val="27720ECE"/>
    <w:rsid w:val="27FC632B"/>
    <w:rsid w:val="28A113E6"/>
    <w:rsid w:val="2BCF6EC1"/>
    <w:rsid w:val="2CDD11B9"/>
    <w:rsid w:val="33EE30B1"/>
    <w:rsid w:val="34261704"/>
    <w:rsid w:val="34901834"/>
    <w:rsid w:val="36071C0F"/>
    <w:rsid w:val="3BF744AB"/>
    <w:rsid w:val="3C8F57AA"/>
    <w:rsid w:val="3DFA2EB5"/>
    <w:rsid w:val="3EEB2FEF"/>
    <w:rsid w:val="41B436C3"/>
    <w:rsid w:val="44150A49"/>
    <w:rsid w:val="44FC58CF"/>
    <w:rsid w:val="480722AC"/>
    <w:rsid w:val="4A6C5A13"/>
    <w:rsid w:val="4AE90539"/>
    <w:rsid w:val="512754C4"/>
    <w:rsid w:val="51450494"/>
    <w:rsid w:val="517D1651"/>
    <w:rsid w:val="588616A5"/>
    <w:rsid w:val="5A5E2E86"/>
    <w:rsid w:val="5ACD0BB5"/>
    <w:rsid w:val="5DEB3E62"/>
    <w:rsid w:val="5E3C86D2"/>
    <w:rsid w:val="5FB86DA5"/>
    <w:rsid w:val="64A326D9"/>
    <w:rsid w:val="682E024D"/>
    <w:rsid w:val="69A27C4A"/>
    <w:rsid w:val="6ADF61DD"/>
    <w:rsid w:val="6E997331"/>
    <w:rsid w:val="72402B01"/>
    <w:rsid w:val="740E07BC"/>
    <w:rsid w:val="75D07E09"/>
    <w:rsid w:val="77CE07A1"/>
    <w:rsid w:val="788106F9"/>
    <w:rsid w:val="7BBE186E"/>
    <w:rsid w:val="7F2F2E03"/>
    <w:rsid w:val="B7CE7D01"/>
    <w:rsid w:val="BF94E233"/>
    <w:rsid w:val="BFBDCA34"/>
    <w:rsid w:val="ED5C8ECE"/>
    <w:rsid w:val="F3DF18D3"/>
    <w:rsid w:val="F7AB9689"/>
    <w:rsid w:val="FFAFDF1F"/>
    <w:rsid w:val="FFC6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7"/>
    <w:qFormat/>
    <w:uiPriority w:val="99"/>
    <w:rPr>
      <w:rFonts w:ascii="Calibri" w:hAnsi="Calibri" w:eastAsia="宋体" w:cs="黑体"/>
    </w:rPr>
  </w:style>
  <w:style w:type="paragraph" w:styleId="4">
    <w:name w:val="index 8"/>
    <w:basedOn w:val="1"/>
    <w:next w:val="1"/>
    <w:semiHidden/>
    <w:qFormat/>
    <w:uiPriority w:val="99"/>
    <w:pPr>
      <w:ind w:left="2940"/>
    </w:pPr>
  </w:style>
  <w:style w:type="paragraph" w:styleId="5">
    <w:name w:val="Body Text"/>
    <w:basedOn w:val="1"/>
    <w:next w:val="4"/>
    <w:link w:val="18"/>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Balloon Text"/>
    <w:basedOn w:val="1"/>
    <w:link w:val="15"/>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11"/>
    <w:link w:val="6"/>
    <w:semiHidden/>
    <w:qFormat/>
    <w:uiPriority w:val="99"/>
    <w:rPr>
      <w:kern w:val="2"/>
      <w:sz w:val="18"/>
      <w:szCs w:val="18"/>
    </w:rPr>
  </w:style>
  <w:style w:type="character" w:customStyle="1" w:styleId="16">
    <w:name w:val="标题 1 字符"/>
    <w:basedOn w:val="11"/>
    <w:link w:val="3"/>
    <w:qFormat/>
    <w:uiPriority w:val="9"/>
    <w:rPr>
      <w:b/>
      <w:bCs/>
      <w:kern w:val="44"/>
      <w:sz w:val="44"/>
      <w:szCs w:val="44"/>
    </w:rPr>
  </w:style>
  <w:style w:type="character" w:customStyle="1" w:styleId="17">
    <w:name w:val="称呼 字符"/>
    <w:basedOn w:val="11"/>
    <w:link w:val="2"/>
    <w:qFormat/>
    <w:uiPriority w:val="99"/>
    <w:rPr>
      <w:rFonts w:ascii="Calibri" w:hAnsi="Calibri" w:eastAsia="宋体" w:cs="黑体"/>
      <w:kern w:val="2"/>
      <w:sz w:val="21"/>
      <w:szCs w:val="22"/>
    </w:rPr>
  </w:style>
  <w:style w:type="character" w:customStyle="1" w:styleId="18">
    <w:name w:val="正文文本 字符"/>
    <w:basedOn w:val="11"/>
    <w:link w:val="5"/>
    <w:qFormat/>
    <w:uiPriority w:val="0"/>
    <w:rPr>
      <w:rFonts w:ascii="Calibri" w:hAnsi="Calibri"/>
      <w:color w:val="000000"/>
      <w:sz w:val="24"/>
      <w:szCs w:val="24"/>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717</Words>
  <Characters>742</Characters>
  <Lines>33</Lines>
  <Paragraphs>9</Paragraphs>
  <TotalTime>8</TotalTime>
  <ScaleCrop>false</ScaleCrop>
  <LinksUpToDate>false</LinksUpToDate>
  <CharactersWithSpaces>750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2020-08-13T10:52:00Z</dcterms:created>
  <dc:creator>刘乙沛</dc:creator>
  <cp:lastModifiedBy>user</cp:lastModifiedBy>
  <cp:lastPrinted>2022-11-23T17:22:00Z</cp:lastPrinted>
  <dcterms:modified xsi:type="dcterms:W3CDTF">2022-11-24T18:54:05Z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4FF232F9A25147E5B48D0038B76DFF1D</vt:lpwstr>
  </property>
</Properties>
</file>