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攀枝花市科学技术局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年部门预算编制说明</w:t>
      </w:r>
    </w:p>
    <w:p>
      <w:pPr>
        <w:pStyle w:val="2"/>
        <w:adjustRightInd w:val="0"/>
        <w:spacing w:before="130" w:line="600" w:lineRule="exact"/>
        <w:rPr>
          <w:rFonts w:hint="default" w:ascii="Times New Roman" w:hAnsi="Times New Roman" w:eastAsia="宋体" w:cs="Times New Roman"/>
          <w:b/>
          <w:sz w:val="32"/>
        </w:rPr>
      </w:pPr>
      <w:r>
        <w:rPr>
          <w:rFonts w:hint="default" w:ascii="Times New Roman" w:hAnsi="Times New Roman" w:eastAsia="宋体" w:cs="Times New Roman"/>
          <w:b/>
          <w:sz w:val="32"/>
        </w:rPr>
        <w:t xml:space="preserve">    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一、基本职能及主要工作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ind w:firstLine="422" w:firstLineChars="150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（一）基本职能：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贯彻执行国家、省有关科学技术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发展的方针政策和法律法规；拟订促进全市科学技术发展的政策措施并组织实施和监督检查。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拟订全市科学技术发展规划并组织实施, 提出全市科学技术发展布局和优先领域，负责组织拟定并实施科技支撑计划、重大工程；牵头组织经济社会发展重要领域的重大关键技术攻关。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组织科技重大专项的方案论证、综合平衡、评估验收。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负责拟订全市科技体制改革政策措施并组织实施；负责全市科技人才队伍建设。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牵头拟订建设创新型城市的科学技术政策措施并组织实施；推进全市科技创新体系建设；拟订促进产学研结合的政策措施。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牵头拟订促进全市高新技术产业发展政策措施并组织实施；指导高新技术企业、创新型企业和创新平台建设，负责市级高新技术企业、创新平台认定管理工作；推进攀枝花国家新材料成果转化及产业化基地建设。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牵头拟订科技促进农村和社会发展领域政策措施并组织实施；指导农业科技园区和可持续发展实验区建设；负责科技服务民生工作,促进以改善民生为重点的农村建设社会事业发展。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科技成果管理、科技保密以及技术市场工作，指导科技中介组织的建设。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负责全市科学技术普及工作；牵头组织全市科技法律、法规的宣传和培训。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负责科学技术的对外交流与合作。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拟订全市科技金融发展的政策措施并组织实施；指导科技金融业务,促进科技金融结合。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负责全市应用技术研究与开发资金的监督管理；提出强化科学技术投入及优化资源配置的建议；推进科技基础条件平台建设。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承担市政府公布的有关行政审批事项。</w:t>
      </w:r>
    </w:p>
    <w:p>
      <w:pPr>
        <w:pStyle w:val="5"/>
        <w:shd w:val="clear" w:color="auto" w:fill="FFFFFF"/>
        <w:spacing w:before="150" w:beforeAutospacing="0" w:after="150" w:afterAutospacing="0" w:line="360" w:lineRule="atLeast"/>
        <w:ind w:firstLine="703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（二）201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年工作重点：</w:t>
      </w:r>
    </w:p>
    <w:p>
      <w:pPr>
        <w:spacing w:line="353" w:lineRule="auto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1．加强党的建设。坚持推进“两学一做”常态化制度化，认真开展“不忘初心、牢记使命”主题教育，深入学习贯彻党的十九大、省委十一届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四次</w:t>
      </w:r>
      <w:r>
        <w:rPr>
          <w:rFonts w:hint="default" w:ascii="Times New Roman" w:hAnsi="Times New Roman" w:eastAsia="仿宋" w:cs="Times New Roman"/>
          <w:sz w:val="32"/>
          <w:szCs w:val="32"/>
        </w:rPr>
        <w:t>全会、市委十届五次全会精神，认真落实《攀枝花市基层党建基础工作三年行动计划（2018—2020 年）》，加强机关党组织建设，提升党组织组织力。加强党风廉政建设，深入开展专项整治行动，推动干部队伍“两转一提”，纵深推进全面从严治党，打造忠诚、干净、担当的干部队伍，为推进中心工作提供坚强的政治保证、组织保证和纪律保证。</w:t>
      </w:r>
    </w:p>
    <w:p>
      <w:pPr>
        <w:spacing w:line="353" w:lineRule="auto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2．强化工业强市科技支撑。实施“工业强市战略科技支撑行动方案”，以攀西试验区重大科技攻关为重点，推进海洋用钛及钛合金系列产品等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4个重大科技巩关项目取得新突破，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持续做好第五批攀西试验区重大科技攻关项目申报，</w:t>
      </w:r>
      <w:r>
        <w:rPr>
          <w:rFonts w:hint="default" w:ascii="Times New Roman" w:hAnsi="Times New Roman" w:eastAsia="仿宋" w:cs="Times New Roman"/>
          <w:sz w:val="32"/>
          <w:szCs w:val="32"/>
        </w:rPr>
        <w:t>指导钒钛高新区制定“一区多园”建设方案并协助其实施，促进钒钛产业进一步集聚，产业链进一步向后端拓展延伸。</w:t>
      </w:r>
    </w:p>
    <w:p>
      <w:pPr>
        <w:spacing w:line="353" w:lineRule="auto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支撑引领</w:t>
      </w:r>
      <w:r>
        <w:rPr>
          <w:rFonts w:hint="default" w:ascii="Times New Roman" w:hAnsi="Times New Roman" w:eastAsia="仿宋" w:cs="Times New Roman"/>
          <w:sz w:val="32"/>
          <w:szCs w:val="32"/>
        </w:rPr>
        <w:t>乡村产业振兴。以“攀枝花乡村产业振兴科技支撑行动方案”为抓手，以培育壮大“5+2”特色水果、早春蔬菜、畜牧水产、优质烤烟、林业生物以及特色花卉、优质桑蚕特色产业为重点，继续大力开展优良品种引选，现代农业技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研发及</w:t>
      </w:r>
      <w:r>
        <w:rPr>
          <w:rFonts w:hint="default" w:ascii="Times New Roman" w:hAnsi="Times New Roman" w:eastAsia="仿宋" w:cs="Times New Roman"/>
          <w:sz w:val="32"/>
          <w:szCs w:val="32"/>
        </w:rPr>
        <w:t>示范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推广</w:t>
      </w:r>
      <w:r>
        <w:rPr>
          <w:rFonts w:hint="default" w:ascii="Times New Roman" w:hAnsi="Times New Roman" w:eastAsia="仿宋" w:cs="Times New Roman"/>
          <w:sz w:val="32"/>
          <w:szCs w:val="32"/>
        </w:rPr>
        <w:t>，建设农业科技园区，加快创建省级芒果产业技术研究院等，推进现代农业向绿色化、优质化、品牌化发展。切实抓好科技扶贫巩固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仿宋" w:cs="Times New Roman"/>
          <w:sz w:val="32"/>
          <w:szCs w:val="32"/>
        </w:rPr>
        <w:t>工作和科技助力凉山自发搬迁贫困群众脱贫工作。</w:t>
      </w:r>
    </w:p>
    <w:p>
      <w:pPr>
        <w:spacing w:line="353" w:lineRule="auto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．加快科技成果转化。建设好四川大学国家技术转移中心攀枝花分中心。积极对接国家技术转移西南中心业务，加强同成都地区合作。借鉴成德绵国家科技成果转移转化示范区经验。充分发挥攀枝花技术转移中心作用，完善科技成果转化政策，力争2019年推动更多科技成果转化。</w:t>
      </w:r>
    </w:p>
    <w:p>
      <w:pPr>
        <w:spacing w:line="353" w:lineRule="auto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5．争创知识产权强市。实施“专利质量提升行动”，提升专利创造水平，力争创造出一批高价值专利。强化知识产权运用，加强知识产权强市能力建设，提升企业知识产权管理能力。</w:t>
      </w:r>
    </w:p>
    <w:p>
      <w:pPr>
        <w:spacing w:line="353" w:lineRule="auto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6．推进“一室两中心”等科研平台建设。以科研能力提升为重点，建强攀钢钒钛资源综合利用国家重点实验室；协同推进国家钒钛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新材料</w:t>
      </w:r>
      <w:r>
        <w:rPr>
          <w:rFonts w:hint="default" w:ascii="Times New Roman" w:hAnsi="Times New Roman" w:eastAsia="仿宋" w:cs="Times New Roman"/>
          <w:sz w:val="32"/>
          <w:szCs w:val="32"/>
        </w:rPr>
        <w:t>产业创新中心创建工作；推进省级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钒钛</w:t>
      </w:r>
      <w:r>
        <w:rPr>
          <w:rFonts w:hint="default" w:ascii="Times New Roman" w:hAnsi="Times New Roman" w:eastAsia="仿宋" w:cs="Times New Roman"/>
          <w:sz w:val="32"/>
          <w:szCs w:val="32"/>
        </w:rPr>
        <w:t>技术创新中心创建工作；国省级科研平台达到35个以上。督促四川钒钛产业技术研究院进一步发挥作用；提升市农林科学研究院创新能力；力争芒果产业技术研究院、阳光康养产业技术研究院建设取得实质性进展。</w:t>
      </w:r>
    </w:p>
    <w:p>
      <w:pPr>
        <w:spacing w:line="353" w:lineRule="auto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．加强科技交流合作。落实四川大学战略合作协议，年底前启动30个左右项目实施，2019年继续推进相关项目合作。指导我市部分企业与清华大学、北京科技大学、北京航空航天大学等高校对接，力争有更多的合作项目。履行市政府同中科院战略合作协议，加强对接，争取在科技攻关和成果转化方面取得实效。</w:t>
      </w:r>
    </w:p>
    <w:p>
      <w:pPr>
        <w:spacing w:line="353" w:lineRule="auto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8．强化科技人才支撑。落实好“攀枝花人才新政七条”。牵头实施钒钛产业领军人才集聚计划和创新创业平台建设，力争引进钒钛科研和成果转化领域科研院所、人才或团队。落实优才计划，培育创新人才。 </w:t>
      </w:r>
    </w:p>
    <w:p>
      <w:pPr>
        <w:spacing w:line="353" w:lineRule="auto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9．着力打造2019“双创”升级版。出台“双创”新政，设立5000万元双创专项资金，大力孵化、培育、引导中小微企业发展，着力扶持高新技术企业和中小微科技型企业；市区联动推进双创载体建设；发挥双创工作协调推进领导小组作用，组织开展丰富多彩的双创活动，激发各类主体双创热情，营造良好双创氛围。  </w:t>
      </w:r>
    </w:p>
    <w:p>
      <w:pPr>
        <w:spacing w:line="353" w:lineRule="auto"/>
        <w:ind w:firstLine="640"/>
        <w:jc w:val="both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10．力争科技金融取得新突破。出台科技与金融结合政策，引进基金公司，探索科技金融发展新模式，营造良好的创新创业融资环境。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单位构成情况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攀枝花市科学技术局内设机构1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</w:rPr>
        <w:t>个，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现有</w:t>
      </w:r>
      <w:r>
        <w:rPr>
          <w:rFonts w:hint="default" w:ascii="Times New Roman" w:hAnsi="Times New Roman" w:eastAsia="仿宋" w:cs="Times New Roman"/>
          <w:sz w:val="28"/>
          <w:szCs w:val="28"/>
        </w:rPr>
        <w:t>行政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人员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28"/>
          <w:szCs w:val="28"/>
        </w:rPr>
        <w:t>人，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后勤事业人员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3人，其中</w:t>
      </w:r>
      <w:r>
        <w:rPr>
          <w:rFonts w:hint="default" w:ascii="Times New Roman" w:hAnsi="Times New Roman" w:eastAsia="仿宋" w:cs="Times New Roman"/>
          <w:sz w:val="28"/>
          <w:szCs w:val="28"/>
        </w:rPr>
        <w:t>编内聘用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人，离退休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职工</w:t>
      </w:r>
      <w:r>
        <w:rPr>
          <w:rFonts w:hint="default" w:ascii="Times New Roman" w:hAnsi="Times New Roman" w:eastAsia="仿宋" w:cs="Times New Roman"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28"/>
          <w:szCs w:val="28"/>
        </w:rPr>
        <w:t>人；非独立核算全额拨款事业单位1个（攀枝花市知识产权服务中心），事业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人员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人。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1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收支预算情况说明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按照综合预算的原则，</w:t>
      </w:r>
      <w:r>
        <w:rPr>
          <w:rFonts w:hint="default" w:ascii="Times New Roman" w:hAnsi="Times New Roman" w:eastAsia="仿宋" w:cs="Times New Roman"/>
          <w:lang w:eastAsia="zh-CN"/>
        </w:rPr>
        <w:t>市科技局</w:t>
      </w:r>
      <w:r>
        <w:rPr>
          <w:rFonts w:hint="default" w:ascii="Times New Roman" w:hAnsi="Times New Roman" w:eastAsia="仿宋" w:cs="Times New Roman"/>
        </w:rPr>
        <w:t>所有收入和支出均纳入部门预算管理。收入包括：一般公共预算拨款收入</w:t>
      </w:r>
      <w:r>
        <w:rPr>
          <w:rFonts w:hint="default" w:ascii="Times New Roman" w:hAnsi="Times New Roman" w:eastAsia="仿宋" w:cs="Times New Roman"/>
          <w:lang w:val="en-US" w:eastAsia="zh-CN"/>
        </w:rPr>
        <w:t>917.87万元，</w:t>
      </w:r>
      <w:r>
        <w:rPr>
          <w:rFonts w:hint="default" w:ascii="Times New Roman" w:hAnsi="Times New Roman" w:eastAsia="仿宋" w:cs="Times New Roman"/>
        </w:rPr>
        <w:t>2019年收支总预算</w:t>
      </w:r>
      <w:r>
        <w:rPr>
          <w:rFonts w:hint="default" w:ascii="Times New Roman" w:hAnsi="Times New Roman" w:eastAsia="仿宋" w:cs="Times New Roman"/>
          <w:lang w:val="en-US" w:eastAsia="zh-CN"/>
        </w:rPr>
        <w:t>917.87</w:t>
      </w:r>
      <w:r>
        <w:rPr>
          <w:rFonts w:hint="default" w:ascii="Times New Roman" w:hAnsi="Times New Roman" w:eastAsia="仿宋" w:cs="Times New Roman"/>
        </w:rPr>
        <w:t>万元。</w:t>
      </w:r>
    </w:p>
    <w:p>
      <w:pPr>
        <w:numPr>
          <w:ilvl w:val="0"/>
          <w:numId w:val="2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</w:rPr>
        <w:t>收入预算情况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lang w:eastAsia="zh-CN"/>
        </w:rPr>
        <w:t>市科技局</w:t>
      </w:r>
      <w:r>
        <w:rPr>
          <w:rFonts w:hint="default" w:ascii="Times New Roman" w:hAnsi="Times New Roman" w:eastAsia="仿宋" w:cs="Times New Roman"/>
        </w:rPr>
        <w:t>2019年收入预算</w:t>
      </w:r>
      <w:r>
        <w:rPr>
          <w:rFonts w:hint="default" w:ascii="Times New Roman" w:hAnsi="Times New Roman" w:eastAsia="仿宋" w:cs="Times New Roman"/>
          <w:lang w:val="en-US" w:eastAsia="zh-CN"/>
        </w:rPr>
        <w:t>917.87</w:t>
      </w:r>
      <w:r>
        <w:rPr>
          <w:rFonts w:hint="default" w:ascii="Times New Roman" w:hAnsi="Times New Roman" w:eastAsia="仿宋" w:cs="Times New Roman"/>
        </w:rPr>
        <w:t>万元，其中：上年结转</w:t>
      </w:r>
      <w:r>
        <w:rPr>
          <w:rFonts w:hint="eastAsia" w:eastAsia="仿宋" w:cs="Times New Roman"/>
          <w:lang w:val="en-US" w:eastAsia="zh-CN"/>
        </w:rPr>
        <w:t>0</w:t>
      </w:r>
      <w:r>
        <w:rPr>
          <w:rFonts w:hint="default" w:ascii="Times New Roman" w:hAnsi="Times New Roman" w:eastAsia="仿宋" w:cs="Times New Roman"/>
        </w:rPr>
        <w:t>万元，占</w:t>
      </w:r>
      <w:r>
        <w:rPr>
          <w:rFonts w:hint="eastAsia" w:eastAsia="仿宋" w:cs="Times New Roman"/>
          <w:lang w:val="en-US" w:eastAsia="zh-CN"/>
        </w:rPr>
        <w:t>0</w:t>
      </w:r>
      <w:r>
        <w:rPr>
          <w:rFonts w:hint="default" w:ascii="Times New Roman" w:hAnsi="Times New Roman" w:eastAsia="仿宋" w:cs="Times New Roman"/>
        </w:rPr>
        <w:t>%；一般公共预算拨款收入</w:t>
      </w:r>
      <w:r>
        <w:rPr>
          <w:rFonts w:hint="default" w:ascii="Times New Roman" w:hAnsi="Times New Roman" w:eastAsia="仿宋" w:cs="Times New Roman"/>
          <w:lang w:val="en-US" w:eastAsia="zh-CN"/>
        </w:rPr>
        <w:t>917.87</w:t>
      </w:r>
      <w:r>
        <w:rPr>
          <w:rFonts w:hint="default" w:ascii="Times New Roman" w:hAnsi="Times New Roman" w:eastAsia="仿宋" w:cs="Times New Roman"/>
        </w:rPr>
        <w:t>万元，占</w:t>
      </w:r>
      <w:r>
        <w:rPr>
          <w:rFonts w:hint="eastAsia" w:eastAsia="仿宋" w:cs="Times New Roman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</w:rPr>
        <w:t>%</w:t>
      </w:r>
      <w:r>
        <w:rPr>
          <w:rFonts w:hint="default" w:ascii="Times New Roman" w:hAnsi="Times New Roman" w:eastAsia="仿宋" w:cs="Times New Roman"/>
          <w:lang w:eastAsia="zh-CN"/>
        </w:rPr>
        <w:t>。</w:t>
      </w:r>
    </w:p>
    <w:p>
      <w:pPr>
        <w:numPr>
          <w:ilvl w:val="0"/>
          <w:numId w:val="2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</w:rPr>
        <w:t>支出预算情况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</w:rPr>
        <w:t>2019年支出预算</w:t>
      </w:r>
      <w:r>
        <w:rPr>
          <w:rFonts w:hint="default" w:ascii="Times New Roman" w:hAnsi="Times New Roman" w:eastAsia="仿宋" w:cs="Times New Roman"/>
          <w:lang w:val="en-US" w:eastAsia="zh-CN"/>
        </w:rPr>
        <w:t>917.87</w:t>
      </w:r>
      <w:r>
        <w:rPr>
          <w:rFonts w:hint="default" w:ascii="Times New Roman" w:hAnsi="Times New Roman" w:eastAsia="仿宋" w:cs="Times New Roman"/>
        </w:rPr>
        <w:t>万元，其中：基本支出</w:t>
      </w:r>
      <w:r>
        <w:rPr>
          <w:rFonts w:hint="default" w:ascii="Times New Roman" w:hAnsi="Times New Roman" w:eastAsia="仿宋" w:cs="Times New Roman"/>
          <w:lang w:val="en-US" w:eastAsia="zh-CN"/>
        </w:rPr>
        <w:t>917.87</w:t>
      </w:r>
      <w:r>
        <w:rPr>
          <w:rFonts w:hint="default" w:ascii="Times New Roman" w:hAnsi="Times New Roman" w:eastAsia="仿宋" w:cs="Times New Roman"/>
        </w:rPr>
        <w:t>万元，占</w:t>
      </w:r>
      <w:r>
        <w:rPr>
          <w:rFonts w:hint="eastAsia" w:eastAsia="仿宋" w:cs="Times New Roman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</w:rPr>
        <w:t>%</w:t>
      </w:r>
      <w:r>
        <w:rPr>
          <w:rFonts w:hint="default" w:ascii="Times New Roman" w:hAnsi="Times New Roman" w:eastAsia="仿宋" w:cs="Times New Roman"/>
          <w:lang w:eastAsia="zh-CN"/>
        </w:rPr>
        <w:t>。</w:t>
      </w:r>
    </w:p>
    <w:p>
      <w:pPr>
        <w:numPr>
          <w:ilvl w:val="0"/>
          <w:numId w:val="1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财政拨款收支预算情况说明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</w:rPr>
        <w:t>2019年财政拨款收支总预算</w:t>
      </w:r>
      <w:r>
        <w:rPr>
          <w:rFonts w:hint="default" w:ascii="Times New Roman" w:hAnsi="Times New Roman" w:eastAsia="仿宋" w:cs="Times New Roman"/>
          <w:lang w:val="en-US" w:eastAsia="zh-CN"/>
        </w:rPr>
        <w:t>917.87</w:t>
      </w:r>
      <w:r>
        <w:rPr>
          <w:rFonts w:hint="default" w:ascii="Times New Roman" w:hAnsi="Times New Roman" w:eastAsia="仿宋" w:cs="Times New Roman"/>
        </w:rPr>
        <w:t>万元。收入包括：本年一般公共预算拨款收入</w:t>
      </w:r>
      <w:r>
        <w:rPr>
          <w:rFonts w:hint="default" w:ascii="Times New Roman" w:hAnsi="Times New Roman" w:eastAsia="仿宋" w:cs="Times New Roman"/>
          <w:lang w:val="en-US" w:eastAsia="zh-CN"/>
        </w:rPr>
        <w:t>917.87</w:t>
      </w:r>
      <w:r>
        <w:rPr>
          <w:rFonts w:hint="default" w:ascii="Times New Roman" w:hAnsi="Times New Roman" w:eastAsia="仿宋" w:cs="Times New Roman"/>
        </w:rPr>
        <w:t>万元</w:t>
      </w:r>
      <w:r>
        <w:rPr>
          <w:rFonts w:hint="default" w:ascii="Times New Roman" w:hAnsi="Times New Roman" w:eastAsia="仿宋" w:cs="Times New Roman"/>
          <w:lang w:eastAsia="zh-CN"/>
        </w:rPr>
        <w:t>，</w:t>
      </w:r>
      <w:r>
        <w:rPr>
          <w:rFonts w:hint="default" w:ascii="Times New Roman" w:hAnsi="Times New Roman" w:eastAsia="仿宋" w:cs="Times New Roman"/>
        </w:rPr>
        <w:t>支出包括：</w:t>
      </w:r>
      <w:r>
        <w:rPr>
          <w:rFonts w:hint="default" w:ascii="Times New Roman" w:hAnsi="Times New Roman" w:eastAsia="仿宋" w:cs="Times New Roman"/>
          <w:lang w:eastAsia="zh-CN"/>
        </w:rPr>
        <w:t>科学技术支出</w:t>
      </w:r>
      <w:r>
        <w:rPr>
          <w:rFonts w:hint="default" w:ascii="Times New Roman" w:hAnsi="Times New Roman" w:eastAsia="仿宋" w:cs="Times New Roman"/>
          <w:lang w:val="en-US" w:eastAsia="zh-CN"/>
        </w:rPr>
        <w:t>707.34万元、社会保障和就业支出147.96万元、住房保障支出62.5</w:t>
      </w:r>
      <w:r>
        <w:rPr>
          <w:rFonts w:hint="eastAsia" w:eastAsia="仿宋" w:cs="Times New Roman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lang w:val="en-US" w:eastAsia="zh-CN"/>
        </w:rPr>
        <w:t>万元。</w:t>
      </w:r>
    </w:p>
    <w:p>
      <w:pPr>
        <w:numPr>
          <w:ilvl w:val="0"/>
          <w:numId w:val="1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一般公共预算当年拨款情况说明</w:t>
      </w:r>
    </w:p>
    <w:p>
      <w:pPr>
        <w:numPr>
          <w:ilvl w:val="0"/>
          <w:numId w:val="3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</w:rPr>
        <w:t>一般公共预算当年拨款规模变化情况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2019年一般公共预算当年拨款</w:t>
      </w:r>
      <w:r>
        <w:rPr>
          <w:rFonts w:hint="default" w:ascii="Times New Roman" w:hAnsi="Times New Roman" w:eastAsia="仿宋" w:cs="Times New Roman"/>
          <w:lang w:val="en-US" w:eastAsia="zh-CN"/>
        </w:rPr>
        <w:t>917.87</w:t>
      </w:r>
      <w:r>
        <w:rPr>
          <w:rFonts w:hint="default" w:ascii="Times New Roman" w:hAnsi="Times New Roman" w:eastAsia="仿宋" w:cs="Times New Roman"/>
        </w:rPr>
        <w:t>万元，比2018年预算数</w:t>
      </w:r>
      <w:r>
        <w:rPr>
          <w:rFonts w:hint="default" w:ascii="Times New Roman" w:hAnsi="Times New Roman" w:eastAsia="仿宋" w:cs="Times New Roman"/>
          <w:lang w:eastAsia="zh-CN"/>
        </w:rPr>
        <w:t>增加</w:t>
      </w:r>
      <w:r>
        <w:rPr>
          <w:rFonts w:hint="default" w:ascii="Times New Roman" w:hAnsi="Times New Roman" w:eastAsia="仿宋" w:cs="Times New Roman"/>
          <w:lang w:val="en-US" w:eastAsia="zh-CN"/>
        </w:rPr>
        <w:t>28.72</w:t>
      </w:r>
      <w:r>
        <w:rPr>
          <w:rFonts w:hint="default" w:ascii="Times New Roman" w:hAnsi="Times New Roman" w:eastAsia="仿宋" w:cs="Times New Roman"/>
        </w:rPr>
        <w:t>万元，主要</w:t>
      </w:r>
      <w:r>
        <w:rPr>
          <w:rFonts w:hint="default" w:ascii="Times New Roman" w:hAnsi="Times New Roman" w:eastAsia="仿宋" w:cs="Times New Roman"/>
          <w:lang w:eastAsia="zh-CN"/>
        </w:rPr>
        <w:t>增加原因是</w:t>
      </w:r>
      <w:r>
        <w:rPr>
          <w:rFonts w:hint="default" w:ascii="Times New Roman" w:hAnsi="Times New Roman" w:eastAsia="仿宋" w:cs="Times New Roman"/>
          <w:lang w:val="en-US" w:eastAsia="zh-CN"/>
        </w:rPr>
        <w:t>2018年职工普调工资</w:t>
      </w:r>
      <w:r>
        <w:rPr>
          <w:rFonts w:hint="default" w:ascii="Times New Roman" w:hAnsi="Times New Roman" w:eastAsia="仿宋" w:cs="Times New Roman"/>
        </w:rPr>
        <w:t>。</w:t>
      </w:r>
    </w:p>
    <w:p>
      <w:pPr>
        <w:numPr>
          <w:ilvl w:val="0"/>
          <w:numId w:val="3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</w:rPr>
        <w:t>一般公共预算当年拨款结构情况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960" w:firstLineChars="300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</w:rPr>
        <w:t>一般</w:t>
      </w:r>
      <w:r>
        <w:rPr>
          <w:rFonts w:hint="default" w:ascii="Times New Roman" w:hAnsi="Times New Roman" w:eastAsia="仿宋" w:cs="Times New Roman"/>
          <w:lang w:eastAsia="zh-CN"/>
        </w:rPr>
        <w:t>科学技术</w:t>
      </w:r>
      <w:r>
        <w:rPr>
          <w:rFonts w:hint="default" w:ascii="Times New Roman" w:hAnsi="Times New Roman" w:eastAsia="仿宋" w:cs="Times New Roman"/>
        </w:rPr>
        <w:t>支出</w:t>
      </w:r>
      <w:r>
        <w:rPr>
          <w:rFonts w:hint="default" w:ascii="Times New Roman" w:hAnsi="Times New Roman" w:eastAsia="仿宋" w:cs="Times New Roman"/>
          <w:lang w:val="en-US" w:eastAsia="zh-CN"/>
        </w:rPr>
        <w:t>707.34</w:t>
      </w:r>
      <w:r>
        <w:rPr>
          <w:rFonts w:hint="default" w:ascii="Times New Roman" w:hAnsi="Times New Roman" w:eastAsia="仿宋" w:cs="Times New Roman"/>
        </w:rPr>
        <w:t>万元，占</w:t>
      </w:r>
      <w:r>
        <w:rPr>
          <w:rFonts w:hint="default" w:ascii="Times New Roman" w:hAnsi="Times New Roman" w:eastAsia="仿宋" w:cs="Times New Roman"/>
          <w:lang w:val="en-US" w:eastAsia="zh-CN"/>
        </w:rPr>
        <w:t>77</w:t>
      </w:r>
      <w:r>
        <w:rPr>
          <w:rFonts w:hint="default" w:ascii="Times New Roman" w:hAnsi="Times New Roman" w:eastAsia="仿宋" w:cs="Times New Roman"/>
        </w:rPr>
        <w:t>%；</w:t>
      </w:r>
      <w:r>
        <w:rPr>
          <w:rFonts w:hint="default" w:ascii="Times New Roman" w:hAnsi="Times New Roman" w:eastAsia="仿宋" w:cs="Times New Roman"/>
          <w:lang w:eastAsia="zh-CN"/>
        </w:rPr>
        <w:t>社会保障和就业</w:t>
      </w:r>
      <w:r>
        <w:rPr>
          <w:rFonts w:hint="default" w:ascii="Times New Roman" w:hAnsi="Times New Roman" w:eastAsia="仿宋" w:cs="Times New Roman"/>
        </w:rPr>
        <w:t>支出</w:t>
      </w:r>
      <w:r>
        <w:rPr>
          <w:rFonts w:hint="default" w:ascii="Times New Roman" w:hAnsi="Times New Roman" w:eastAsia="仿宋" w:cs="Times New Roman"/>
          <w:lang w:val="en-US" w:eastAsia="zh-CN"/>
        </w:rPr>
        <w:t>147.96</w:t>
      </w:r>
      <w:r>
        <w:rPr>
          <w:rFonts w:hint="default" w:ascii="Times New Roman" w:hAnsi="Times New Roman" w:eastAsia="仿宋" w:cs="Times New Roman"/>
        </w:rPr>
        <w:t>万元，占</w:t>
      </w:r>
      <w:r>
        <w:rPr>
          <w:rFonts w:hint="default" w:ascii="Times New Roman" w:hAnsi="Times New Roman" w:eastAsia="仿宋" w:cs="Times New Roman"/>
          <w:lang w:val="en-US" w:eastAsia="zh-CN"/>
        </w:rPr>
        <w:t>16</w:t>
      </w:r>
      <w:r>
        <w:rPr>
          <w:rFonts w:hint="default" w:ascii="Times New Roman" w:hAnsi="Times New Roman" w:eastAsia="仿宋" w:cs="Times New Roman"/>
        </w:rPr>
        <w:t>%</w:t>
      </w:r>
      <w:r>
        <w:rPr>
          <w:rFonts w:hint="default" w:ascii="Times New Roman" w:hAnsi="Times New Roman" w:eastAsia="仿宋" w:cs="Times New Roman"/>
          <w:lang w:eastAsia="zh-CN"/>
        </w:rPr>
        <w:t>；住房保障支出</w:t>
      </w:r>
      <w:r>
        <w:rPr>
          <w:rFonts w:hint="default" w:ascii="Times New Roman" w:hAnsi="Times New Roman" w:eastAsia="仿宋" w:cs="Times New Roman"/>
          <w:lang w:val="en-US" w:eastAsia="zh-CN"/>
        </w:rPr>
        <w:t xml:space="preserve">62.58万元，占7%。       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</w:rPr>
        <w:t>（三）一般公共预算当年拨款具体使用情况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1.一般</w:t>
      </w:r>
      <w:r>
        <w:rPr>
          <w:rFonts w:hint="default" w:ascii="Times New Roman" w:hAnsi="Times New Roman" w:cs="Times New Roman"/>
          <w:lang w:eastAsia="zh-CN"/>
        </w:rPr>
        <w:t>科学技术支出</w:t>
      </w:r>
      <w:r>
        <w:rPr>
          <w:rFonts w:hint="default" w:ascii="Times New Roman" w:hAnsi="Times New Roman" w:cs="Times New Roman"/>
        </w:rPr>
        <w:t>2019年预算数为</w:t>
      </w:r>
      <w:r>
        <w:rPr>
          <w:rFonts w:hint="default" w:ascii="Times New Roman" w:hAnsi="Times New Roman" w:cs="Times New Roman"/>
          <w:lang w:val="en-US" w:eastAsia="zh-CN"/>
        </w:rPr>
        <w:t>707.34</w:t>
      </w:r>
      <w:r>
        <w:rPr>
          <w:rFonts w:hint="default" w:ascii="Times New Roman" w:hAnsi="Times New Roman" w:cs="Times New Roman"/>
        </w:rPr>
        <w:t>万元，主要用于：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eastAsia="zh-CN"/>
        </w:rPr>
        <w:t>）行政运行经费</w:t>
      </w:r>
      <w:r>
        <w:rPr>
          <w:rFonts w:hint="default" w:ascii="Times New Roman" w:hAnsi="Times New Roman" w:cs="Times New Roman"/>
          <w:lang w:val="en-US" w:eastAsia="zh-CN"/>
        </w:rPr>
        <w:t>636.06万元</w:t>
      </w:r>
      <w:r>
        <w:rPr>
          <w:rFonts w:hint="default" w:ascii="Times New Roman" w:hAnsi="Times New Roman" w:cs="Times New Roman"/>
          <w:lang w:eastAsia="zh-CN"/>
        </w:rPr>
        <w:t>，主要包括：工资福利支出、办公费、公车运行维护费、邮电费、水电费、其他交通费用等；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eastAsia="zh-CN"/>
        </w:rPr>
        <w:t>）其他科学技术管理事务支出</w:t>
      </w:r>
      <w:r>
        <w:rPr>
          <w:rFonts w:hint="default" w:ascii="Times New Roman" w:hAnsi="Times New Roman" w:cs="Times New Roman"/>
          <w:lang w:val="en-US" w:eastAsia="zh-CN"/>
        </w:rPr>
        <w:t>6.3万元；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（3）其他科学技术支出64.98万元，主要包括：非独立核算事业单位知识产权服务中心工资福利支出、办公费、邮电费、水电费、</w:t>
      </w:r>
      <w:r>
        <w:rPr>
          <w:rFonts w:hint="default" w:ascii="Times New Roman" w:hAnsi="Times New Roman" w:cs="Times New Roman"/>
          <w:lang w:eastAsia="zh-CN"/>
        </w:rPr>
        <w:t>社保费等；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eastAsia="zh-CN"/>
        </w:rPr>
        <w:t>社会保障和就业支出</w:t>
      </w:r>
      <w:r>
        <w:rPr>
          <w:rFonts w:hint="default" w:ascii="Times New Roman" w:hAnsi="Times New Roman" w:cs="Times New Roman"/>
          <w:lang w:val="en-US" w:eastAsia="zh-CN"/>
        </w:rPr>
        <w:t>147.96万元，主要包括：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（1）未归口管理的行政单位离退休费82.94万元，包括2位离休干部工资福利支出、退休职工房贴目标奖支出、公用经费、福利费等；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（2）机关事业单位基本养老保险缴费支出65.02万元，包括市科技局机关、知识产权服务中心养老保险缴费支出。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960" w:firstLineChars="3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六、一般公共预算基本支出情况说明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市科技局</w:t>
      </w:r>
      <w:r>
        <w:rPr>
          <w:rFonts w:hint="default" w:ascii="Times New Roman" w:hAnsi="Times New Roman" w:cs="Times New Roman"/>
        </w:rPr>
        <w:t>2019年一般公共预算基本支出</w:t>
      </w:r>
      <w:r>
        <w:rPr>
          <w:rFonts w:hint="default" w:ascii="Times New Roman" w:hAnsi="Times New Roman" w:cs="Times New Roman"/>
          <w:lang w:val="en-US" w:eastAsia="zh-CN"/>
        </w:rPr>
        <w:t>911.57</w:t>
      </w:r>
      <w:r>
        <w:rPr>
          <w:rFonts w:hint="default" w:ascii="Times New Roman" w:hAnsi="Times New Roman" w:cs="Times New Roman"/>
        </w:rPr>
        <w:t>万元，其中：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人员经费</w:t>
      </w:r>
      <w:r>
        <w:rPr>
          <w:rFonts w:hint="default" w:ascii="Times New Roman" w:hAnsi="Times New Roman" w:cs="Times New Roman"/>
          <w:lang w:val="en-US" w:eastAsia="zh-CN"/>
        </w:rPr>
        <w:t>785.67</w:t>
      </w:r>
      <w:r>
        <w:rPr>
          <w:rFonts w:hint="default" w:ascii="Times New Roman" w:hAnsi="Times New Roman" w:cs="Times New Roman"/>
        </w:rPr>
        <w:t>万元，主要包括：基本工资、津贴补贴、奖金、社会保险缴费</w:t>
      </w:r>
      <w:r>
        <w:rPr>
          <w:rFonts w:hint="default" w:ascii="Times New Roman" w:hAnsi="Times New Roman" w:cs="Times New Roman"/>
          <w:lang w:eastAsia="zh-CN"/>
        </w:rPr>
        <w:t>、住房保障支出等。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公用经费</w:t>
      </w:r>
      <w:r>
        <w:rPr>
          <w:rFonts w:hint="default" w:ascii="Times New Roman" w:hAnsi="Times New Roman" w:cs="Times New Roman"/>
          <w:lang w:val="en-US" w:eastAsia="zh-CN"/>
        </w:rPr>
        <w:t>125.9</w:t>
      </w:r>
      <w:r>
        <w:rPr>
          <w:rFonts w:hint="default" w:ascii="Times New Roman" w:hAnsi="Times New Roman" w:cs="Times New Roman"/>
        </w:rPr>
        <w:t>万元，主要包括：办公费、印刷费、咨询费、手续费</w:t>
      </w:r>
      <w:r>
        <w:rPr>
          <w:rFonts w:hint="default" w:ascii="Times New Roman" w:hAnsi="Times New Roman" w:cs="Times New Roman"/>
          <w:lang w:eastAsia="zh-CN"/>
        </w:rPr>
        <w:t>、水电费、邮电费、差旅费、工会经费、其他交通费用等。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</w:rPr>
      </w:pPr>
      <w:r>
        <w:rPr>
          <w:rFonts w:hint="eastAsia" w:ascii="黑体" w:hAnsi="黑体" w:eastAsia="黑体" w:cs="黑体"/>
          <w:lang w:eastAsia="zh-CN"/>
        </w:rPr>
        <w:t>七</w:t>
      </w:r>
      <w:r>
        <w:rPr>
          <w:rFonts w:hint="eastAsia" w:cs="Times New Roman"/>
          <w:lang w:eastAsia="zh-CN"/>
        </w:rPr>
        <w:t>、</w:t>
      </w:r>
      <w:r>
        <w:rPr>
          <w:rFonts w:hint="default" w:ascii="Times New Roman" w:hAnsi="Times New Roman" w:eastAsia="黑体" w:cs="Times New Roman"/>
        </w:rPr>
        <w:t>“三公”经费财政拨款预算安排情况说明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市科技局</w:t>
      </w:r>
      <w:r>
        <w:rPr>
          <w:rFonts w:hint="default" w:ascii="Times New Roman" w:hAnsi="Times New Roman" w:cs="Times New Roman"/>
        </w:rPr>
        <w:t>201</w:t>
      </w:r>
      <w:r>
        <w:rPr>
          <w:rFonts w:hint="default" w:ascii="Times New Roman" w:hAnsi="Times New Roman" w:cs="Times New Roman"/>
        </w:rPr>
        <w:t>9年“三公”经费财政拨款预算数</w:t>
      </w:r>
      <w:r>
        <w:rPr>
          <w:rFonts w:hint="default" w:ascii="Times New Roman" w:hAnsi="Times New Roman" w:cs="Times New Roman"/>
          <w:lang w:val="en-US" w:eastAsia="zh-CN"/>
        </w:rPr>
        <w:t>3.6</w:t>
      </w:r>
      <w:r>
        <w:rPr>
          <w:rFonts w:hint="default" w:ascii="Times New Roman" w:hAnsi="Times New Roman" w:cs="Times New Roman"/>
        </w:rPr>
        <w:t>万元，其中：公务接待费</w:t>
      </w:r>
      <w:r>
        <w:rPr>
          <w:rFonts w:hint="default" w:ascii="Times New Roman" w:hAnsi="Times New Roman" w:cs="Times New Roman"/>
          <w:lang w:val="en-US" w:eastAsia="zh-CN"/>
        </w:rPr>
        <w:t>1.8</w:t>
      </w:r>
      <w:r>
        <w:rPr>
          <w:rFonts w:hint="default" w:ascii="Times New Roman" w:hAnsi="Times New Roman" w:cs="Times New Roman"/>
        </w:rPr>
        <w:t>万元，公务用车购置及运行维护费</w:t>
      </w:r>
      <w:r>
        <w:rPr>
          <w:rFonts w:hint="default" w:ascii="Times New Roman" w:hAnsi="Times New Roman" w:cs="Times New Roman"/>
          <w:lang w:val="en-US" w:eastAsia="zh-CN"/>
        </w:rPr>
        <w:t>1.8</w:t>
      </w:r>
      <w:r>
        <w:rPr>
          <w:rFonts w:hint="default" w:ascii="Times New Roman" w:hAnsi="Times New Roman" w:cs="Times New Roman"/>
        </w:rPr>
        <w:t>万元。公务接待费</w:t>
      </w:r>
      <w:r>
        <w:rPr>
          <w:rFonts w:hint="default" w:ascii="Times New Roman" w:hAnsi="Times New Roman" w:cs="Times New Roman"/>
          <w:lang w:eastAsia="zh-CN"/>
        </w:rPr>
        <w:t>主要用于推动钒钛产业发展来攀院士专家调研交流接待、省厅检查工作接待。公车运行维护费主要用于院士专家、科</w:t>
      </w:r>
      <w:r>
        <w:rPr>
          <w:rFonts w:hint="default" w:ascii="Times New Roman" w:hAnsi="Times New Roman" w:cs="Times New Roman"/>
          <w:lang w:val="en-US" w:eastAsia="zh-CN"/>
        </w:rPr>
        <w:t>博会</w:t>
      </w:r>
      <w:r>
        <w:rPr>
          <w:rFonts w:hint="default" w:ascii="Times New Roman" w:hAnsi="Times New Roman" w:cs="Times New Roman"/>
          <w:lang w:eastAsia="zh-CN"/>
        </w:rPr>
        <w:t>及对口帮扶贫困村用车。</w:t>
      </w:r>
    </w:p>
    <w:p>
      <w:pPr>
        <w:numPr>
          <w:ilvl w:val="0"/>
          <w:numId w:val="4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</w:rPr>
        <w:t>公务接待费较</w:t>
      </w:r>
      <w:r>
        <w:rPr>
          <w:rFonts w:hint="default" w:ascii="Times New Roman" w:hAnsi="Times New Roman" w:eastAsia="楷体_GB2312" w:cs="Times New Roman"/>
          <w:b/>
        </w:rPr>
        <w:t>201</w:t>
      </w:r>
      <w:r>
        <w:rPr>
          <w:rFonts w:hint="default" w:ascii="Times New Roman" w:hAnsi="Times New Roman" w:eastAsia="楷体_GB2312" w:cs="Times New Roman"/>
          <w:b/>
        </w:rPr>
        <w:t>8年预算</w:t>
      </w:r>
      <w:r>
        <w:rPr>
          <w:rFonts w:hint="default" w:ascii="Times New Roman" w:hAnsi="Times New Roman" w:eastAsia="楷体_GB2312" w:cs="Times New Roman"/>
          <w:b/>
          <w:lang w:eastAsia="zh-CN"/>
        </w:rPr>
        <w:t>持平</w:t>
      </w:r>
      <w:r>
        <w:rPr>
          <w:rFonts w:hint="default" w:ascii="Times New Roman" w:hAnsi="Times New Roman" w:cs="Times New Roman"/>
        </w:rPr>
        <w:t>。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96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2019年公务接待费计划用于</w:t>
      </w:r>
      <w:r>
        <w:rPr>
          <w:rFonts w:hint="default" w:ascii="Times New Roman" w:hAnsi="Times New Roman" w:cs="Times New Roman"/>
          <w:lang w:eastAsia="zh-CN"/>
        </w:rPr>
        <w:t>用于推动钒钛产业发展来攀调研院士专家接待、省厅领导来攀安排指导工作、其他地市州科技局来攀交流接待</w:t>
      </w:r>
      <w:r>
        <w:rPr>
          <w:rFonts w:hint="default" w:ascii="Times New Roman" w:hAnsi="Times New Roman" w:cs="Times New Roman"/>
        </w:rPr>
        <w:t>。</w:t>
      </w:r>
    </w:p>
    <w:p>
      <w:pPr>
        <w:numPr>
          <w:ilvl w:val="0"/>
          <w:numId w:val="4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left="0" w:leftChars="0" w:firstLine="643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</w:rPr>
        <w:t>公务用车购置及运行维护费较</w:t>
      </w:r>
      <w:r>
        <w:rPr>
          <w:rFonts w:hint="default" w:ascii="Times New Roman" w:hAnsi="Times New Roman" w:eastAsia="楷体_GB2312" w:cs="Times New Roman"/>
          <w:b/>
        </w:rPr>
        <w:t>201</w:t>
      </w:r>
      <w:r>
        <w:rPr>
          <w:rFonts w:hint="default" w:ascii="Times New Roman" w:hAnsi="Times New Roman" w:eastAsia="楷体_GB2312" w:cs="Times New Roman"/>
          <w:b/>
        </w:rPr>
        <w:t>8年预算</w:t>
      </w:r>
      <w:r>
        <w:rPr>
          <w:rFonts w:hint="default" w:ascii="Times New Roman" w:hAnsi="Times New Roman" w:eastAsia="楷体_GB2312" w:cs="Times New Roman"/>
          <w:b/>
          <w:lang w:eastAsia="zh-CN"/>
        </w:rPr>
        <w:t>下降</w:t>
      </w:r>
      <w:r>
        <w:rPr>
          <w:rFonts w:hint="default" w:ascii="Times New Roman" w:hAnsi="Times New Roman" w:eastAsia="楷体_GB2312" w:cs="Times New Roman"/>
          <w:b/>
          <w:lang w:val="en-US" w:eastAsia="zh-CN"/>
        </w:rPr>
        <w:t>29</w:t>
      </w:r>
      <w:r>
        <w:rPr>
          <w:rFonts w:hint="default" w:ascii="Times New Roman" w:hAnsi="Times New Roman" w:eastAsia="楷体_GB2312" w:cs="Times New Roman"/>
          <w:b/>
        </w:rPr>
        <w:t>%</w:t>
      </w:r>
      <w:r>
        <w:rPr>
          <w:rFonts w:hint="default" w:ascii="Times New Roman" w:hAnsi="Times New Roman" w:eastAsia="楷体_GB2312" w:cs="Times New Roman"/>
          <w:b/>
        </w:rPr>
        <w:t>。</w:t>
      </w:r>
      <w:r>
        <w:rPr>
          <w:rFonts w:hint="default" w:ascii="Times New Roman" w:hAnsi="Times New Roman" w:cs="Times New Roman"/>
        </w:rPr>
        <w:t>主要原因是</w:t>
      </w:r>
      <w:r>
        <w:rPr>
          <w:rFonts w:hint="default" w:ascii="Times New Roman" w:hAnsi="Times New Roman" w:cs="Times New Roman"/>
          <w:lang w:eastAsia="zh-CN"/>
        </w:rPr>
        <w:t>非独立核算事业单位车改，车辆减少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单位现有公务用车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辆，7座以上越野车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辆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2019年安排公务用车运行维护费</w:t>
      </w:r>
      <w:r>
        <w:rPr>
          <w:rFonts w:hint="default" w:ascii="Times New Roman" w:hAnsi="Times New Roman" w:cs="Times New Roman"/>
          <w:lang w:val="en-US" w:eastAsia="zh-CN"/>
        </w:rPr>
        <w:t>1.8</w:t>
      </w:r>
      <w:r>
        <w:rPr>
          <w:rFonts w:hint="default" w:ascii="Times New Roman" w:hAnsi="Times New Roman" w:cs="Times New Roman"/>
        </w:rPr>
        <w:t>万元，用于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辆公务用车</w:t>
      </w:r>
      <w:r>
        <w:rPr>
          <w:rFonts w:hint="default" w:ascii="Times New Roman" w:hAnsi="Times New Roman" w:cs="Times New Roman"/>
          <w:lang w:eastAsia="zh-CN"/>
        </w:rPr>
        <w:t>燃油、</w:t>
      </w:r>
      <w:r>
        <w:rPr>
          <w:rFonts w:hint="default" w:ascii="Times New Roman" w:hAnsi="Times New Roman" w:cs="Times New Roman"/>
          <w:lang w:eastAsia="zh-CN"/>
        </w:rPr>
        <w:t>维修、车辆通行费</w:t>
      </w:r>
      <w:r>
        <w:rPr>
          <w:rFonts w:hint="default" w:ascii="Times New Roman" w:hAnsi="Times New Roman" w:cs="Times New Roman"/>
        </w:rPr>
        <w:t>等方面支出，主要保障</w:t>
      </w:r>
      <w:r>
        <w:rPr>
          <w:rFonts w:hint="default" w:ascii="Times New Roman" w:hAnsi="Times New Roman" w:cs="Times New Roman"/>
          <w:lang w:eastAsia="zh-CN"/>
        </w:rPr>
        <w:t>来攀院士专家调研交流、科博会用车及对口帮扶贫困村、户</w:t>
      </w:r>
      <w:r>
        <w:rPr>
          <w:rFonts w:hint="default" w:ascii="Times New Roman" w:hAnsi="Times New Roman" w:cs="Times New Roman"/>
        </w:rPr>
        <w:t>等工作开展。</w:t>
      </w:r>
    </w:p>
    <w:p>
      <w:pPr>
        <w:spacing w:line="600" w:lineRule="exact"/>
        <w:ind w:firstLine="64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八、政府性基金预算支出情况说明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/>
          <w:lang w:eastAsia="zh-CN"/>
        </w:rPr>
        <w:t>攀枝花市社会体育指导中心</w:t>
      </w:r>
      <w:r>
        <w:rPr>
          <w:rFonts w:hint="eastAsia" w:ascii="仿宋_GB2312"/>
          <w:lang w:eastAsia="zh-CN"/>
        </w:rPr>
        <w:t>2019</w:t>
      </w:r>
      <w:r>
        <w:rPr>
          <w:rFonts w:hint="eastAsia" w:ascii="仿宋_GB2312"/>
        </w:rPr>
        <w:t>年没有使用政府性基金预算拨款安排的支出。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b/>
          <w:bCs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九、</w:t>
      </w:r>
      <w:r>
        <w:rPr>
          <w:rFonts w:hint="default" w:ascii="Times New Roman" w:hAnsi="Times New Roman" w:cs="Times New Roman"/>
          <w:b/>
          <w:bCs/>
          <w:lang w:eastAsia="zh-CN"/>
        </w:rPr>
        <w:t>其他需要说明的事项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</w:rPr>
        <w:t>国有资产占有使用情况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截至2018年底，</w:t>
      </w:r>
      <w:r>
        <w:rPr>
          <w:rFonts w:hint="default" w:ascii="Times New Roman" w:hAnsi="Times New Roman" w:cs="Times New Roman"/>
          <w:lang w:eastAsia="zh-CN"/>
        </w:rPr>
        <w:t>市科技局</w:t>
      </w:r>
      <w:r>
        <w:rPr>
          <w:rFonts w:hint="default" w:ascii="Times New Roman" w:hAnsi="Times New Roman" w:cs="Times New Roman"/>
        </w:rPr>
        <w:t>共有车辆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辆，其中，执法执勤用车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辆。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</w:rPr>
        <w:t>绩效目标设置情况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2019年</w:t>
      </w:r>
      <w:r>
        <w:rPr>
          <w:rFonts w:hint="default" w:ascii="Times New Roman" w:hAnsi="Times New Roman" w:cs="Times New Roman"/>
          <w:lang w:eastAsia="zh-CN"/>
        </w:rPr>
        <w:t>市科技局</w:t>
      </w:r>
      <w:r>
        <w:rPr>
          <w:rFonts w:hint="default" w:ascii="Times New Roman" w:hAnsi="Times New Roman" w:cs="Times New Roman"/>
        </w:rPr>
        <w:t>通用项目和专用项目均按要求实行绩效目标管理，涉及一般公共预算当年拨款</w:t>
      </w:r>
      <w:r>
        <w:rPr>
          <w:rFonts w:hint="default" w:ascii="Times New Roman" w:hAnsi="Times New Roman" w:cs="Times New Roman"/>
          <w:lang w:val="en-US" w:eastAsia="zh-CN"/>
        </w:rPr>
        <w:t>6.3</w:t>
      </w:r>
      <w:r>
        <w:rPr>
          <w:rFonts w:hint="default" w:ascii="Times New Roman" w:hAnsi="Times New Roman" w:cs="Times New Roman"/>
        </w:rPr>
        <w:t>万元。</w:t>
      </w:r>
    </w:p>
    <w:p>
      <w:pPr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</w:rPr>
      </w:pPr>
      <w:r>
        <w:rPr>
          <w:rFonts w:hint="eastAsia" w:eastAsia="黑体" w:cs="Times New Roman"/>
          <w:lang w:eastAsia="zh-CN"/>
        </w:rPr>
        <w:t>十、</w:t>
      </w:r>
      <w:r>
        <w:rPr>
          <w:rFonts w:hint="default" w:ascii="Times New Roman" w:hAnsi="Times New Roman" w:eastAsia="黑体" w:cs="Times New Roman"/>
        </w:rPr>
        <w:t>名词解释</w:t>
      </w:r>
    </w:p>
    <w:p>
      <w:pPr>
        <w:numPr>
          <w:ilvl w:val="0"/>
          <w:numId w:val="5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一般公共预算拨款收入：指市级财政当年拨付的资金。</w:t>
      </w:r>
    </w:p>
    <w:p>
      <w:pPr>
        <w:numPr>
          <w:ilvl w:val="0"/>
          <w:numId w:val="5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tabs>
          <w:tab w:val="clear" w:pos="312"/>
        </w:tabs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基本支出：指为保证机构正常运转，完成日常工作任务而发生的人员支出和公用支出。</w:t>
      </w:r>
    </w:p>
    <w:p>
      <w:pPr>
        <w:numPr>
          <w:ilvl w:val="0"/>
          <w:numId w:val="5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tabs>
          <w:tab w:val="clear" w:pos="312"/>
        </w:tabs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项目支出：指在基本支出之外为</w:t>
      </w:r>
      <w:r>
        <w:rPr>
          <w:rFonts w:hint="default" w:ascii="Times New Roman" w:hAnsi="Times New Roman" w:cs="Times New Roman"/>
          <w:lang w:eastAsia="zh-CN"/>
        </w:rPr>
        <w:t>保障市科技局基本办公环境、安全</w:t>
      </w:r>
      <w:r>
        <w:rPr>
          <w:rFonts w:hint="default" w:ascii="Times New Roman" w:hAnsi="Times New Roman" w:cs="Times New Roman"/>
        </w:rPr>
        <w:t>所发生的支出。</w:t>
      </w:r>
    </w:p>
    <w:p>
      <w:pPr>
        <w:numPr>
          <w:ilvl w:val="0"/>
          <w:numId w:val="5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tabs>
          <w:tab w:val="clear" w:pos="312"/>
        </w:tabs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“三公”经费：纳入预决算管理的“三公”经费，是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反映单位按规定开支的各类公务接待（含外宾接待）支出。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5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tabs>
          <w:tab w:val="clear" w:pos="312"/>
        </w:tabs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业务运行费：为保障行政单位运行用于购买货物和服务的各项资金。包括办公及办公费、水费、电费、印刷费、邮电费、差旅费、会议费等费用开支。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bookmarkStart w:id="0" w:name="_GoBack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附件：表1.部门收支总表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表1-1.部门收入总表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表1-2.部门支出总表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表2.财政拨款收支预算总表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表2-1.财政拨款支出预算表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表3.一般公共预算支出预算表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表3-1.一般公共预算基本支出预算表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表3-2.一般公共预算项目支出预算表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表3-3.一般公共预算“三公”经费支出预算表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表4.政府性基金支出预算表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表4-1.政府性基金预算“三公”经费支出预算表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表5.国有资本经营预算支出预算表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5"/>
          <w:bottom w:val="single" w:color="FFFFFF" w:sz="4" w:space="31"/>
          <w:right w:val="single" w:color="FFFFFF" w:sz="4" w:space="5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表6.（部门）单位预算项目绩效目标表</w:t>
      </w:r>
    </w:p>
    <w:bookmarkEnd w:id="0"/>
    <w:sectPr>
      <w:footerReference r:id="rId3" w:type="default"/>
      <w:footerReference r:id="rId4" w:type="even"/>
      <w:pgSz w:w="11906" w:h="16838"/>
      <w:pgMar w:top="1247" w:right="1542" w:bottom="1247" w:left="2098" w:header="851" w:footer="992" w:gutter="0"/>
      <w:pgNumType w:fmt="numberInDash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Style w:val="7"/>
        <w:rFonts w:ascii="宋体" w:hAnsi="宋体"/>
        <w:sz w:val="30"/>
        <w:szCs w:val="30"/>
      </w:rPr>
      <w:instrText xml:space="preserve">PAGE  </w:instrText>
    </w:r>
    <w:r>
      <w:rPr>
        <w:rFonts w:ascii="宋体" w:hAnsi="宋体"/>
        <w:sz w:val="30"/>
        <w:szCs w:val="30"/>
      </w:rPr>
      <w:fldChar w:fldCharType="separate"/>
    </w:r>
    <w:r>
      <w:rPr>
        <w:rStyle w:val="7"/>
        <w:rFonts w:ascii="宋体" w:hAnsi="宋体"/>
        <w:sz w:val="30"/>
        <w:szCs w:val="30"/>
      </w:rPr>
      <w:t>- 5 -</w:t>
    </w:r>
    <w:r>
      <w:rPr>
        <w:rFonts w:ascii="宋体" w:hAnsi="宋体"/>
        <w:sz w:val="30"/>
        <w:szCs w:val="3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7416"/>
    <w:multiLevelType w:val="singleLevel"/>
    <w:tmpl w:val="13B774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09A6F2"/>
    <w:multiLevelType w:val="singleLevel"/>
    <w:tmpl w:val="1409A6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FE3F86C"/>
    <w:multiLevelType w:val="singleLevel"/>
    <w:tmpl w:val="1FE3F8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5E19318"/>
    <w:multiLevelType w:val="singleLevel"/>
    <w:tmpl w:val="25E19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25E675B"/>
    <w:multiLevelType w:val="singleLevel"/>
    <w:tmpl w:val="425E67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3987"/>
    <w:rsid w:val="002776C2"/>
    <w:rsid w:val="004203D1"/>
    <w:rsid w:val="006560BA"/>
    <w:rsid w:val="00773987"/>
    <w:rsid w:val="00866C02"/>
    <w:rsid w:val="00AB752D"/>
    <w:rsid w:val="00CF0111"/>
    <w:rsid w:val="00DC7E9A"/>
    <w:rsid w:val="00FB7E84"/>
    <w:rsid w:val="013A7B84"/>
    <w:rsid w:val="04324A2E"/>
    <w:rsid w:val="062B5805"/>
    <w:rsid w:val="06914CC2"/>
    <w:rsid w:val="06D5659E"/>
    <w:rsid w:val="073061E2"/>
    <w:rsid w:val="0CFB5F46"/>
    <w:rsid w:val="0F3B2EF1"/>
    <w:rsid w:val="10441234"/>
    <w:rsid w:val="1183310D"/>
    <w:rsid w:val="13237A71"/>
    <w:rsid w:val="13A741B6"/>
    <w:rsid w:val="13C25A27"/>
    <w:rsid w:val="14FE7DAF"/>
    <w:rsid w:val="15FB661D"/>
    <w:rsid w:val="19700602"/>
    <w:rsid w:val="215D0EF6"/>
    <w:rsid w:val="25D126E8"/>
    <w:rsid w:val="29A64DA9"/>
    <w:rsid w:val="2A807222"/>
    <w:rsid w:val="2BF2523A"/>
    <w:rsid w:val="2E9A4C32"/>
    <w:rsid w:val="30BA1ABE"/>
    <w:rsid w:val="3D004CDF"/>
    <w:rsid w:val="3E2E1D9C"/>
    <w:rsid w:val="3FAE0B26"/>
    <w:rsid w:val="40302F9C"/>
    <w:rsid w:val="449221C5"/>
    <w:rsid w:val="4A6F0CE2"/>
    <w:rsid w:val="4BBD5E96"/>
    <w:rsid w:val="4C9076E2"/>
    <w:rsid w:val="508C5C6F"/>
    <w:rsid w:val="576250DF"/>
    <w:rsid w:val="59157DA5"/>
    <w:rsid w:val="61C5550E"/>
    <w:rsid w:val="622F5B5A"/>
    <w:rsid w:val="625E0D2D"/>
    <w:rsid w:val="63B02D18"/>
    <w:rsid w:val="64610FA6"/>
    <w:rsid w:val="64BD51DB"/>
    <w:rsid w:val="685B5BC8"/>
    <w:rsid w:val="6ADB1A5B"/>
    <w:rsid w:val="6DB615A1"/>
    <w:rsid w:val="70370F42"/>
    <w:rsid w:val="73BB16A6"/>
    <w:rsid w:val="741B2410"/>
    <w:rsid w:val="75EB3921"/>
    <w:rsid w:val="76C8027A"/>
    <w:rsid w:val="76E93331"/>
    <w:rsid w:val="77B20E58"/>
    <w:rsid w:val="7EB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beforeLines="30"/>
    </w:pPr>
    <w:rPr>
      <w:rFonts w:ascii="仿宋_GB2312"/>
      <w:sz w:val="30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仿宋_GB2312" w:hAnsi="Times New Roman" w:eastAsia="仿宋_GB2312" w:cs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371</Words>
  <Characters>2121</Characters>
  <Lines>17</Lines>
  <Paragraphs>4</Paragraphs>
  <TotalTime>0</TotalTime>
  <ScaleCrop>false</ScaleCrop>
  <LinksUpToDate>false</LinksUpToDate>
  <CharactersWithSpaces>2488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2018-02-22T08:52:00Z</dcterms:created>
  <dc:creator>a</dc:creator>
  <cp:lastModifiedBy>叶林</cp:lastModifiedBy>
  <cp:lastPrinted>2019-01-24T07:51:00Z</cp:lastPrinted>
  <dcterms:modified xsi:type="dcterms:W3CDTF">2019-01-30T12:03:07Z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